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5889" w:rsidRPr="00BD53BC" w:rsidRDefault="00415889" w:rsidP="0041588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bCs/>
          <w:color w:val="000000" w:themeColor="text1"/>
          <w:sz w:val="20"/>
          <w:szCs w:val="20"/>
        </w:rPr>
        <w:t>Opis Przedmiotu Zamówienia</w:t>
      </w:r>
    </w:p>
    <w:p w:rsidR="00415889" w:rsidRPr="00BD53BC" w:rsidRDefault="00415889" w:rsidP="0041588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</w:p>
    <w:p w:rsidR="00415889" w:rsidRPr="00BD53BC" w:rsidRDefault="00415889" w:rsidP="00697160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bookmarkStart w:id="0" w:name="_Hlk161405502"/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 xml:space="preserve">Przegląd i serwisowanie aparatury elektryczno-sterującej firmy </w:t>
      </w:r>
      <w:proofErr w:type="spellStart"/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>Santerno</w:t>
      </w:r>
      <w:proofErr w:type="spellEnd"/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br/>
        <w:t>w obiektach Zakładu Centralnego.</w:t>
      </w:r>
    </w:p>
    <w:bookmarkEnd w:id="0"/>
    <w:p w:rsidR="003B1CED" w:rsidRPr="00BD53BC" w:rsidRDefault="003B1CED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>Ogólny opis:</w:t>
      </w:r>
    </w:p>
    <w:p w:rsidR="00415889" w:rsidRPr="00BD53BC" w:rsidRDefault="00415889" w:rsidP="00B842F0">
      <w:pPr>
        <w:ind w:left="1134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Cs/>
          <w:color w:val="000000" w:themeColor="text1"/>
          <w:sz w:val="20"/>
          <w:szCs w:val="20"/>
        </w:rPr>
        <w:t>Przegląd  i serwisowanie aparatury sterującej firmy: SANTERNO</w:t>
      </w:r>
      <w:r w:rsidRPr="00BD53B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842F0" w:rsidRPr="00BD53BC">
        <w:rPr>
          <w:rFonts w:ascii="Arial" w:hAnsi="Arial" w:cs="Arial"/>
          <w:bCs/>
          <w:color w:val="000000" w:themeColor="text1"/>
          <w:sz w:val="20"/>
          <w:szCs w:val="20"/>
        </w:rPr>
        <w:t>w obiektach Zakładu Centralnego</w:t>
      </w:r>
    </w:p>
    <w:p w:rsidR="006E2799" w:rsidRPr="00BD53BC" w:rsidRDefault="006E2799" w:rsidP="006E2799">
      <w:pPr>
        <w:ind w:left="851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E2799" w:rsidRPr="00BD53BC" w:rsidRDefault="00B842F0" w:rsidP="006E279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bCs/>
          <w:color w:val="000000" w:themeColor="text1"/>
          <w:sz w:val="20"/>
          <w:szCs w:val="20"/>
        </w:rPr>
        <w:t>Opis urządzenia:</w:t>
      </w:r>
    </w:p>
    <w:p w:rsidR="00B842F0" w:rsidRPr="00BD53BC" w:rsidRDefault="00B842F0" w:rsidP="00B842F0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Wykaz falowników do przeglądu:</w:t>
      </w:r>
    </w:p>
    <w:p w:rsidR="00B842F0" w:rsidRPr="00BD53BC" w:rsidRDefault="00B842F0" w:rsidP="00B842F0">
      <w:pPr>
        <w:pStyle w:val="Akapitzlist"/>
        <w:numPr>
          <w:ilvl w:val="0"/>
          <w:numId w:val="4"/>
        </w:numPr>
        <w:ind w:left="1134"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SANTERNO SINUS M nr. fabryczny M 00220 4T BA2K2 55020606B5 - 1 szt.</w:t>
      </w:r>
    </w:p>
    <w:p w:rsidR="00B842F0" w:rsidRPr="00BD53BC" w:rsidRDefault="00B842F0" w:rsidP="00B842F0">
      <w:pPr>
        <w:pStyle w:val="Akapitzlist"/>
        <w:numPr>
          <w:ilvl w:val="0"/>
          <w:numId w:val="4"/>
        </w:numPr>
        <w:ind w:left="1134"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SANTERNO SINUS M nr. fabryczny M 0017 4T BA2K2 550232601CF- 1 szt.</w:t>
      </w:r>
    </w:p>
    <w:p w:rsidR="00B842F0" w:rsidRPr="00BD53BC" w:rsidRDefault="00B842F0" w:rsidP="00B842F0">
      <w:pPr>
        <w:pStyle w:val="Akapitzlist"/>
        <w:numPr>
          <w:ilvl w:val="0"/>
          <w:numId w:val="4"/>
        </w:numPr>
        <w:ind w:left="1134"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SANTERNO SINUS M nr. fabryczny M 0017 4T BA2K2 55028250355 - 1 szt.</w:t>
      </w:r>
    </w:p>
    <w:p w:rsidR="00B842F0" w:rsidRPr="00BD53BC" w:rsidRDefault="00B842F0" w:rsidP="00B842F0">
      <w:pPr>
        <w:pStyle w:val="Akapitzlist"/>
        <w:numPr>
          <w:ilvl w:val="0"/>
          <w:numId w:val="4"/>
        </w:numPr>
        <w:ind w:left="1134" w:hanging="29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SANTERNO SINUS M nr. fabryczny M 0017 4T BA2K2 550210026F7- 1 szt.</w:t>
      </w:r>
    </w:p>
    <w:p w:rsidR="00415889" w:rsidRPr="00BD53BC" w:rsidRDefault="00415889" w:rsidP="00B842F0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>Zakres usługi: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Odkręcenie elementów obudowy do stanu umożliwiającego wzrokowa ocenę stanu falownika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karty impulsowej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karty sterującej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kondensatorów elektrolitycznych obwodu pośredniego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połączeń śrubowych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Oczyszczenie i odkurzenie elementów falownika i układu wentylacji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stanu układu chłodzenie (wentylatorów falownika),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Oględziny urządzenia, w tym stan elementów elektronicznych i podzespołów,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Sprawdzenie wielkości elektrycznych falownika oraz zabezpieczeń i uruchomienie 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br/>
        <w:t>w trybie „symulacyjnym” – bez obciążenia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Sprawdzenie pracy falowników z istniejącymi silnikami i technologią w zakresie regulacji obrotów i obciążenia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Testy statyczne napędu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Testy własne napędu</w:t>
      </w:r>
    </w:p>
    <w:p w:rsidR="00415889" w:rsidRPr="00BD53BC" w:rsidRDefault="00415889" w:rsidP="00415889">
      <w:pPr>
        <w:numPr>
          <w:ilvl w:val="0"/>
          <w:numId w:val="3"/>
        </w:numPr>
        <w:ind w:left="1134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BD53BC">
        <w:rPr>
          <w:rFonts w:ascii="Arial" w:hAnsi="Arial" w:cs="Arial"/>
          <w:color w:val="000000" w:themeColor="text1"/>
          <w:sz w:val="20"/>
          <w:szCs w:val="20"/>
        </w:rPr>
        <w:t>Autotuning</w:t>
      </w:r>
      <w:proofErr w:type="spellEnd"/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proofErr w:type="spellStart"/>
      <w:r w:rsidRPr="00BD53BC">
        <w:rPr>
          <w:rFonts w:ascii="Arial" w:hAnsi="Arial" w:cs="Arial"/>
          <w:color w:val="000000" w:themeColor="text1"/>
          <w:sz w:val="20"/>
          <w:szCs w:val="20"/>
        </w:rPr>
        <w:t>autostrojenie</w:t>
      </w:r>
      <w:proofErr w:type="spellEnd"/>
      <w:r w:rsidRPr="00BD53BC">
        <w:rPr>
          <w:rFonts w:ascii="Arial" w:hAnsi="Arial" w:cs="Arial"/>
          <w:color w:val="000000" w:themeColor="text1"/>
          <w:sz w:val="20"/>
          <w:szCs w:val="20"/>
        </w:rPr>
        <w:t>).</w:t>
      </w:r>
    </w:p>
    <w:p w:rsidR="00415889" w:rsidRPr="00BD53BC" w:rsidRDefault="00415889" w:rsidP="0041588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1E3DDA" w:rsidRPr="00BD53BC" w:rsidRDefault="00415889" w:rsidP="0041588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 xml:space="preserve">Termin realizacji: </w:t>
      </w:r>
      <w:bookmarkStart w:id="1" w:name="_GoBack"/>
      <w:bookmarkEnd w:id="1"/>
      <w:r w:rsidR="001E3DDA" w:rsidRPr="00BD53BC">
        <w:rPr>
          <w:rFonts w:ascii="Arial" w:hAnsi="Arial" w:cs="Arial"/>
          <w:color w:val="000000" w:themeColor="text1"/>
          <w:sz w:val="20"/>
          <w:szCs w:val="20"/>
        </w:rPr>
        <w:t>do 31.03.2026 r.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32275" w:rsidRPr="00BD53BC" w:rsidRDefault="001E3DDA" w:rsidP="001E3DDA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Dokładny termin zostanie ustalony </w:t>
      </w:r>
      <w:r w:rsidR="00415889" w:rsidRPr="00BD53BC">
        <w:rPr>
          <w:rFonts w:ascii="Arial" w:hAnsi="Arial" w:cs="Arial"/>
          <w:color w:val="000000" w:themeColor="text1"/>
          <w:sz w:val="20"/>
          <w:szCs w:val="20"/>
        </w:rPr>
        <w:t>po wcześniejszym uzgodnieniu z Zamawiającym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697160" w:rsidRPr="00BD53BC" w:rsidRDefault="00EE627E" w:rsidP="00532275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Urządzenia przeznaczone do przeglądu zostaną udostępniane sukcesywnie ze względu na konieczność utrzymanie obiektu w ruchu ciągłym.</w:t>
      </w:r>
    </w:p>
    <w:p w:rsidR="00415889" w:rsidRPr="00BD53BC" w:rsidRDefault="00415889" w:rsidP="00415889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>Miejsce realizacji: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 Hydrofornia „ Śródmieście” Pruszków, ul. Słonia Trąbalskiego 2a </w:t>
      </w:r>
    </w:p>
    <w:p w:rsidR="00415889" w:rsidRPr="00BD53BC" w:rsidRDefault="00415889" w:rsidP="0041588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b/>
          <w:color w:val="000000" w:themeColor="text1"/>
          <w:sz w:val="20"/>
          <w:szCs w:val="20"/>
        </w:rPr>
        <w:t>Czynności dodatkowe określone w OPZ:</w:t>
      </w:r>
    </w:p>
    <w:p w:rsidR="00415889" w:rsidRPr="00BD53BC" w:rsidRDefault="00415889" w:rsidP="0041588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numPr>
          <w:ilvl w:val="0"/>
          <w:numId w:val="6"/>
        </w:numPr>
        <w:ind w:left="1134" w:right="-2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415889" w:rsidRPr="00BD53BC" w:rsidRDefault="00415889" w:rsidP="00415889">
      <w:pPr>
        <w:numPr>
          <w:ilvl w:val="0"/>
          <w:numId w:val="6"/>
        </w:numPr>
        <w:ind w:left="1134" w:right="-2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:rsidR="00415889" w:rsidRPr="00BD53BC" w:rsidRDefault="00415889" w:rsidP="00415889">
      <w:pPr>
        <w:numPr>
          <w:ilvl w:val="0"/>
          <w:numId w:val="6"/>
        </w:numPr>
        <w:ind w:left="1134" w:right="-2" w:hanging="349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:rsidR="00C7632C" w:rsidRPr="00BD53BC" w:rsidRDefault="00415889" w:rsidP="00C7632C">
      <w:pPr>
        <w:pStyle w:val="Teksttreci1"/>
        <w:widowControl/>
        <w:numPr>
          <w:ilvl w:val="0"/>
          <w:numId w:val="6"/>
        </w:numPr>
        <w:shd w:val="clear" w:color="auto" w:fill="auto"/>
        <w:spacing w:after="0" w:line="240" w:lineRule="auto"/>
        <w:ind w:left="1134" w:right="20" w:hanging="349"/>
        <w:jc w:val="both"/>
        <w:rPr>
          <w:color w:val="000000" w:themeColor="text1"/>
          <w:sz w:val="20"/>
          <w:szCs w:val="20"/>
        </w:rPr>
      </w:pPr>
      <w:r w:rsidRPr="00BD53BC">
        <w:rPr>
          <w:color w:val="000000" w:themeColor="text1"/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C7632C" w:rsidRPr="00BD53BC" w:rsidRDefault="00C7632C" w:rsidP="00C7632C">
      <w:pPr>
        <w:pStyle w:val="Teksttreci1"/>
        <w:widowControl/>
        <w:numPr>
          <w:ilvl w:val="0"/>
          <w:numId w:val="6"/>
        </w:numPr>
        <w:shd w:val="clear" w:color="auto" w:fill="auto"/>
        <w:spacing w:after="0" w:line="240" w:lineRule="auto"/>
        <w:ind w:left="1134" w:right="20" w:hanging="349"/>
        <w:jc w:val="both"/>
        <w:rPr>
          <w:color w:val="000000" w:themeColor="text1"/>
          <w:szCs w:val="20"/>
        </w:rPr>
      </w:pPr>
      <w:r w:rsidRPr="00BD53BC">
        <w:rPr>
          <w:color w:val="000000" w:themeColor="text1"/>
          <w:sz w:val="20"/>
          <w:szCs w:val="22"/>
        </w:rPr>
        <w:t xml:space="preserve">Wykaz części: </w:t>
      </w:r>
    </w:p>
    <w:p w:rsidR="00697160" w:rsidRPr="00BD53BC" w:rsidRDefault="00C7632C" w:rsidP="001E3DDA">
      <w:pPr>
        <w:pStyle w:val="Teksttreci1"/>
        <w:widowControl/>
        <w:shd w:val="clear" w:color="auto" w:fill="auto"/>
        <w:spacing w:after="0" w:line="240" w:lineRule="auto"/>
        <w:ind w:left="1418" w:right="20" w:firstLine="0"/>
        <w:jc w:val="both"/>
        <w:rPr>
          <w:color w:val="000000" w:themeColor="text1"/>
          <w:sz w:val="20"/>
          <w:szCs w:val="22"/>
        </w:rPr>
      </w:pPr>
      <w:r w:rsidRPr="00BD53BC">
        <w:rPr>
          <w:color w:val="000000" w:themeColor="text1"/>
          <w:sz w:val="20"/>
          <w:szCs w:val="22"/>
        </w:rPr>
        <w:t>Dostawa i w</w:t>
      </w:r>
      <w:r w:rsidR="00697160" w:rsidRPr="00BD53BC">
        <w:rPr>
          <w:color w:val="000000" w:themeColor="text1"/>
          <w:sz w:val="20"/>
          <w:szCs w:val="22"/>
        </w:rPr>
        <w:t xml:space="preserve">ymiana </w:t>
      </w:r>
      <w:r w:rsidRPr="00BD53BC">
        <w:rPr>
          <w:color w:val="000000" w:themeColor="text1"/>
          <w:sz w:val="20"/>
          <w:szCs w:val="22"/>
        </w:rPr>
        <w:t xml:space="preserve"> kondensatora elektrolitycznego </w:t>
      </w:r>
      <w:r w:rsidR="00697160" w:rsidRPr="00BD53BC">
        <w:rPr>
          <w:color w:val="000000" w:themeColor="text1"/>
          <w:sz w:val="20"/>
          <w:szCs w:val="22"/>
        </w:rPr>
        <w:t xml:space="preserve">w falowniku </w:t>
      </w:r>
      <w:proofErr w:type="spellStart"/>
      <w:r w:rsidR="00697160" w:rsidRPr="00BD53BC">
        <w:rPr>
          <w:color w:val="000000" w:themeColor="text1"/>
          <w:sz w:val="20"/>
          <w:szCs w:val="22"/>
        </w:rPr>
        <w:t>Santerno</w:t>
      </w:r>
      <w:proofErr w:type="spellEnd"/>
      <w:r w:rsidR="00697160" w:rsidRPr="00BD53BC">
        <w:rPr>
          <w:color w:val="000000" w:themeColor="text1"/>
          <w:sz w:val="20"/>
          <w:szCs w:val="22"/>
        </w:rPr>
        <w:t xml:space="preserve"> Sinus M nr 1 nr seryjny 550290606B5 -</w:t>
      </w:r>
      <w:r w:rsidRPr="00BD53BC">
        <w:rPr>
          <w:color w:val="000000" w:themeColor="text1"/>
          <w:sz w:val="20"/>
          <w:szCs w:val="22"/>
        </w:rPr>
        <w:t xml:space="preserve"> </w:t>
      </w:r>
      <w:r w:rsidR="008B4EAE" w:rsidRPr="00BD53BC">
        <w:rPr>
          <w:color w:val="000000" w:themeColor="text1"/>
          <w:sz w:val="20"/>
          <w:szCs w:val="22"/>
        </w:rPr>
        <w:t>1 szt</w:t>
      </w:r>
      <w:r w:rsidRPr="00BD53BC">
        <w:rPr>
          <w:color w:val="000000" w:themeColor="text1"/>
          <w:sz w:val="20"/>
          <w:szCs w:val="22"/>
        </w:rPr>
        <w:t>.</w:t>
      </w:r>
    </w:p>
    <w:p w:rsidR="00415889" w:rsidRPr="00BD53BC" w:rsidRDefault="00415889" w:rsidP="00415889">
      <w:pPr>
        <w:pStyle w:val="Teksttreci1"/>
        <w:widowControl/>
        <w:shd w:val="clear" w:color="auto" w:fill="auto"/>
        <w:spacing w:after="0" w:line="240" w:lineRule="auto"/>
        <w:ind w:left="1134" w:right="20" w:firstLine="0"/>
        <w:jc w:val="both"/>
        <w:rPr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Teksttreci1"/>
        <w:widowControl/>
        <w:numPr>
          <w:ilvl w:val="0"/>
          <w:numId w:val="1"/>
        </w:numPr>
        <w:shd w:val="clear" w:color="auto" w:fill="auto"/>
        <w:spacing w:after="0" w:line="240" w:lineRule="auto"/>
        <w:ind w:right="20"/>
        <w:jc w:val="both"/>
        <w:rPr>
          <w:b/>
          <w:color w:val="000000" w:themeColor="text1"/>
          <w:sz w:val="20"/>
          <w:szCs w:val="20"/>
        </w:rPr>
      </w:pPr>
      <w:r w:rsidRPr="00BD53BC">
        <w:rPr>
          <w:b/>
          <w:color w:val="000000" w:themeColor="text1"/>
          <w:sz w:val="20"/>
          <w:szCs w:val="20"/>
        </w:rPr>
        <w:t>Dodatkowe informacje</w:t>
      </w:r>
    </w:p>
    <w:p w:rsidR="00415889" w:rsidRPr="00BD53BC" w:rsidRDefault="00415889" w:rsidP="008C438F">
      <w:pPr>
        <w:numPr>
          <w:ilvl w:val="0"/>
          <w:numId w:val="8"/>
        </w:numPr>
        <w:spacing w:before="100" w:beforeAutospacing="1" w:after="100" w:afterAutospacing="1"/>
        <w:ind w:left="107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Wykonawca przedmiotu zamówienia zobowiązany jest do jego wykonania z należytą</w:t>
      </w:r>
      <w:r w:rsidR="00C85E92" w:rsidRPr="00BD53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t>starannością, najlepszą wiedzą oraz zasadami profesjonalizmu zawodowego,  zgodnie z zaleceniami instrukcji obsługi urządzeń, właściwymi przepisami prawa,</w:t>
      </w:r>
      <w:r w:rsidR="00C85E92" w:rsidRPr="00BD53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t>spełniając wymagania dotyczące Polskich Norm, norm branżowych, aprobat technicznych, przy zachowaniu przepisów BHP i p.poż.</w:t>
      </w:r>
    </w:p>
    <w:p w:rsidR="00415889" w:rsidRPr="00BD53BC" w:rsidRDefault="00415889" w:rsidP="008C438F">
      <w:pPr>
        <w:numPr>
          <w:ilvl w:val="0"/>
          <w:numId w:val="8"/>
        </w:numPr>
        <w:spacing w:before="100" w:beforeAutospacing="1" w:after="100" w:afterAutospacing="1"/>
        <w:ind w:left="107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lastRenderedPageBreak/>
        <w:t>Wykonawca zobowiązany jest do przekazania sporządzonych pisemnych raportów po przeprowadzeniu przeglądu i serwisowania istniejących urządzeń, w których zawarte zostaną zalecenia w zakresie dalszej eksploatacji.</w:t>
      </w:r>
    </w:p>
    <w:p w:rsidR="005272F2" w:rsidRPr="00BD53BC" w:rsidRDefault="001646D5" w:rsidP="008C438F">
      <w:pPr>
        <w:pStyle w:val="Akapitzlist"/>
        <w:numPr>
          <w:ilvl w:val="0"/>
          <w:numId w:val="8"/>
        </w:numPr>
        <w:spacing w:before="100" w:beforeAutospacing="1" w:after="100" w:afterAutospacing="1"/>
        <w:ind w:left="107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>Gwarancja m</w:t>
      </w:r>
      <w:r w:rsidR="005272F2" w:rsidRPr="00BD53BC">
        <w:rPr>
          <w:rFonts w:ascii="Arial" w:hAnsi="Arial" w:cs="Arial"/>
          <w:color w:val="000000" w:themeColor="text1"/>
          <w:sz w:val="20"/>
          <w:szCs w:val="20"/>
        </w:rPr>
        <w:t>inimum 12 miesięcy od dnia podpisania przez strony bez uwag „Protokołu odbioru końcowego wykonania usługi” na wszelkie czynności wykonane przy realizacji w/w usługi oraz na wszelkie użyte do realizacji w/w usługi materiały i części.</w:t>
      </w:r>
    </w:p>
    <w:p w:rsidR="00415889" w:rsidRPr="00BD53BC" w:rsidRDefault="00415889" w:rsidP="008C438F">
      <w:pPr>
        <w:numPr>
          <w:ilvl w:val="0"/>
          <w:numId w:val="8"/>
        </w:numPr>
        <w:spacing w:before="100" w:beforeAutospacing="1" w:after="100" w:afterAutospacing="1"/>
        <w:ind w:left="1077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BD53BC">
        <w:rPr>
          <w:rFonts w:ascii="Arial" w:hAnsi="Arial" w:cs="Arial"/>
          <w:color w:val="000000" w:themeColor="text1"/>
          <w:sz w:val="20"/>
          <w:szCs w:val="20"/>
        </w:rPr>
        <w:t xml:space="preserve">Wykonawca usługi powinien spełnić wymagania wynikające z wdrożonego w Spółce „Systemu Zarządzania środowiskowego” i „Systemu zarządzania bezpieczeństwem </w:t>
      </w:r>
      <w:r w:rsidRPr="00BD53BC">
        <w:rPr>
          <w:rFonts w:ascii="Arial" w:hAnsi="Arial" w:cs="Arial"/>
          <w:color w:val="000000" w:themeColor="text1"/>
          <w:sz w:val="20"/>
          <w:szCs w:val="20"/>
        </w:rPr>
        <w:br/>
        <w:t xml:space="preserve">i higieną pracy”. Zobowiązuje się Wykonawcę do zapoznania się z materiałami dostępnymi na stronie internetowej </w:t>
      </w:r>
      <w:r w:rsidR="00E5160F">
        <w:rPr>
          <w:rFonts w:ascii="Arial" w:hAnsi="Arial" w:cs="Arial"/>
          <w:color w:val="000000" w:themeColor="text1"/>
          <w:sz w:val="20"/>
          <w:szCs w:val="20"/>
        </w:rPr>
        <w:t>MPWiK.</w:t>
      </w:r>
      <w:r w:rsidR="002F7843">
        <w:t xml:space="preserve"> </w:t>
      </w:r>
    </w:p>
    <w:p w:rsidR="00415889" w:rsidRPr="00BD53BC" w:rsidRDefault="00415889" w:rsidP="008C438F">
      <w:pPr>
        <w:ind w:left="108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ind w:left="108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ind w:left="108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15889" w:rsidRPr="00BD53BC" w:rsidRDefault="00415889" w:rsidP="00415889">
      <w:pPr>
        <w:pStyle w:val="Akapitzlist"/>
        <w:ind w:left="1080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415889" w:rsidRPr="00BD53BC" w:rsidSect="00697160">
      <w:pgSz w:w="11906" w:h="16838"/>
      <w:pgMar w:top="851" w:right="991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599" w:rsidRDefault="00D56599" w:rsidP="00D56599">
      <w:r>
        <w:separator/>
      </w:r>
    </w:p>
  </w:endnote>
  <w:endnote w:type="continuationSeparator" w:id="0">
    <w:p w:rsidR="00D56599" w:rsidRDefault="00D56599" w:rsidP="00D56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599" w:rsidRDefault="00D56599" w:rsidP="00D56599">
      <w:r>
        <w:separator/>
      </w:r>
    </w:p>
  </w:footnote>
  <w:footnote w:type="continuationSeparator" w:id="0">
    <w:p w:rsidR="00D56599" w:rsidRDefault="00D56599" w:rsidP="00D56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511B6"/>
    <w:multiLevelType w:val="hybridMultilevel"/>
    <w:tmpl w:val="EE689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2" w15:restartNumberingAfterBreak="0">
    <w:nsid w:val="26C45D09"/>
    <w:multiLevelType w:val="hybridMultilevel"/>
    <w:tmpl w:val="B92A12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365F94"/>
    <w:multiLevelType w:val="hybridMultilevel"/>
    <w:tmpl w:val="2062CAF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922E0"/>
    <w:multiLevelType w:val="hybridMultilevel"/>
    <w:tmpl w:val="3B20A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77CA9"/>
    <w:multiLevelType w:val="hybridMultilevel"/>
    <w:tmpl w:val="1DAEF8F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9BC"/>
    <w:multiLevelType w:val="hybridMultilevel"/>
    <w:tmpl w:val="A26EC11A"/>
    <w:lvl w:ilvl="0" w:tplc="53C8A6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17B2C"/>
    <w:multiLevelType w:val="hybridMultilevel"/>
    <w:tmpl w:val="AD66B9D2"/>
    <w:lvl w:ilvl="0" w:tplc="1B640FA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AA43EB"/>
    <w:multiLevelType w:val="multilevel"/>
    <w:tmpl w:val="1FD810A8"/>
    <w:numStyleLink w:val="Styl1"/>
  </w:abstractNum>
  <w:abstractNum w:abstractNumId="9" w15:restartNumberingAfterBreak="0">
    <w:nsid w:val="6ED82B24"/>
    <w:multiLevelType w:val="hybridMultilevel"/>
    <w:tmpl w:val="1068D3D6"/>
    <w:lvl w:ilvl="0" w:tplc="34AE5A72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614127"/>
    <w:multiLevelType w:val="hybridMultilevel"/>
    <w:tmpl w:val="5CAEE6E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F28FE"/>
    <w:multiLevelType w:val="hybridMultilevel"/>
    <w:tmpl w:val="20107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C7A92"/>
    <w:multiLevelType w:val="hybridMultilevel"/>
    <w:tmpl w:val="67664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3"/>
  </w:num>
  <w:num w:numId="5">
    <w:abstractNumId w:val="11"/>
  </w:num>
  <w:num w:numId="6">
    <w:abstractNumId w:val="5"/>
  </w:num>
  <w:num w:numId="7">
    <w:abstractNumId w:val="7"/>
  </w:num>
  <w:num w:numId="8">
    <w:abstractNumId w:val="9"/>
  </w:num>
  <w:num w:numId="9">
    <w:abstractNumId w:val="1"/>
  </w:num>
  <w:num w:numId="10">
    <w:abstractNumId w:val="8"/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z w:val="2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auto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12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4C8"/>
    <w:rsid w:val="00055D6E"/>
    <w:rsid w:val="001646D5"/>
    <w:rsid w:val="001E3DDA"/>
    <w:rsid w:val="002F7843"/>
    <w:rsid w:val="003B1CED"/>
    <w:rsid w:val="00415889"/>
    <w:rsid w:val="005272F2"/>
    <w:rsid w:val="00532275"/>
    <w:rsid w:val="00697160"/>
    <w:rsid w:val="006E2799"/>
    <w:rsid w:val="007F1F53"/>
    <w:rsid w:val="008B4EAE"/>
    <w:rsid w:val="008C438F"/>
    <w:rsid w:val="009219BC"/>
    <w:rsid w:val="00B04552"/>
    <w:rsid w:val="00B842F0"/>
    <w:rsid w:val="00BD53BC"/>
    <w:rsid w:val="00C244C8"/>
    <w:rsid w:val="00C7632C"/>
    <w:rsid w:val="00C85E92"/>
    <w:rsid w:val="00D56599"/>
    <w:rsid w:val="00E5160F"/>
    <w:rsid w:val="00EA0FBF"/>
    <w:rsid w:val="00EE627E"/>
    <w:rsid w:val="00FC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A657"/>
  <w15:chartTrackingRefBased/>
  <w15:docId w15:val="{B42885B5-CAA7-4DED-988E-FD347084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5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1,lp1,Preambuła,Lista - poziom 1,Tabela - naglowek,SM-nagłówek2,CP-UC,List Paragraph,Podsis rysunku"/>
    <w:basedOn w:val="Normalny"/>
    <w:link w:val="AkapitzlistZnak"/>
    <w:uiPriority w:val="34"/>
    <w:qFormat/>
    <w:rsid w:val="00415889"/>
    <w:pPr>
      <w:ind w:left="720"/>
      <w:contextualSpacing/>
    </w:pPr>
  </w:style>
  <w:style w:type="paragraph" w:customStyle="1" w:styleId="Teksttreci1">
    <w:name w:val="Tekst treści1"/>
    <w:basedOn w:val="Normalny"/>
    <w:link w:val="Teksttreci"/>
    <w:uiPriority w:val="99"/>
    <w:rsid w:val="00415889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character" w:styleId="Hipercze">
    <w:name w:val="Hyperlink"/>
    <w:rsid w:val="00415889"/>
    <w:rPr>
      <w:color w:val="0563C1"/>
      <w:u w:val="single"/>
    </w:rPr>
  </w:style>
  <w:style w:type="numbering" w:customStyle="1" w:styleId="Styl1">
    <w:name w:val="Styl1"/>
    <w:rsid w:val="008C438F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unhideWhenUsed/>
    <w:rsid w:val="00D565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5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65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5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rsid w:val="00C7632C"/>
    <w:rPr>
      <w:rFonts w:ascii="Arial" w:eastAsia="Times New Roman" w:hAnsi="Arial" w:cs="Arial"/>
      <w:sz w:val="18"/>
      <w:szCs w:val="18"/>
      <w:shd w:val="clear" w:color="auto" w:fill="FFFFFF"/>
      <w:lang w:eastAsia="pl-PL"/>
    </w:rPr>
  </w:style>
  <w:style w:type="character" w:customStyle="1" w:styleId="AkapitzlistZnak">
    <w:name w:val="Akapit z listą Znak"/>
    <w:aliases w:val="BulletC Znak,Obiekt Znak,List Paragraph1 Znak,Wyliczanie Znak,Akapit z listą31 Znak,lp1 Znak,Preambuła Znak,Lista - poziom 1 Znak,Tabela - naglowek Znak,SM-nagłówek2 Znak,CP-UC Znak,List Paragraph Znak,Podsis rysunku Znak"/>
    <w:link w:val="Akapitzlist"/>
    <w:uiPriority w:val="34"/>
    <w:qFormat/>
    <w:locked/>
    <w:rsid w:val="00C763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F7843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F7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1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Jankowska Patrycja</cp:lastModifiedBy>
  <cp:revision>16</cp:revision>
  <dcterms:created xsi:type="dcterms:W3CDTF">2024-03-15T12:55:00Z</dcterms:created>
  <dcterms:modified xsi:type="dcterms:W3CDTF">2026-02-04T11:48:00Z</dcterms:modified>
</cp:coreProperties>
</file>