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0C783" w14:textId="77777777" w:rsidR="00FC0F2E" w:rsidRPr="00481FFC" w:rsidRDefault="00FC0F2E" w:rsidP="00481FFC">
      <w:pPr>
        <w:spacing w:before="0" w:line="276" w:lineRule="auto"/>
        <w:rPr>
          <w:rFonts w:cs="Arial"/>
          <w:b/>
          <w:sz w:val="20"/>
        </w:rPr>
      </w:pPr>
    </w:p>
    <w:p w14:paraId="1B8D6D3D" w14:textId="77777777" w:rsidR="00FC0F2E" w:rsidRPr="00481FFC" w:rsidRDefault="00FC0F2E" w:rsidP="00481FFC">
      <w:pPr>
        <w:pStyle w:val="Nagwek1"/>
        <w:spacing w:line="276" w:lineRule="auto"/>
        <w:jc w:val="both"/>
        <w:rPr>
          <w:rFonts w:ascii="Arial" w:hAnsi="Arial" w:cs="Arial"/>
          <w:sz w:val="20"/>
        </w:rPr>
      </w:pPr>
    </w:p>
    <w:p w14:paraId="1BA48E4F" w14:textId="77777777" w:rsidR="00FC0F2E" w:rsidRPr="00481FFC" w:rsidRDefault="00FC0F2E" w:rsidP="00120A95">
      <w:pPr>
        <w:pStyle w:val="pkt"/>
        <w:spacing w:before="0" w:after="0" w:line="276" w:lineRule="auto"/>
        <w:ind w:left="357" w:firstLine="0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81FFC">
        <w:rPr>
          <w:rFonts w:ascii="Arial" w:hAnsi="Arial" w:cs="Arial"/>
          <w:b/>
          <w:sz w:val="20"/>
          <w:szCs w:val="20"/>
          <w:u w:val="single"/>
        </w:rPr>
        <w:t>Wymagania techniczne i technologiczne</w:t>
      </w:r>
    </w:p>
    <w:p w14:paraId="12F43BAD" w14:textId="77777777" w:rsidR="00FC0F2E" w:rsidRPr="00481FFC" w:rsidRDefault="00FC0F2E" w:rsidP="00481FFC">
      <w:pPr>
        <w:pStyle w:val="pkt"/>
        <w:spacing w:before="0" w:after="0" w:line="276" w:lineRule="auto"/>
        <w:ind w:left="357" w:firstLine="0"/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3EA2208F" w14:textId="77777777" w:rsidR="00FC0F2E" w:rsidRPr="00481FFC" w:rsidRDefault="00FC0F2E" w:rsidP="00120A95">
      <w:pPr>
        <w:pStyle w:val="pkt"/>
        <w:spacing w:before="0" w:after="0" w:line="276" w:lineRule="auto"/>
        <w:ind w:left="0" w:firstLine="0"/>
        <w:contextualSpacing/>
        <w:rPr>
          <w:rFonts w:ascii="Arial" w:hAnsi="Arial" w:cs="Arial"/>
          <w:sz w:val="20"/>
          <w:szCs w:val="20"/>
          <w:u w:val="single"/>
        </w:rPr>
      </w:pPr>
    </w:p>
    <w:p w14:paraId="0E98163C" w14:textId="52365E7B" w:rsidR="006C47B2" w:rsidRPr="00481FFC" w:rsidRDefault="006C47B2" w:rsidP="00481FFC">
      <w:pPr>
        <w:numPr>
          <w:ilvl w:val="0"/>
          <w:numId w:val="1"/>
        </w:numPr>
        <w:spacing w:before="0" w:line="276" w:lineRule="auto"/>
        <w:ind w:left="567" w:hanging="567"/>
        <w:contextualSpacing/>
        <w:rPr>
          <w:rFonts w:cs="Arial"/>
          <w:bCs/>
          <w:sz w:val="20"/>
        </w:rPr>
      </w:pPr>
      <w:r w:rsidRPr="00481FFC">
        <w:rPr>
          <w:rFonts w:cs="Arial"/>
          <w:sz w:val="20"/>
        </w:rPr>
        <w:t>Materiały eksploatacyjne muszą być materiałami oryginalnymi, polecanymi przez producenta danego sprzętu Zamawiający uznaje wyłącznie produkty posiadające wszystkie parametry techniczne, funkcjonalne, użytkowe, jakościowe identyczne w stosunku do produktów wskazanych przez Zamawiającego, nie regenerowane, nie poddane procesowi powtórnego napełniania lub wymianie jakichkolwiek elementów, ich zastosowanie nie może powodować utraty gwarancji producenta urządzeń.</w:t>
      </w:r>
    </w:p>
    <w:p w14:paraId="6C2CDD62" w14:textId="77777777" w:rsidR="006C47B2" w:rsidRPr="00481FFC" w:rsidRDefault="006C47B2" w:rsidP="00481FFC">
      <w:pPr>
        <w:numPr>
          <w:ilvl w:val="0"/>
          <w:numId w:val="1"/>
        </w:numPr>
        <w:spacing w:before="0" w:line="276" w:lineRule="auto"/>
        <w:ind w:left="567" w:hanging="567"/>
        <w:contextualSpacing/>
        <w:rPr>
          <w:rFonts w:cs="Arial"/>
          <w:sz w:val="20"/>
          <w:lang w:val="x-none" w:eastAsia="x-none"/>
        </w:rPr>
      </w:pPr>
      <w:r w:rsidRPr="00481FFC">
        <w:rPr>
          <w:rFonts w:cs="Arial"/>
          <w:sz w:val="20"/>
          <w:lang w:val="x-none" w:eastAsia="x-none"/>
        </w:rPr>
        <w:t>Oferowane artykuły muszą być fabrycznie nowe a za takie należy uznawać artykuły nie regenerowane, nie refabrykowane (nie poddane ponownemu procesowi produkcji), wyposażone w fabrycznie nowe: obudowy, bębny światłoczułe, listwy zbierające toner, chipy, głowice, dysze itp.</w:t>
      </w:r>
    </w:p>
    <w:p w14:paraId="00B692AD" w14:textId="77777777" w:rsidR="006C47B2" w:rsidRPr="00481FFC" w:rsidRDefault="006C47B2" w:rsidP="00481FFC">
      <w:pPr>
        <w:numPr>
          <w:ilvl w:val="0"/>
          <w:numId w:val="1"/>
        </w:numPr>
        <w:spacing w:before="0" w:line="276" w:lineRule="auto"/>
        <w:ind w:left="567" w:hanging="567"/>
        <w:contextualSpacing/>
        <w:rPr>
          <w:rFonts w:cs="Arial"/>
          <w:sz w:val="20"/>
          <w:lang w:val="x-none" w:eastAsia="x-none"/>
        </w:rPr>
      </w:pPr>
      <w:r w:rsidRPr="00481FFC">
        <w:rPr>
          <w:rFonts w:cs="Arial"/>
          <w:sz w:val="20"/>
          <w:lang w:val="x-none" w:eastAsia="x-none"/>
        </w:rPr>
        <w:t xml:space="preserve">Oferowane artykuły muszą być kompatybilne ze sprzętem do którego są przeznaczone </w:t>
      </w:r>
      <w:r w:rsidRPr="00481FFC">
        <w:rPr>
          <w:rFonts w:cs="Arial"/>
          <w:sz w:val="20"/>
          <w:lang w:val="x-none" w:eastAsia="x-none"/>
        </w:rPr>
        <w:br/>
        <w:t>i posiadać wszystkie cechy techniczne i użytkowe identyczne z produktami od producenta urządzenia.</w:t>
      </w:r>
    </w:p>
    <w:p w14:paraId="786C01B2" w14:textId="44EE31C7" w:rsidR="006C47B2" w:rsidRPr="00481FFC" w:rsidRDefault="006C47B2" w:rsidP="00481FFC">
      <w:pPr>
        <w:numPr>
          <w:ilvl w:val="0"/>
          <w:numId w:val="1"/>
        </w:numPr>
        <w:spacing w:before="0" w:line="276" w:lineRule="auto"/>
        <w:ind w:left="567" w:hanging="567"/>
        <w:contextualSpacing/>
        <w:rPr>
          <w:rFonts w:cs="Arial"/>
          <w:sz w:val="20"/>
          <w:lang w:val="x-none" w:eastAsia="x-none"/>
        </w:rPr>
      </w:pPr>
      <w:r w:rsidRPr="00481FFC">
        <w:rPr>
          <w:rFonts w:cs="Arial"/>
          <w:sz w:val="20"/>
          <w:lang w:val="x-none" w:eastAsia="x-none"/>
        </w:rPr>
        <w:t>Wszystkie artykuły muszą spełniać wszelkie normy i posiadać atesty dopuszczające je do obrotu na rynku handlowym.</w:t>
      </w:r>
    </w:p>
    <w:p w14:paraId="7D3E5C22" w14:textId="77777777" w:rsidR="00452AD0" w:rsidRPr="00481FFC" w:rsidRDefault="006C47B2" w:rsidP="00481FFC">
      <w:pPr>
        <w:numPr>
          <w:ilvl w:val="0"/>
          <w:numId w:val="1"/>
        </w:numPr>
        <w:spacing w:before="0" w:line="276" w:lineRule="auto"/>
        <w:ind w:left="567" w:hanging="567"/>
        <w:contextualSpacing/>
        <w:rPr>
          <w:rFonts w:cs="Arial"/>
          <w:sz w:val="20"/>
          <w:lang w:val="x-none" w:eastAsia="x-none"/>
        </w:rPr>
      </w:pPr>
      <w:r w:rsidRPr="00481FFC">
        <w:rPr>
          <w:rFonts w:cs="Arial"/>
          <w:sz w:val="20"/>
          <w:lang w:val="x-none"/>
        </w:rPr>
        <w:t>Przedmiot zamówienia ma być dostarczany w oryginalnych opakowaniach producenta, właściwych dla danego rodzaju asortymentu</w:t>
      </w:r>
      <w:r w:rsidRPr="00481FFC">
        <w:rPr>
          <w:rFonts w:cs="Arial"/>
          <w:sz w:val="20"/>
        </w:rPr>
        <w:t>.</w:t>
      </w:r>
    </w:p>
    <w:p w14:paraId="2E28AEB9" w14:textId="76EC574A" w:rsidR="00452AD0" w:rsidRPr="00481FFC" w:rsidRDefault="00142647" w:rsidP="00481FFC">
      <w:pPr>
        <w:numPr>
          <w:ilvl w:val="0"/>
          <w:numId w:val="1"/>
        </w:numPr>
        <w:spacing w:before="0" w:line="276" w:lineRule="auto"/>
        <w:ind w:left="567" w:hanging="567"/>
        <w:contextualSpacing/>
        <w:rPr>
          <w:rFonts w:cs="Arial"/>
          <w:sz w:val="20"/>
          <w:lang w:val="x-none" w:eastAsia="x-none"/>
        </w:rPr>
      </w:pPr>
      <w:r w:rsidRPr="00481FFC">
        <w:rPr>
          <w:rFonts w:cs="Arial"/>
          <w:sz w:val="20"/>
          <w:lang w:val="x-none" w:eastAsia="x-none"/>
        </w:rPr>
        <w:t>Wykonawca, którego oferta zostanie wybrana jako najkorzystniejsza, przed podpisaniem umowy ma obowiązek dostarczyć</w:t>
      </w:r>
      <w:r w:rsidRPr="00481FFC">
        <w:rPr>
          <w:rFonts w:cs="Arial"/>
          <w:sz w:val="20"/>
          <w:lang w:eastAsia="x-none"/>
        </w:rPr>
        <w:t xml:space="preserve"> (dotyczy nr pozycji 1-75)</w:t>
      </w:r>
      <w:r w:rsidRPr="00481FFC">
        <w:rPr>
          <w:rFonts w:cs="Arial"/>
          <w:sz w:val="20"/>
          <w:lang w:val="x-none" w:eastAsia="x-none"/>
        </w:rPr>
        <w:t>:</w:t>
      </w:r>
      <w:r w:rsidR="00452AD0" w:rsidRPr="00481FFC">
        <w:rPr>
          <w:rFonts w:cs="Arial"/>
          <w:sz w:val="20"/>
          <w:lang w:eastAsia="x-none"/>
        </w:rPr>
        <w:t xml:space="preserve"> </w:t>
      </w:r>
      <w:r w:rsidR="00452AD0" w:rsidRPr="00481FFC">
        <w:rPr>
          <w:rFonts w:cs="Arial"/>
          <w:sz w:val="20"/>
        </w:rPr>
        <w:t xml:space="preserve">na nośniku danych (płyta CD/DVD) w formacie plików PDF </w:t>
      </w:r>
      <w:r w:rsidR="00452AD0" w:rsidRPr="00481FFC">
        <w:rPr>
          <w:rFonts w:cs="Arial"/>
          <w:b/>
          <w:sz w:val="20"/>
        </w:rPr>
        <w:t>karty charakterystyki tonerów, do drukarek laserowych i tuszy do drukarek atramentowych</w:t>
      </w:r>
      <w:r w:rsidR="00452AD0" w:rsidRPr="00481FFC">
        <w:rPr>
          <w:rFonts w:cs="Arial"/>
          <w:sz w:val="20"/>
        </w:rPr>
        <w:t xml:space="preserve"> będących przedmiotem zamówienia, zgodnie z wymaganiami określonymi w rozporządzeniu (UE) 2020/878 potwierdzone pisemnym oświadczeniem (że dostarczone Karty Charakterystyki są na dany   dzień kartami najbardziej aktualnymi. </w:t>
      </w:r>
      <w:r w:rsidR="00481FFC" w:rsidRPr="00481FFC">
        <w:rPr>
          <w:rFonts w:cs="Arial"/>
          <w:sz w:val="20"/>
        </w:rPr>
        <w:t>Karty w szczególności muszą zawierać informacje o składzie chemicznym i gęstości. Zamawiający oczekuje, że Dostawca mieszanin poda w karcie charakterystyki spis wszystkich substancji w mieszaninie, łącznie z substancjami niespełniającymi kryteriów klasyfikacji. Informacje te umożliwiają Zamawiającemu identyfikację zagrożeń stwarzanych przez substancje w mieszaninie. Złożona karta charakterystyki ma być w języku polskim. W przypadku gdy będzie sporządzona w języku obcym ma być przetłumaczona na język polski. Plik winien być umieszczony w folderze oznaczonym numerem postępowania. Nazwa pliku winna mieć formę:  NR POZYCJI MPK / OPIS POZYCJI / DATA AKTUALIZACJI KARTY CHARAKTERYSTYKI (RRRR-MM-DD)</w:t>
      </w:r>
    </w:p>
    <w:p w14:paraId="3033F169" w14:textId="76CBEDD3" w:rsidR="00B50B40" w:rsidRPr="00481FFC" w:rsidRDefault="00B50B40" w:rsidP="00481FFC">
      <w:pPr>
        <w:pStyle w:val="pkt"/>
        <w:numPr>
          <w:ilvl w:val="0"/>
          <w:numId w:val="1"/>
        </w:numPr>
        <w:shd w:val="clear" w:color="auto" w:fill="FFFFFF"/>
        <w:spacing w:line="276" w:lineRule="auto"/>
        <w:ind w:left="567" w:hanging="567"/>
        <w:rPr>
          <w:rFonts w:ascii="Arial" w:hAnsi="Arial" w:cs="Arial"/>
          <w:sz w:val="20"/>
          <w:szCs w:val="20"/>
        </w:rPr>
      </w:pPr>
      <w:r w:rsidRPr="00481FFC">
        <w:rPr>
          <w:rFonts w:ascii="Arial" w:hAnsi="Arial" w:cs="Arial"/>
          <w:sz w:val="20"/>
          <w:szCs w:val="20"/>
        </w:rPr>
        <w:t>Wykonawca w trakcie realizacji umowy zobowiązany jest do aktualizacji kart charakterystyki w przypadku ukazania się ich nowych wydań.</w:t>
      </w:r>
    </w:p>
    <w:p w14:paraId="27496EEF" w14:textId="79147B7B" w:rsidR="00FC0F2E" w:rsidRPr="00481FFC" w:rsidRDefault="00FC0F2E" w:rsidP="00481FFC">
      <w:pPr>
        <w:pStyle w:val="pkt"/>
        <w:numPr>
          <w:ilvl w:val="0"/>
          <w:numId w:val="1"/>
        </w:numPr>
        <w:spacing w:before="0" w:after="0" w:line="276" w:lineRule="auto"/>
        <w:ind w:left="567" w:hanging="567"/>
        <w:rPr>
          <w:rFonts w:ascii="Arial" w:hAnsi="Arial" w:cs="Arial"/>
          <w:sz w:val="20"/>
          <w:szCs w:val="20"/>
        </w:rPr>
      </w:pPr>
      <w:r w:rsidRPr="00481FFC">
        <w:rPr>
          <w:rFonts w:ascii="Arial" w:hAnsi="Arial" w:cs="Arial"/>
          <w:sz w:val="20"/>
          <w:szCs w:val="20"/>
        </w:rPr>
        <w:t>Produkty chemiczne muszą spełniać wymagania opisane w Rozporządzeniu REACH -</w:t>
      </w:r>
      <w:r w:rsidR="003D4C40" w:rsidRPr="00481FFC">
        <w:rPr>
          <w:rFonts w:ascii="Arial" w:hAnsi="Arial" w:cs="Arial"/>
          <w:sz w:val="20"/>
          <w:szCs w:val="20"/>
        </w:rPr>
        <w:t xml:space="preserve"> </w:t>
      </w:r>
      <w:r w:rsidRPr="00481FFC">
        <w:rPr>
          <w:rFonts w:ascii="Arial" w:hAnsi="Arial" w:cs="Arial"/>
          <w:sz w:val="20"/>
          <w:szCs w:val="20"/>
        </w:rPr>
        <w:t>(ROZPORZĄDZENIE (WE) NR 1907/2006 PARLAMENTU EUROPEJSKIEGO I RADY z dnia 18 grudnia 2006 r w sprawie rejestracji, oceny, udzielania zezw</w:t>
      </w:r>
      <w:r w:rsidR="00CD7578" w:rsidRPr="00481FFC">
        <w:rPr>
          <w:rFonts w:ascii="Arial" w:hAnsi="Arial" w:cs="Arial"/>
          <w:sz w:val="20"/>
          <w:szCs w:val="20"/>
        </w:rPr>
        <w:t>oleń i stosowanych ograniczeń w </w:t>
      </w:r>
      <w:r w:rsidRPr="00481FFC">
        <w:rPr>
          <w:rFonts w:ascii="Arial" w:hAnsi="Arial" w:cs="Arial"/>
          <w:sz w:val="20"/>
          <w:szCs w:val="20"/>
        </w:rPr>
        <w:t>zakresie chemikaliów (REACH) i utworzenia Europejskiej Agencji Chemikaliów, zmieniające dyrektywę 1999/45/WE oraz uchylające rozporządzenie Rady (EWG) nr 793/93 i rozporządzenie Komisji (WE) nr 1488/94, jak również dyrektywę Rady 76/769/EWG i dyrektywy Komisji 91/155/EWG, 93/67/EWG, 93/105/WE i 2000/21/WE).</w:t>
      </w:r>
    </w:p>
    <w:p w14:paraId="47319533" w14:textId="4054EE5E" w:rsidR="00FC0F2E" w:rsidRPr="00481FFC" w:rsidRDefault="00FC0F2E" w:rsidP="00481FFC">
      <w:pPr>
        <w:pStyle w:val="pkt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567" w:hanging="567"/>
        <w:rPr>
          <w:rStyle w:val="ng-binding"/>
          <w:rFonts w:ascii="Arial" w:hAnsi="Arial" w:cs="Arial"/>
          <w:sz w:val="20"/>
          <w:szCs w:val="20"/>
        </w:rPr>
      </w:pPr>
      <w:r w:rsidRPr="00481FFC">
        <w:rPr>
          <w:rFonts w:ascii="Arial" w:hAnsi="Arial" w:cs="Arial"/>
          <w:sz w:val="20"/>
          <w:szCs w:val="20"/>
        </w:rPr>
        <w:t>Produkty chemiczne muszą być oznakowane i pakowane wg rozporządzenia CLP (Rozporządzenie Parlamentu Europejskiego i Rady(WE) nr 1272/2008 z dnia 16 grudnia 2008r. w sprawie klasyfikacji, oznakowania opakowania substancji i mieszanin, zmieniające dyrektywy 67/548/EWG i 1999/45/WE oraz zmieniające rozporządzenie (WE) nr 1907/2006</w:t>
      </w:r>
      <w:r w:rsidR="00FD655F">
        <w:rPr>
          <w:rFonts w:ascii="Arial" w:hAnsi="Arial" w:cs="Arial"/>
          <w:sz w:val="20"/>
          <w:szCs w:val="20"/>
        </w:rPr>
        <w:t xml:space="preserve"> (</w:t>
      </w:r>
      <w:r w:rsidR="00FD655F">
        <w:t>Dz.U.UE.L.2008.353.1</w:t>
      </w:r>
      <w:r w:rsidR="00FD655F">
        <w:rPr>
          <w:rFonts w:ascii="Arial" w:hAnsi="Arial" w:cs="Arial"/>
          <w:sz w:val="20"/>
          <w:szCs w:val="20"/>
        </w:rPr>
        <w:t>)</w:t>
      </w:r>
      <w:r w:rsidR="00115CF1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1B9C2808" w14:textId="00C806D3" w:rsidR="00120A95" w:rsidRPr="00FD655F" w:rsidRDefault="003D4C4E" w:rsidP="000E10FE">
      <w:pPr>
        <w:pStyle w:val="pkt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567" w:hanging="567"/>
        <w:rPr>
          <w:rStyle w:val="Uwydatnienie"/>
          <w:rFonts w:ascii="Arial" w:hAnsi="Arial" w:cs="Arial"/>
          <w:i w:val="0"/>
          <w:sz w:val="20"/>
          <w:szCs w:val="20"/>
        </w:rPr>
      </w:pPr>
      <w:r w:rsidRPr="00FD655F">
        <w:rPr>
          <w:rFonts w:ascii="Arial" w:hAnsi="Arial" w:cs="Arial"/>
          <w:iCs/>
          <w:sz w:val="20"/>
          <w:szCs w:val="20"/>
        </w:rPr>
        <w:lastRenderedPageBreak/>
        <w:t>Produkty będące przedmiotem zamówienia</w:t>
      </w:r>
      <w:r w:rsidRPr="00FD655F">
        <w:rPr>
          <w:rStyle w:val="Uwydatnienie"/>
          <w:rFonts w:ascii="Arial" w:hAnsi="Arial" w:cs="Arial"/>
          <w:i w:val="0"/>
          <w:sz w:val="20"/>
          <w:szCs w:val="20"/>
        </w:rPr>
        <w:t xml:space="preserve"> nie powinny zawierać w składzie substancji chemicznych o działaniu rakotwórczym i mutagennym zgodnie z Rozporządzeniem Ministra Zdrowia w sprawie substancji chemicznych, ich mieszanin, czynników lub procesów technologicznych o działaniu rakotwórczym lub mutagennym w środowisku pracy (t.j. </w:t>
      </w:r>
      <w:r w:rsidR="00FD655F" w:rsidRPr="00FD655F">
        <w:rPr>
          <w:rStyle w:val="Uwydatnienie"/>
          <w:rFonts w:ascii="Arial" w:hAnsi="Arial" w:cs="Arial"/>
          <w:i w:val="0"/>
          <w:sz w:val="20"/>
          <w:szCs w:val="20"/>
        </w:rPr>
        <w:t xml:space="preserve">Dz.U. 2024 poz. 1126). </w:t>
      </w:r>
    </w:p>
    <w:p w14:paraId="1D6F61D9" w14:textId="77777777" w:rsidR="00120A95" w:rsidRPr="00FD655F" w:rsidRDefault="00120A95" w:rsidP="00FD655F">
      <w:pPr>
        <w:pStyle w:val="pkt"/>
        <w:tabs>
          <w:tab w:val="left" w:pos="851"/>
        </w:tabs>
        <w:spacing w:before="0" w:after="0" w:line="276" w:lineRule="auto"/>
        <w:ind w:left="567" w:firstLine="0"/>
        <w:rPr>
          <w:rStyle w:val="Uwydatnienie"/>
          <w:rFonts w:ascii="Arial" w:hAnsi="Arial" w:cs="Arial"/>
          <w:sz w:val="20"/>
          <w:szCs w:val="20"/>
        </w:rPr>
      </w:pPr>
    </w:p>
    <w:p w14:paraId="68F151D5" w14:textId="77777777" w:rsidR="00120A95" w:rsidRPr="00120A95" w:rsidRDefault="00120A95" w:rsidP="00120A95">
      <w:pPr>
        <w:rPr>
          <w:lang w:eastAsia="en-US"/>
        </w:rPr>
      </w:pPr>
    </w:p>
    <w:p w14:paraId="1F60430D" w14:textId="77777777" w:rsidR="00120A95" w:rsidRPr="00120A95" w:rsidRDefault="00120A95" w:rsidP="00120A95">
      <w:pPr>
        <w:rPr>
          <w:lang w:eastAsia="en-US"/>
        </w:rPr>
      </w:pPr>
    </w:p>
    <w:p w14:paraId="4CA9241D" w14:textId="77777777" w:rsidR="00120A95" w:rsidRPr="00120A95" w:rsidRDefault="00120A95" w:rsidP="00120A95">
      <w:pPr>
        <w:rPr>
          <w:lang w:eastAsia="en-US"/>
        </w:rPr>
      </w:pPr>
    </w:p>
    <w:p w14:paraId="6A8F1DE4" w14:textId="77777777" w:rsidR="00120A95" w:rsidRPr="00120A95" w:rsidRDefault="00120A95" w:rsidP="00120A95">
      <w:pPr>
        <w:rPr>
          <w:lang w:eastAsia="en-US"/>
        </w:rPr>
      </w:pPr>
    </w:p>
    <w:p w14:paraId="18C081DE" w14:textId="3C97AFD2" w:rsidR="00120A95" w:rsidRDefault="00120A95" w:rsidP="00120A95">
      <w:pPr>
        <w:rPr>
          <w:lang w:eastAsia="en-US"/>
        </w:rPr>
      </w:pPr>
    </w:p>
    <w:p w14:paraId="2240DD6A" w14:textId="0C9588D3" w:rsidR="00FC0F2E" w:rsidRPr="00120A95" w:rsidRDefault="00120A95" w:rsidP="00120A95">
      <w:pPr>
        <w:tabs>
          <w:tab w:val="left" w:pos="7050"/>
        </w:tabs>
        <w:rPr>
          <w:lang w:eastAsia="en-US"/>
        </w:rPr>
      </w:pPr>
      <w:r>
        <w:rPr>
          <w:lang w:eastAsia="en-US"/>
        </w:rPr>
        <w:tab/>
      </w:r>
    </w:p>
    <w:sectPr w:rsidR="00FC0F2E" w:rsidRPr="00120A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E79BE" w14:textId="77777777" w:rsidR="00CB5D37" w:rsidRDefault="00CB5D37" w:rsidP="003D4C40">
      <w:pPr>
        <w:spacing w:before="0"/>
      </w:pPr>
      <w:r>
        <w:separator/>
      </w:r>
    </w:p>
  </w:endnote>
  <w:endnote w:type="continuationSeparator" w:id="0">
    <w:p w14:paraId="32BB0370" w14:textId="77777777" w:rsidR="00CB5D37" w:rsidRDefault="00CB5D37" w:rsidP="003D4C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334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1BC36E" w14:textId="531D7E86" w:rsidR="00120A95" w:rsidRDefault="00120A9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C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C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441B9" w14:textId="77777777" w:rsidR="00120A95" w:rsidRDefault="00120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0E3CE" w14:textId="77777777" w:rsidR="00CB5D37" w:rsidRDefault="00CB5D37" w:rsidP="003D4C40">
      <w:pPr>
        <w:spacing w:before="0"/>
      </w:pPr>
      <w:r>
        <w:separator/>
      </w:r>
    </w:p>
  </w:footnote>
  <w:footnote w:type="continuationSeparator" w:id="0">
    <w:p w14:paraId="71084DF4" w14:textId="77777777" w:rsidR="00CB5D37" w:rsidRDefault="00CB5D37" w:rsidP="003D4C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10198" w14:textId="77777777" w:rsidR="003D4C40" w:rsidRPr="00120A95" w:rsidRDefault="003D4C40" w:rsidP="00120A95">
    <w:pPr>
      <w:pStyle w:val="Nagwek2"/>
      <w:tabs>
        <w:tab w:val="left" w:pos="5954"/>
      </w:tabs>
      <w:spacing w:line="276" w:lineRule="auto"/>
      <w:ind w:left="6096"/>
      <w:jc w:val="both"/>
      <w:rPr>
        <w:rFonts w:cs="Arial"/>
        <w:i w:val="0"/>
      </w:rPr>
    </w:pPr>
    <w:r w:rsidRPr="00120A95">
      <w:rPr>
        <w:rFonts w:cs="Arial"/>
        <w:i w:val="0"/>
      </w:rPr>
      <w:t>Załącznik nr 1 do SIWZ</w:t>
    </w:r>
  </w:p>
  <w:p w14:paraId="0EF6EF4D" w14:textId="3EE02887" w:rsidR="003D4C40" w:rsidRPr="005F1260" w:rsidRDefault="003D4C40" w:rsidP="00120A95">
    <w:pPr>
      <w:spacing w:before="0" w:line="276" w:lineRule="auto"/>
      <w:ind w:left="6096"/>
      <w:rPr>
        <w:rFonts w:cs="Arial"/>
        <w:b/>
        <w:sz w:val="20"/>
      </w:rPr>
    </w:pPr>
    <w:r w:rsidRPr="005F1260">
      <w:rPr>
        <w:rFonts w:cs="Arial"/>
        <w:sz w:val="20"/>
      </w:rPr>
      <w:t>Znak sprawy</w:t>
    </w:r>
    <w:r w:rsidR="00CD7578">
      <w:rPr>
        <w:rFonts w:cs="Arial"/>
        <w:b/>
        <w:sz w:val="20"/>
      </w:rPr>
      <w:t>: LP.281.</w:t>
    </w:r>
    <w:r w:rsidR="00120A95">
      <w:rPr>
        <w:rFonts w:cs="Arial"/>
        <w:b/>
        <w:sz w:val="20"/>
      </w:rPr>
      <w:t>272</w:t>
    </w:r>
    <w:r w:rsidR="00F1126B">
      <w:rPr>
        <w:rFonts w:cs="Arial"/>
        <w:b/>
        <w:sz w:val="20"/>
      </w:rPr>
      <w:t>.2025</w:t>
    </w:r>
  </w:p>
  <w:p w14:paraId="0BADAF05" w14:textId="77777777" w:rsidR="003D4C40" w:rsidRDefault="003D4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21D47"/>
    <w:multiLevelType w:val="hybridMultilevel"/>
    <w:tmpl w:val="C90C6D62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7D71991"/>
    <w:multiLevelType w:val="hybridMultilevel"/>
    <w:tmpl w:val="240C52BC"/>
    <w:lvl w:ilvl="0" w:tplc="4AC4C4FC">
      <w:start w:val="1"/>
      <w:numFmt w:val="decimal"/>
      <w:lvlText w:val="6.%1.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3AD44B1"/>
    <w:multiLevelType w:val="multilevel"/>
    <w:tmpl w:val="68C6CFD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B3B7C58"/>
    <w:multiLevelType w:val="hybridMultilevel"/>
    <w:tmpl w:val="2FC2935C"/>
    <w:lvl w:ilvl="0" w:tplc="BF6C457E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821A55"/>
    <w:multiLevelType w:val="hybridMultilevel"/>
    <w:tmpl w:val="C0FC3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6F7171"/>
    <w:multiLevelType w:val="hybridMultilevel"/>
    <w:tmpl w:val="784C95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A0652A"/>
    <w:multiLevelType w:val="hybridMultilevel"/>
    <w:tmpl w:val="54D037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8B6B128">
      <w:start w:val="1"/>
      <w:numFmt w:val="decimal"/>
      <w:lvlText w:val="%3."/>
      <w:lvlJc w:val="left"/>
      <w:pPr>
        <w:tabs>
          <w:tab w:val="num" w:pos="1272"/>
        </w:tabs>
        <w:ind w:left="1555" w:hanging="28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7" w15:restartNumberingAfterBreak="0">
    <w:nsid w:val="642F36E5"/>
    <w:multiLevelType w:val="hybridMultilevel"/>
    <w:tmpl w:val="513A88E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9"/>
    <w:rsid w:val="00037B28"/>
    <w:rsid w:val="00064A82"/>
    <w:rsid w:val="00115CF1"/>
    <w:rsid w:val="00120A95"/>
    <w:rsid w:val="00134F85"/>
    <w:rsid w:val="00142037"/>
    <w:rsid w:val="00142647"/>
    <w:rsid w:val="001734F7"/>
    <w:rsid w:val="00215246"/>
    <w:rsid w:val="002A1606"/>
    <w:rsid w:val="002C2EC3"/>
    <w:rsid w:val="002D0181"/>
    <w:rsid w:val="0031785D"/>
    <w:rsid w:val="003A5852"/>
    <w:rsid w:val="003D4C40"/>
    <w:rsid w:val="003D4C4E"/>
    <w:rsid w:val="00430F87"/>
    <w:rsid w:val="00452AD0"/>
    <w:rsid w:val="00481FFC"/>
    <w:rsid w:val="004A1C15"/>
    <w:rsid w:val="004E1EFF"/>
    <w:rsid w:val="005F1260"/>
    <w:rsid w:val="006125A4"/>
    <w:rsid w:val="00630A68"/>
    <w:rsid w:val="006A4AC1"/>
    <w:rsid w:val="006C47B2"/>
    <w:rsid w:val="007575D6"/>
    <w:rsid w:val="00773D00"/>
    <w:rsid w:val="007813FA"/>
    <w:rsid w:val="007A49F5"/>
    <w:rsid w:val="007A663C"/>
    <w:rsid w:val="007C3673"/>
    <w:rsid w:val="007C5493"/>
    <w:rsid w:val="008323B9"/>
    <w:rsid w:val="00A13307"/>
    <w:rsid w:val="00A74F0D"/>
    <w:rsid w:val="00AE1991"/>
    <w:rsid w:val="00B50B40"/>
    <w:rsid w:val="00C749E5"/>
    <w:rsid w:val="00C931F0"/>
    <w:rsid w:val="00CB5D37"/>
    <w:rsid w:val="00CC4855"/>
    <w:rsid w:val="00CD1BCC"/>
    <w:rsid w:val="00CD7578"/>
    <w:rsid w:val="00D00AF1"/>
    <w:rsid w:val="00D7385E"/>
    <w:rsid w:val="00D939DA"/>
    <w:rsid w:val="00DC4F40"/>
    <w:rsid w:val="00EF2CFA"/>
    <w:rsid w:val="00F1126B"/>
    <w:rsid w:val="00F50113"/>
    <w:rsid w:val="00FC0F2E"/>
    <w:rsid w:val="00FD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793C"/>
  <w15:chartTrackingRefBased/>
  <w15:docId w15:val="{B36097CA-DC9D-4FF4-A58F-C5A65D5D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23B9"/>
    <w:pPr>
      <w:spacing w:before="60"/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323B9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8323B9"/>
    <w:pPr>
      <w:keepNext/>
      <w:spacing w:before="0"/>
      <w:ind w:left="6237"/>
      <w:jc w:val="left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23B9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323B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8323B9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rsid w:val="008323B9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8323B9"/>
    <w:rPr>
      <w:sz w:val="24"/>
      <w:szCs w:val="24"/>
    </w:rPr>
  </w:style>
  <w:style w:type="paragraph" w:customStyle="1" w:styleId="pkt">
    <w:name w:val="pkt"/>
    <w:basedOn w:val="Normalny"/>
    <w:link w:val="pktZnak"/>
    <w:rsid w:val="008323B9"/>
    <w:pPr>
      <w:spacing w:after="60"/>
      <w:ind w:left="851" w:hanging="295"/>
    </w:pPr>
    <w:rPr>
      <w:rFonts w:ascii="Calibri" w:eastAsia="Calibri" w:hAnsi="Calibri"/>
      <w:sz w:val="24"/>
      <w:szCs w:val="24"/>
      <w:lang w:eastAsia="en-US"/>
    </w:rPr>
  </w:style>
  <w:style w:type="character" w:styleId="Uwydatnienie">
    <w:name w:val="Emphasis"/>
    <w:uiPriority w:val="20"/>
    <w:qFormat/>
    <w:rsid w:val="008323B9"/>
    <w:rPr>
      <w:i/>
      <w:iCs/>
    </w:rPr>
  </w:style>
  <w:style w:type="character" w:customStyle="1" w:styleId="ng-binding">
    <w:name w:val="ng-binding"/>
    <w:basedOn w:val="Domylnaczcionkaakapitu"/>
    <w:rsid w:val="008323B9"/>
  </w:style>
  <w:style w:type="paragraph" w:styleId="Tekstdymka">
    <w:name w:val="Balloon Text"/>
    <w:basedOn w:val="Normalny"/>
    <w:link w:val="TekstdymkaZnak"/>
    <w:uiPriority w:val="99"/>
    <w:semiHidden/>
    <w:unhideWhenUsed/>
    <w:rsid w:val="001734F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734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2A16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606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2A160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6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1606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4C40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4C40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3D4C40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4C40"/>
    <w:rPr>
      <w:rFonts w:ascii="Arial" w:eastAsia="Times New Roman" w:hAnsi="Arial"/>
      <w:sz w:val="22"/>
    </w:rPr>
  </w:style>
  <w:style w:type="paragraph" w:styleId="Akapitzlist">
    <w:name w:val="List Paragraph"/>
    <w:basedOn w:val="Normalny"/>
    <w:uiPriority w:val="34"/>
    <w:qFormat/>
    <w:rsid w:val="0014203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58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0907">
                      <w:marLeft w:val="0"/>
                      <w:marRight w:val="0"/>
                      <w:marTop w:val="0"/>
                      <w:marBottom w:val="570"/>
                      <w:divBdr>
                        <w:top w:val="none" w:sz="0" w:space="0" w:color="auto"/>
                        <w:left w:val="single" w:sz="6" w:space="26" w:color="BABABA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5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84087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31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88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Maziarz Magdalena</cp:lastModifiedBy>
  <cp:revision>3</cp:revision>
  <cp:lastPrinted>2019-08-01T08:32:00Z</cp:lastPrinted>
  <dcterms:created xsi:type="dcterms:W3CDTF">2026-01-08T13:49:00Z</dcterms:created>
  <dcterms:modified xsi:type="dcterms:W3CDTF">2026-01-09T06:10:00Z</dcterms:modified>
</cp:coreProperties>
</file>