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7E4D8" w14:textId="6658A882" w:rsidR="00E824A2" w:rsidRDefault="044232B0" w:rsidP="224FDF54">
      <w:pPr>
        <w:rPr>
          <w:rFonts w:ascii="Aptos" w:eastAsia="Aptos" w:hAnsi="Aptos"/>
          <w:b/>
          <w:bCs/>
        </w:rPr>
      </w:pPr>
      <w:r w:rsidRPr="224FDF54">
        <w:rPr>
          <w:rFonts w:ascii="Aptos" w:eastAsia="Aptos" w:hAnsi="Aptos"/>
          <w:b/>
          <w:bCs/>
        </w:rPr>
        <w:t>Specyfikacja Warunków Zamówienia</w:t>
      </w:r>
    </w:p>
    <w:p w14:paraId="75709927" w14:textId="6E2A1659" w:rsidR="00E824A2" w:rsidRDefault="044232B0" w:rsidP="224FDF54">
      <w:pPr>
        <w:rPr>
          <w:rFonts w:ascii="Aptos" w:eastAsia="Aptos" w:hAnsi="Aptos"/>
          <w:b/>
          <w:bCs/>
        </w:rPr>
      </w:pPr>
      <w:r w:rsidRPr="224FDF54">
        <w:rPr>
          <w:rFonts w:ascii="Aptos" w:eastAsia="Aptos" w:hAnsi="Aptos"/>
          <w:b/>
          <w:bCs/>
        </w:rPr>
        <w:t>CEL</w:t>
      </w:r>
    </w:p>
    <w:p w14:paraId="42BDA79E" w14:textId="05AE9DC6" w:rsidR="00E824A2" w:rsidRDefault="4A569E9D" w:rsidP="224FDF54">
      <w:pPr>
        <w:rPr>
          <w:rFonts w:ascii="Aptos" w:eastAsia="Aptos" w:hAnsi="Aptos"/>
        </w:rPr>
      </w:pPr>
      <w:r w:rsidRPr="7B880848">
        <w:rPr>
          <w:rFonts w:ascii="Aptos" w:eastAsia="Aptos" w:hAnsi="Aptos"/>
        </w:rPr>
        <w:t>Celem niniejszego zamówienia jest zapewnienie Zamawiającemu dostępu do elastycznej i skalowalnej usługi wynajmu infrastruktury obliczeniowej wyposażonej w wysokowydajne układy GPU, przeznaczonej do zastosowań wymagających dużej mocy obliczeniowej. Usługa ma umożliwić prowadzenie zaawansowanych obliczeń, takich jak trening modeli sztucznej inteligencji i uczenia maszynowego (AI/ML) oraz symulacje w dogodnym modelu rozliczeniowym. Dzięki temu Zamawiający będzie mógł dynamicznie skalować wykorzystane zasoby obliczeniowe w zależności od bieżących potrzeb, płacąc proporcjonalnie do rezerwacji zasobów.</w:t>
      </w:r>
    </w:p>
    <w:p w14:paraId="35E32DE1" w14:textId="7A97C40F" w:rsidR="7B880848" w:rsidRDefault="7B880848" w:rsidP="7B880848">
      <w:pPr>
        <w:rPr>
          <w:rFonts w:ascii="Aptos" w:eastAsia="Aptos" w:hAnsi="Aptos"/>
          <w:b/>
          <w:bCs/>
        </w:rPr>
      </w:pPr>
    </w:p>
    <w:p w14:paraId="72A20123" w14:textId="322ADE54" w:rsidR="00E824A2" w:rsidRDefault="376E401A" w:rsidP="224FDF54">
      <w:pPr>
        <w:rPr>
          <w:rFonts w:ascii="Aptos" w:eastAsia="Aptos" w:hAnsi="Aptos"/>
          <w:b/>
          <w:bCs/>
        </w:rPr>
      </w:pPr>
      <w:r w:rsidRPr="470866B9">
        <w:rPr>
          <w:rFonts w:ascii="Aptos" w:eastAsia="Aptos" w:hAnsi="Aptos"/>
          <w:b/>
          <w:bCs/>
        </w:rPr>
        <w:t>PRZEDMIOT ZAMÓWIENIA</w:t>
      </w:r>
    </w:p>
    <w:p w14:paraId="579862C1" w14:textId="3DD9C23E" w:rsidR="00E824A2" w:rsidRDefault="376E401A" w:rsidP="224FDF54">
      <w:pPr>
        <w:rPr>
          <w:rFonts w:ascii="Aptos" w:eastAsia="Aptos" w:hAnsi="Aptos"/>
        </w:rPr>
      </w:pPr>
      <w:r w:rsidRPr="470866B9">
        <w:rPr>
          <w:rFonts w:ascii="Aptos" w:eastAsia="Aptos" w:hAnsi="Aptos"/>
        </w:rPr>
        <w:t xml:space="preserve">Przedmiotem zamówienia jest </w:t>
      </w:r>
      <w:r w:rsidRPr="470866B9">
        <w:rPr>
          <w:rFonts w:ascii="Aptos" w:eastAsia="Aptos" w:hAnsi="Aptos"/>
          <w:b/>
          <w:bCs/>
        </w:rPr>
        <w:t>usługa wynajmu i udostępnienia elastycznej, skalowalnej infrastruktury obliczeniowej z akceleratorami GPU</w:t>
      </w:r>
      <w:r w:rsidRPr="470866B9">
        <w:rPr>
          <w:rFonts w:ascii="Aptos" w:eastAsia="Aptos" w:hAnsi="Aptos"/>
        </w:rPr>
        <w:t xml:space="preserve"> do celów </w:t>
      </w:r>
      <w:r w:rsidR="2102A984" w:rsidRPr="470866B9">
        <w:rPr>
          <w:rFonts w:ascii="Aptos" w:eastAsia="Aptos" w:hAnsi="Aptos"/>
        </w:rPr>
        <w:t>związanych z wykorzystaniem modeli sztucznej inteligencji</w:t>
      </w:r>
      <w:r w:rsidRPr="470866B9">
        <w:rPr>
          <w:rFonts w:ascii="Aptos" w:eastAsia="Aptos" w:hAnsi="Aptos"/>
        </w:rPr>
        <w:t>. W ramach usługi Wykonawca zapewni Zamawiającemu zdalny dostęp do zasobów obliczeniowych (maszyn wirtualnych lub serwerów fizycznych) wyposażonych w wyspecyfikowane poniżej układy GPU, wraz z niezbędną infrastrukturą towarzyszącą.</w:t>
      </w:r>
    </w:p>
    <w:p w14:paraId="38588C6B" w14:textId="15CFA4CA" w:rsidR="00E824A2" w:rsidRDefault="4F8D31C5" w:rsidP="224FDF54">
      <w:pPr>
        <w:rPr>
          <w:rFonts w:ascii="Aptos" w:eastAsia="Aptos" w:hAnsi="Aptos"/>
        </w:rPr>
      </w:pPr>
      <w:r w:rsidRPr="7B880848">
        <w:rPr>
          <w:rFonts w:ascii="Aptos" w:eastAsia="Aptos" w:hAnsi="Aptos"/>
        </w:rPr>
        <w:t>Usługa obejmuje dostarczenie odpowiedniej mocy obliczeniowej na żądanie, zgodnie z potrzebami Zamawiająceg</w:t>
      </w:r>
      <w:r w:rsidR="54169BA7" w:rsidRPr="7B880848">
        <w:rPr>
          <w:rFonts w:ascii="Aptos" w:eastAsia="Aptos" w:hAnsi="Aptos"/>
        </w:rPr>
        <w:t>o</w:t>
      </w:r>
      <w:r w:rsidRPr="7B880848">
        <w:rPr>
          <w:rFonts w:ascii="Aptos" w:eastAsia="Aptos" w:hAnsi="Aptos"/>
        </w:rPr>
        <w:t>, oraz utrzymanie środowiska informatycznego umożliwiającego pełne wykorzystanie tych zasobów. W szczególności Wykonawca zobowiązuje się zapewnić dostęp do instancji obliczeniowych o wymaganych parametrach sprzętowych, z pełnym dostępem administracyjnym dla Zamawiającego, a także dostęp do wymaganej przestrzeni dyskowej i preinstalowanych narzędzi programistycznych zgodnie z dalszymi wymaganiami technicznymi.</w:t>
      </w:r>
    </w:p>
    <w:p w14:paraId="6E2B5662" w14:textId="6BF29B99" w:rsidR="00E824A2" w:rsidRDefault="044232B0" w:rsidP="224FDF54">
      <w:pPr>
        <w:rPr>
          <w:rFonts w:ascii="Aptos" w:eastAsia="Aptos" w:hAnsi="Aptos"/>
          <w:b/>
          <w:bCs/>
        </w:rPr>
      </w:pPr>
      <w:r w:rsidRPr="224FDF54">
        <w:rPr>
          <w:rFonts w:ascii="Aptos" w:eastAsia="Aptos" w:hAnsi="Aptos"/>
          <w:b/>
          <w:bCs/>
        </w:rPr>
        <w:t>WYMAGANIA TECHNICZNE</w:t>
      </w:r>
    </w:p>
    <w:p w14:paraId="6FA3320D" w14:textId="08CA999B" w:rsidR="00E824A2" w:rsidRDefault="044232B0" w:rsidP="224FDF54">
      <w:pPr>
        <w:rPr>
          <w:rFonts w:ascii="Aptos" w:eastAsia="Aptos" w:hAnsi="Aptos"/>
        </w:rPr>
      </w:pPr>
      <w:r w:rsidRPr="224FDF54">
        <w:rPr>
          <w:rFonts w:ascii="Aptos" w:eastAsia="Aptos" w:hAnsi="Aptos"/>
        </w:rPr>
        <w:t>Oferowana usługa musi spełniać następujące minimalne wymagania techniczne:</w:t>
      </w:r>
    </w:p>
    <w:p w14:paraId="109C4DAB" w14:textId="1A646B98" w:rsidR="00E824A2" w:rsidRDefault="376E401A" w:rsidP="224FDF54">
      <w:pPr>
        <w:numPr>
          <w:ilvl w:val="0"/>
          <w:numId w:val="3"/>
        </w:numPr>
        <w:rPr>
          <w:rFonts w:ascii="Aptos" w:eastAsia="Aptos" w:hAnsi="Aptos"/>
        </w:rPr>
      </w:pPr>
      <w:r w:rsidRPr="470866B9">
        <w:rPr>
          <w:rFonts w:ascii="Aptos" w:eastAsia="Aptos" w:hAnsi="Aptos"/>
          <w:b/>
          <w:bCs/>
        </w:rPr>
        <w:t>Sprzęt GPU:</w:t>
      </w:r>
      <w:r w:rsidRPr="470866B9">
        <w:rPr>
          <w:rFonts w:ascii="Aptos" w:eastAsia="Aptos" w:hAnsi="Aptos"/>
        </w:rPr>
        <w:t xml:space="preserve"> Zastosowane procesory graficzne (GPU) muszą charakteryzować się wydajnością klasy co najmniej </w:t>
      </w:r>
      <w:r w:rsidRPr="470866B9">
        <w:rPr>
          <w:rFonts w:ascii="Aptos" w:eastAsia="Aptos" w:hAnsi="Aptos"/>
          <w:b/>
          <w:bCs/>
        </w:rPr>
        <w:t>NVIDIA H100</w:t>
      </w:r>
      <w:r w:rsidRPr="470866B9">
        <w:rPr>
          <w:rFonts w:ascii="Aptos" w:eastAsia="Aptos" w:hAnsi="Aptos"/>
        </w:rPr>
        <w:t xml:space="preserve"> (</w:t>
      </w:r>
      <w:r w:rsidR="42817AB4" w:rsidRPr="470866B9">
        <w:rPr>
          <w:rFonts w:ascii="Aptos" w:eastAsia="Aptos" w:hAnsi="Aptos"/>
          <w:lang w:val="it-IT"/>
        </w:rPr>
        <w:t xml:space="preserve">wydajność: 980 TFLOPS – FP32, </w:t>
      </w:r>
      <w:r w:rsidR="42817AB4" w:rsidRPr="470866B9">
        <w:rPr>
          <w:lang w:val="it-IT"/>
        </w:rPr>
        <w:t>1975 TFLOPS - FP16/BF16)</w:t>
      </w:r>
      <w:r w:rsidR="0A7C8E3F" w:rsidRPr="470866B9">
        <w:rPr>
          <w:lang w:val="it-IT"/>
        </w:rPr>
        <w:t xml:space="preserve"> lub </w:t>
      </w:r>
      <w:r w:rsidRPr="470866B9">
        <w:rPr>
          <w:rFonts w:ascii="Aptos" w:eastAsia="Aptos" w:hAnsi="Aptos"/>
        </w:rPr>
        <w:t xml:space="preserve">równoważnej. Każdy GPU powinien dysponować </w:t>
      </w:r>
      <w:r w:rsidRPr="470866B9">
        <w:rPr>
          <w:rFonts w:ascii="Aptos" w:eastAsia="Aptos" w:hAnsi="Aptos"/>
          <w:b/>
          <w:bCs/>
        </w:rPr>
        <w:t>minimum 80 GB</w:t>
      </w:r>
      <w:r w:rsidRPr="470866B9">
        <w:rPr>
          <w:rFonts w:ascii="Aptos" w:eastAsia="Aptos" w:hAnsi="Aptos"/>
        </w:rPr>
        <w:t xml:space="preserve"> własnej pamięci VRAM o bardzo wysokiej przepustowości (co najmniej </w:t>
      </w:r>
      <w:r w:rsidR="787B8F63" w:rsidRPr="470866B9">
        <w:rPr>
          <w:rFonts w:ascii="Aptos" w:eastAsia="Aptos" w:hAnsi="Aptos"/>
          <w:b/>
          <w:bCs/>
        </w:rPr>
        <w:t xml:space="preserve">3 </w:t>
      </w:r>
      <w:r w:rsidRPr="470866B9">
        <w:rPr>
          <w:rFonts w:ascii="Aptos" w:eastAsia="Aptos" w:hAnsi="Aptos"/>
          <w:b/>
          <w:bCs/>
        </w:rPr>
        <w:t>TB/s</w:t>
      </w:r>
      <w:r w:rsidRPr="470866B9">
        <w:rPr>
          <w:rFonts w:ascii="Aptos" w:eastAsia="Aptos" w:hAnsi="Aptos"/>
        </w:rPr>
        <w:t xml:space="preserve">). Wymagane jest, aby układy GPU posiadały specjalizowane jednostki do przyspieszania obliczeń macierzowych i AI (np. </w:t>
      </w:r>
      <w:r w:rsidRPr="470866B9">
        <w:rPr>
          <w:rFonts w:ascii="Aptos" w:eastAsia="Aptos" w:hAnsi="Aptos"/>
          <w:b/>
          <w:bCs/>
        </w:rPr>
        <w:t>Tensor Cores</w:t>
      </w:r>
      <w:r w:rsidRPr="470866B9">
        <w:rPr>
          <w:rFonts w:ascii="Aptos" w:eastAsia="Aptos" w:hAnsi="Aptos"/>
        </w:rPr>
        <w:t xml:space="preserve"> lub równoważne technologie w przypadku innego producenta). Dopuszcza się </w:t>
      </w:r>
      <w:r w:rsidRPr="470866B9">
        <w:rPr>
          <w:rFonts w:ascii="Aptos" w:eastAsia="Aptos" w:hAnsi="Aptos"/>
        </w:rPr>
        <w:lastRenderedPageBreak/>
        <w:t>układy nowszej generacji o równoważnych lub wyższych parametrach (jeśli dostępne na rynku w okresie realizacji zamówienia).</w:t>
      </w:r>
    </w:p>
    <w:p w14:paraId="1A269A3F" w14:textId="0E921C6A" w:rsidR="00E824A2" w:rsidRDefault="4F8D31C5" w:rsidP="224FDF54">
      <w:pPr>
        <w:numPr>
          <w:ilvl w:val="0"/>
          <w:numId w:val="3"/>
        </w:numPr>
        <w:rPr>
          <w:rFonts w:ascii="Aptos" w:eastAsia="Aptos" w:hAnsi="Aptos"/>
        </w:rPr>
      </w:pPr>
      <w:r w:rsidRPr="7B880848">
        <w:rPr>
          <w:rFonts w:ascii="Aptos" w:eastAsia="Aptos" w:hAnsi="Aptos"/>
          <w:b/>
          <w:bCs/>
        </w:rPr>
        <w:t>Konfiguracja i skalowalność:</w:t>
      </w:r>
      <w:r w:rsidRPr="7B880848">
        <w:rPr>
          <w:rFonts w:ascii="Aptos" w:eastAsia="Aptos" w:hAnsi="Aptos"/>
        </w:rPr>
        <w:t xml:space="preserve"> Usługa musi umożliwiać elastyczne konfigurowanie zasobów GPU. W szczególności wymaga się możliwości przydzielenia od </w:t>
      </w:r>
      <w:r w:rsidRPr="7B880848">
        <w:rPr>
          <w:rFonts w:ascii="Aptos" w:eastAsia="Aptos" w:hAnsi="Aptos"/>
          <w:b/>
          <w:bCs/>
        </w:rPr>
        <w:t>1 do 8 GPU</w:t>
      </w:r>
      <w:r w:rsidRPr="7B880848">
        <w:rPr>
          <w:rFonts w:ascii="Aptos" w:eastAsia="Aptos" w:hAnsi="Aptos"/>
        </w:rPr>
        <w:t xml:space="preserve"> w ramach pojedynczej instancji (maszyny wirtualnej lub serwera fizycznego) w zależności od potrzeb konkretnego zadania. Wykonawca powinien zapewnić opcję jednoczesnego uruchomienia wielu instancji/maszyn, co pozwoli Zamawiającemu korzystać z większej liczby GPU równolegle, jeżeli zajdzie taka potrzeba. Skalowanie zasobów (zarówno zwiększanie, jak i zmniejszanie liczby aktywnych instancji lub przypisanych GPU) powinno być możliwe dynamicznie, na żądanie Zamawiającego, z minimalnym czasem oczekiwania.</w:t>
      </w:r>
    </w:p>
    <w:p w14:paraId="0E07A263" w14:textId="4583B025" w:rsidR="00E824A2" w:rsidRDefault="044232B0" w:rsidP="224FDF54">
      <w:pPr>
        <w:numPr>
          <w:ilvl w:val="0"/>
          <w:numId w:val="3"/>
        </w:numPr>
        <w:rPr>
          <w:rFonts w:ascii="Aptos" w:eastAsia="Aptos" w:hAnsi="Aptos"/>
        </w:rPr>
      </w:pPr>
      <w:r w:rsidRPr="224FDF54">
        <w:rPr>
          <w:rFonts w:ascii="Aptos" w:eastAsia="Aptos" w:hAnsi="Aptos"/>
          <w:b/>
          <w:bCs/>
        </w:rPr>
        <w:t>System operacyjny i dostęp:</w:t>
      </w:r>
      <w:r w:rsidRPr="224FDF54">
        <w:rPr>
          <w:rFonts w:ascii="Aptos" w:eastAsia="Aptos" w:hAnsi="Aptos"/>
        </w:rPr>
        <w:t xml:space="preserve"> Udostępnione instancje obliczeniowe muszą obsługiwać systemy operacyjne z </w:t>
      </w:r>
      <w:r w:rsidRPr="224FDF54">
        <w:rPr>
          <w:rFonts w:ascii="Aptos" w:eastAsia="Aptos" w:hAnsi="Aptos"/>
          <w:b/>
          <w:bCs/>
        </w:rPr>
        <w:t>jądrem Linux</w:t>
      </w:r>
      <w:r w:rsidRPr="224FDF54">
        <w:rPr>
          <w:rFonts w:ascii="Aptos" w:eastAsia="Aptos" w:hAnsi="Aptos"/>
        </w:rPr>
        <w:t xml:space="preserve">. W szczególności wymaga się pełnej kompatybilności co najmniej z następującymi dystrybucjami: </w:t>
      </w:r>
      <w:r w:rsidRPr="224FDF54">
        <w:rPr>
          <w:rFonts w:ascii="Aptos" w:eastAsia="Aptos" w:hAnsi="Aptos"/>
          <w:b/>
          <w:bCs/>
        </w:rPr>
        <w:t>Ubuntu</w:t>
      </w:r>
      <w:r w:rsidRPr="224FDF54">
        <w:rPr>
          <w:rFonts w:ascii="Aptos" w:eastAsia="Aptos" w:hAnsi="Aptos"/>
        </w:rPr>
        <w:t xml:space="preserve">, </w:t>
      </w:r>
      <w:r w:rsidRPr="224FDF54">
        <w:rPr>
          <w:rFonts w:ascii="Aptos" w:eastAsia="Aptos" w:hAnsi="Aptos"/>
          <w:b/>
          <w:bCs/>
        </w:rPr>
        <w:t>Arch Linux</w:t>
      </w:r>
      <w:r w:rsidRPr="224FDF54">
        <w:rPr>
          <w:rFonts w:ascii="Aptos" w:eastAsia="Aptos" w:hAnsi="Aptos"/>
        </w:rPr>
        <w:t xml:space="preserve"> oraz </w:t>
      </w:r>
      <w:r w:rsidRPr="224FDF54">
        <w:rPr>
          <w:rFonts w:ascii="Aptos" w:eastAsia="Aptos" w:hAnsi="Aptos"/>
          <w:b/>
          <w:bCs/>
        </w:rPr>
        <w:t>Fedora</w:t>
      </w:r>
      <w:r w:rsidRPr="224FDF54">
        <w:rPr>
          <w:rFonts w:ascii="Aptos" w:eastAsia="Aptos" w:hAnsi="Aptos"/>
        </w:rPr>
        <w:t xml:space="preserve"> (dopuszczalne są również inne dystrybucje Linuksa po potwierdzeniu kompatybilność z oprogramowaniem realizującym obliczenia). Zamawiający musi posiadać </w:t>
      </w:r>
      <w:r w:rsidRPr="224FDF54">
        <w:rPr>
          <w:rFonts w:ascii="Aptos" w:eastAsia="Aptos" w:hAnsi="Aptos"/>
          <w:b/>
          <w:bCs/>
        </w:rPr>
        <w:t>pełne uprawnienia administratora (root)</w:t>
      </w:r>
      <w:r w:rsidRPr="224FDF54">
        <w:rPr>
          <w:rFonts w:ascii="Aptos" w:eastAsia="Aptos" w:hAnsi="Aptos"/>
        </w:rPr>
        <w:t xml:space="preserve"> w systemie operacyjnym każdej instancji, co umożliwi samodzielną instalację oprogramowania i konfigurację środowiska. Dostęp do instancji musi być zapewniony zdalnie poprzez </w:t>
      </w:r>
      <w:r w:rsidRPr="224FDF54">
        <w:rPr>
          <w:rFonts w:ascii="Aptos" w:eastAsia="Aptos" w:hAnsi="Aptos"/>
          <w:b/>
          <w:bCs/>
        </w:rPr>
        <w:t>protokół SSH</w:t>
      </w:r>
      <w:r w:rsidRPr="224FDF54">
        <w:rPr>
          <w:rFonts w:ascii="Aptos" w:eastAsia="Aptos" w:hAnsi="Aptos"/>
        </w:rPr>
        <w:t>, umożliwiający zdalną pracę na wynajętych maszynach.</w:t>
      </w:r>
    </w:p>
    <w:p w14:paraId="4A1D0773" w14:textId="5B80D096" w:rsidR="00E824A2" w:rsidRDefault="044232B0" w:rsidP="224FDF54">
      <w:pPr>
        <w:numPr>
          <w:ilvl w:val="0"/>
          <w:numId w:val="3"/>
        </w:numPr>
        <w:rPr>
          <w:rFonts w:ascii="Aptos" w:eastAsia="Aptos" w:hAnsi="Aptos"/>
        </w:rPr>
      </w:pPr>
      <w:r w:rsidRPr="224FDF54">
        <w:rPr>
          <w:rFonts w:ascii="Aptos" w:eastAsia="Aptos" w:hAnsi="Aptos"/>
          <w:b/>
          <w:bCs/>
        </w:rPr>
        <w:t>Środowisko AI/ML:</w:t>
      </w:r>
      <w:r w:rsidRPr="224FDF54">
        <w:rPr>
          <w:rFonts w:ascii="Aptos" w:eastAsia="Aptos" w:hAnsi="Aptos"/>
        </w:rPr>
        <w:t xml:space="preserve"> Wykonawca powinien zapewnić wsparcie dla zastosowań sztucznej inteligencji i uczenia maszynowego. Preferowane jest udostępnienie </w:t>
      </w:r>
      <w:r w:rsidRPr="224FDF54">
        <w:rPr>
          <w:rFonts w:ascii="Aptos" w:eastAsia="Aptos" w:hAnsi="Aptos"/>
          <w:b/>
          <w:bCs/>
        </w:rPr>
        <w:t>gotowych obrazów maszyn lub kontenerów</w:t>
      </w:r>
      <w:r w:rsidRPr="224FDF54">
        <w:rPr>
          <w:rFonts w:ascii="Aptos" w:eastAsia="Aptos" w:hAnsi="Aptos"/>
        </w:rPr>
        <w:t xml:space="preserve"> z preinstalowanym oprogramowaniem niezbędnym do pracy z AI/ML. W szczególności w środowisku powinny być dostępne aktualne wersje popularnych frameworków, takich jak </w:t>
      </w:r>
      <w:r w:rsidRPr="224FDF54">
        <w:rPr>
          <w:rFonts w:ascii="Aptos" w:eastAsia="Aptos" w:hAnsi="Aptos"/>
          <w:b/>
          <w:bCs/>
        </w:rPr>
        <w:t>PyTorch</w:t>
      </w:r>
      <w:r w:rsidRPr="224FDF54">
        <w:rPr>
          <w:rFonts w:ascii="Aptos" w:eastAsia="Aptos" w:hAnsi="Aptos"/>
        </w:rPr>
        <w:t xml:space="preserve"> i </w:t>
      </w:r>
      <w:r w:rsidRPr="224FDF54">
        <w:rPr>
          <w:rFonts w:ascii="Aptos" w:eastAsia="Aptos" w:hAnsi="Aptos"/>
          <w:b/>
          <w:bCs/>
        </w:rPr>
        <w:t>TensorFlow</w:t>
      </w:r>
      <w:r w:rsidRPr="224FDF54">
        <w:rPr>
          <w:rFonts w:ascii="Aptos" w:eastAsia="Aptos" w:hAnsi="Aptos"/>
        </w:rPr>
        <w:t xml:space="preserve">, wraz z odpowiednimi bibliotekami (np. </w:t>
      </w:r>
      <w:r w:rsidRPr="224FDF54">
        <w:rPr>
          <w:rFonts w:ascii="Aptos" w:eastAsia="Aptos" w:hAnsi="Aptos"/>
          <w:b/>
          <w:bCs/>
        </w:rPr>
        <w:t>CUDA</w:t>
      </w:r>
      <w:r w:rsidRPr="224FDF54">
        <w:rPr>
          <w:rFonts w:ascii="Aptos" w:eastAsia="Aptos" w:hAnsi="Aptos"/>
        </w:rPr>
        <w:t xml:space="preserve">, </w:t>
      </w:r>
      <w:r w:rsidRPr="224FDF54">
        <w:rPr>
          <w:rFonts w:ascii="Aptos" w:eastAsia="Aptos" w:hAnsi="Aptos"/>
          <w:b/>
          <w:bCs/>
        </w:rPr>
        <w:t>cuDNN</w:t>
      </w:r>
      <w:r w:rsidRPr="224FDF54">
        <w:rPr>
          <w:rFonts w:ascii="Aptos" w:eastAsia="Aptos" w:hAnsi="Aptos"/>
        </w:rPr>
        <w:t xml:space="preserve"> dla układów NVIDIA) oraz sterownikami GPU. Jeżeli gotowe obrazy nie są dostarczane, Wykonawca musi zapewnić, że instalacja wymaganego oprogramowania na instancjach (przez Zamawiającego) będzie możliwa i nieograniczona, a wszelkie niezbędne sterowniki do obsługi GPU są dostępne i kompatybilne z wybranym systemem operacyjnym i wyżej wymienionym oprogramowaniem.</w:t>
      </w:r>
    </w:p>
    <w:p w14:paraId="63EC7DD2" w14:textId="00CD5FCD" w:rsidR="00E824A2" w:rsidRDefault="376E401A" w:rsidP="224FDF54">
      <w:pPr>
        <w:numPr>
          <w:ilvl w:val="0"/>
          <w:numId w:val="3"/>
        </w:numPr>
        <w:rPr>
          <w:rFonts w:ascii="Aptos" w:eastAsia="Aptos" w:hAnsi="Aptos"/>
        </w:rPr>
      </w:pPr>
      <w:r w:rsidRPr="470866B9">
        <w:rPr>
          <w:rFonts w:ascii="Aptos" w:eastAsia="Aptos" w:hAnsi="Aptos"/>
          <w:b/>
          <w:bCs/>
        </w:rPr>
        <w:t>Pamięć masowa:</w:t>
      </w:r>
      <w:r w:rsidRPr="470866B9">
        <w:rPr>
          <w:rFonts w:ascii="Aptos" w:eastAsia="Aptos" w:hAnsi="Aptos"/>
        </w:rPr>
        <w:t xml:space="preserve"> Usługa musi zapewniać </w:t>
      </w:r>
      <w:r w:rsidRPr="470866B9">
        <w:rPr>
          <w:rFonts w:ascii="Aptos" w:eastAsia="Aptos" w:hAnsi="Aptos"/>
          <w:b/>
          <w:bCs/>
        </w:rPr>
        <w:t>trwałą przestrzeń dyskową</w:t>
      </w:r>
      <w:r w:rsidRPr="470866B9">
        <w:rPr>
          <w:rFonts w:ascii="Aptos" w:eastAsia="Aptos" w:hAnsi="Aptos"/>
        </w:rPr>
        <w:t xml:space="preserve"> o pojemności co najmniej </w:t>
      </w:r>
      <w:r w:rsidRPr="470866B9">
        <w:rPr>
          <w:rFonts w:ascii="Aptos" w:eastAsia="Aptos" w:hAnsi="Aptos"/>
          <w:b/>
          <w:bCs/>
        </w:rPr>
        <w:t>1 TB</w:t>
      </w:r>
      <w:r w:rsidRPr="470866B9">
        <w:rPr>
          <w:rFonts w:ascii="Aptos" w:eastAsia="Aptos" w:hAnsi="Aptos"/>
        </w:rPr>
        <w:t>, dostępną dla instancji obliczeniowych Zamawiającego. Przestrzeń ta powinna umożliwiać</w:t>
      </w:r>
      <w:r w:rsidR="1D641FB6" w:rsidRPr="470866B9">
        <w:rPr>
          <w:rFonts w:ascii="Aptos" w:eastAsia="Aptos" w:hAnsi="Aptos"/>
          <w:b/>
          <w:bCs/>
        </w:rPr>
        <w:t xml:space="preserve"> trwałe </w:t>
      </w:r>
      <w:r w:rsidRPr="470866B9">
        <w:rPr>
          <w:rFonts w:ascii="Aptos" w:eastAsia="Aptos" w:hAnsi="Aptos"/>
          <w:b/>
          <w:bCs/>
        </w:rPr>
        <w:t xml:space="preserve">przechowywanie </w:t>
      </w:r>
      <w:r w:rsidRPr="470866B9">
        <w:rPr>
          <w:rFonts w:ascii="Aptos" w:eastAsia="Aptos" w:hAnsi="Aptos"/>
          <w:b/>
          <w:bCs/>
        </w:rPr>
        <w:lastRenderedPageBreak/>
        <w:t>danych</w:t>
      </w:r>
      <w:r w:rsidRPr="470866B9">
        <w:rPr>
          <w:rFonts w:ascii="Aptos" w:eastAsia="Aptos" w:hAnsi="Aptos"/>
        </w:rPr>
        <w:t xml:space="preserve"> – tzn. dane zachowują integralność i dostępność niezależnie od ewentualnego wyłączenia lub restartu instancji obliczeniowych. Preferowane jest, aby przestrzeń dyskowa była zrealizowana w oparciu o szybkie dyski (np. technologia SSD/NVMe) zapewniające odpowiednią wydajność operacji we/wy. Wykonawca powinien gwarantować możliwość rozszerzenia przestrzeni dyskowej w razie wzrostu zapotrzebowania oraz zapewnić mechanizmy zabezpieczające dane.</w:t>
      </w:r>
    </w:p>
    <w:p w14:paraId="0F25778F" w14:textId="6077C541" w:rsidR="00E824A2" w:rsidRDefault="044232B0" w:rsidP="224FDF54">
      <w:pPr>
        <w:numPr>
          <w:ilvl w:val="0"/>
          <w:numId w:val="3"/>
        </w:numPr>
        <w:rPr>
          <w:rFonts w:ascii="Aptos" w:eastAsia="Aptos" w:hAnsi="Aptos"/>
        </w:rPr>
      </w:pPr>
      <w:r w:rsidRPr="224FDF54">
        <w:rPr>
          <w:rFonts w:ascii="Aptos" w:eastAsia="Aptos" w:hAnsi="Aptos"/>
          <w:b/>
          <w:bCs/>
        </w:rPr>
        <w:t>Model rozliczeń (pay-per-use):</w:t>
      </w:r>
      <w:r w:rsidRPr="224FDF54">
        <w:rPr>
          <w:rFonts w:ascii="Aptos" w:eastAsia="Aptos" w:hAnsi="Aptos"/>
        </w:rPr>
        <w:t xml:space="preserve"> Oferowana usługa musi być świadczona w modelu rozliczeniowym opartym o rzeczywiste wykorzystanie zasobów. </w:t>
      </w:r>
      <w:r w:rsidRPr="224FDF54">
        <w:rPr>
          <w:rFonts w:ascii="Aptos" w:eastAsia="Aptos" w:hAnsi="Aptos"/>
          <w:b/>
          <w:bCs/>
        </w:rPr>
        <w:t>Rozliczanie za rzeczywiste zużycie</w:t>
      </w:r>
      <w:r w:rsidRPr="224FDF54">
        <w:rPr>
          <w:rFonts w:ascii="Aptos" w:eastAsia="Aptos" w:hAnsi="Aptos"/>
        </w:rPr>
        <w:t xml:space="preserve"> oznacza, że Zamawiający ponosi koszty proporcjonalne do użycia infrastruktury – np. czasu działania instancji z GPU, liczby wykorzystanych GPU-godzin/dni – zamiast stałej opłaty niezależnej od wykorzystania. Wszelkie opłaty stałe (abonamentowe) po stronie Zamawiającego powinny być ograniczone do niezbędnego minimum albo nie występować wcale. Wymagane jest, by Wykonawca dostarczał czytelne i szczegółowe raporty zużycia zasobów, które będą podstawą do naliczania opłat (zgodnie z zasadami opisanymi w sekcji </w:t>
      </w:r>
      <w:r w:rsidRPr="224FDF54">
        <w:rPr>
          <w:rFonts w:ascii="Aptos" w:eastAsia="Aptos" w:hAnsi="Aptos"/>
          <w:b/>
          <w:bCs/>
        </w:rPr>
        <w:t>WARUNKI DODATKOWE</w:t>
      </w:r>
      <w:r w:rsidRPr="224FDF54">
        <w:rPr>
          <w:rFonts w:ascii="Aptos" w:eastAsia="Aptos" w:hAnsi="Aptos"/>
        </w:rPr>
        <w:t xml:space="preserve"> dotyczącej monitoringu i rozliczalności).</w:t>
      </w:r>
    </w:p>
    <w:p w14:paraId="6B8CB741" w14:textId="779F31BE" w:rsidR="00E824A2" w:rsidRDefault="044232B0" w:rsidP="224FDF54">
      <w:pPr>
        <w:rPr>
          <w:rFonts w:ascii="Aptos" w:eastAsia="Aptos" w:hAnsi="Aptos"/>
          <w:b/>
          <w:bCs/>
        </w:rPr>
      </w:pPr>
      <w:r w:rsidRPr="224FDF54">
        <w:rPr>
          <w:rFonts w:ascii="Aptos" w:eastAsia="Aptos" w:hAnsi="Aptos"/>
          <w:b/>
          <w:bCs/>
        </w:rPr>
        <w:t>WARUNKI DODATKOWE</w:t>
      </w:r>
    </w:p>
    <w:p w14:paraId="0598AA2D" w14:textId="7861B335" w:rsidR="00E824A2" w:rsidRDefault="044232B0" w:rsidP="224FDF54">
      <w:pPr>
        <w:rPr>
          <w:rFonts w:ascii="Aptos" w:eastAsia="Aptos" w:hAnsi="Aptos"/>
        </w:rPr>
      </w:pPr>
      <w:r w:rsidRPr="224FDF54">
        <w:rPr>
          <w:rFonts w:ascii="Aptos" w:eastAsia="Aptos" w:hAnsi="Aptos"/>
        </w:rPr>
        <w:t>Ponadto, oferowana usługa musi spełniać następujące dodatkowe warunki i zapewnienia:</w:t>
      </w:r>
    </w:p>
    <w:p w14:paraId="6D2FC747" w14:textId="6F0F3B60" w:rsidR="00E824A2" w:rsidRDefault="044232B0" w:rsidP="224FDF54">
      <w:pPr>
        <w:numPr>
          <w:ilvl w:val="0"/>
          <w:numId w:val="3"/>
        </w:numPr>
        <w:rPr>
          <w:rFonts w:ascii="Aptos" w:eastAsia="Aptos" w:hAnsi="Aptos"/>
        </w:rPr>
      </w:pPr>
      <w:r w:rsidRPr="224FDF54">
        <w:rPr>
          <w:rFonts w:ascii="Aptos" w:eastAsia="Aptos" w:hAnsi="Aptos"/>
          <w:b/>
          <w:bCs/>
        </w:rPr>
        <w:t>Gwarancja dostępności (SLA):</w:t>
      </w:r>
      <w:r w:rsidRPr="224FDF54">
        <w:rPr>
          <w:rFonts w:ascii="Aptos" w:eastAsia="Aptos" w:hAnsi="Aptos"/>
        </w:rPr>
        <w:t xml:space="preserve"> Wykonawca powinien zapewnić wysoki poziom dostępności usługi, potwierdzony zapisami w </w:t>
      </w:r>
      <w:r w:rsidRPr="224FDF54">
        <w:rPr>
          <w:rFonts w:ascii="Aptos" w:eastAsia="Aptos" w:hAnsi="Aptos"/>
          <w:b/>
          <w:bCs/>
        </w:rPr>
        <w:t>Umowie o Poziomie Usługi (SLA)</w:t>
      </w:r>
      <w:r w:rsidRPr="224FDF54">
        <w:rPr>
          <w:rFonts w:ascii="Aptos" w:eastAsia="Aptos" w:hAnsi="Aptos"/>
        </w:rPr>
        <w:t xml:space="preserve">. Wymagany minimalny poziom dostępności to </w:t>
      </w:r>
      <w:r w:rsidRPr="224FDF54">
        <w:rPr>
          <w:rFonts w:ascii="Aptos" w:eastAsia="Aptos" w:hAnsi="Aptos"/>
          <w:b/>
          <w:bCs/>
        </w:rPr>
        <w:t>99,5%</w:t>
      </w:r>
      <w:r w:rsidRPr="224FDF54">
        <w:rPr>
          <w:rFonts w:ascii="Aptos" w:eastAsia="Aptos" w:hAnsi="Aptos"/>
        </w:rPr>
        <w:t xml:space="preserve"> w skali miesiąca (lub wyższy), z uwzględnieniem ewentualnych zaplanowanych okien konserwacyjnych. SLA powinno precyzować zasady postępowania w przypadku awarii lub przerw w świadczeniu usługi, w tym ewentualne mechanizmy kompensacyjne lub kary umowne dla Wykonawcy za niedotrzymanie gwarantowanego poziomu dostępności.</w:t>
      </w:r>
    </w:p>
    <w:p w14:paraId="0CB69AE0" w14:textId="3ECA1D4E" w:rsidR="00E824A2" w:rsidRDefault="044232B0" w:rsidP="224FDF54">
      <w:pPr>
        <w:numPr>
          <w:ilvl w:val="0"/>
          <w:numId w:val="3"/>
        </w:numPr>
        <w:rPr>
          <w:rFonts w:ascii="Aptos" w:eastAsia="Aptos" w:hAnsi="Aptos"/>
        </w:rPr>
      </w:pPr>
      <w:r w:rsidRPr="224FDF54">
        <w:rPr>
          <w:rFonts w:ascii="Aptos" w:eastAsia="Aptos" w:hAnsi="Aptos"/>
          <w:b/>
          <w:bCs/>
        </w:rPr>
        <w:t>Lokalizacja danych:</w:t>
      </w:r>
      <w:r w:rsidRPr="224FDF54">
        <w:rPr>
          <w:rFonts w:ascii="Aptos" w:eastAsia="Aptos" w:hAnsi="Aptos"/>
        </w:rPr>
        <w:t xml:space="preserve"> Wszystkie dane przetwarzane i przechowywane w ramach usługi muszą </w:t>
      </w:r>
      <w:r w:rsidRPr="224FDF54">
        <w:rPr>
          <w:rFonts w:ascii="Aptos" w:eastAsia="Aptos" w:hAnsi="Aptos"/>
          <w:b/>
          <w:bCs/>
        </w:rPr>
        <w:t>znajdować się na terenie Unii Europejskiej</w:t>
      </w:r>
      <w:r w:rsidRPr="224FDF54">
        <w:rPr>
          <w:rFonts w:ascii="Aptos" w:eastAsia="Aptos" w:hAnsi="Aptos"/>
        </w:rPr>
        <w:t xml:space="preserve">. Wykonawca zobowiązany jest wskazać lokalizację (kraje i centra danych), w których będą przechowywane dane Zamawiającego oraz odbywać się będą obliczenia. Preferowane jest, aby infrastruktura była zlokalizowana na terenie </w:t>
      </w:r>
      <w:r w:rsidRPr="224FDF54">
        <w:rPr>
          <w:rFonts w:ascii="Aptos" w:eastAsia="Aptos" w:hAnsi="Aptos"/>
          <w:b/>
          <w:bCs/>
        </w:rPr>
        <w:t>Polski lub innego kraju UE</w:t>
      </w:r>
      <w:r w:rsidRPr="224FDF54">
        <w:rPr>
          <w:rFonts w:ascii="Aptos" w:eastAsia="Aptos" w:hAnsi="Aptos"/>
        </w:rPr>
        <w:t xml:space="preserve"> zapewniającego pełną zgodność z regulacjami dotyczącymi ochrony danych (w szczególności </w:t>
      </w:r>
      <w:r w:rsidRPr="224FDF54">
        <w:rPr>
          <w:rFonts w:ascii="Aptos" w:eastAsia="Aptos" w:hAnsi="Aptos"/>
          <w:b/>
          <w:bCs/>
        </w:rPr>
        <w:t>RODO</w:t>
      </w:r>
      <w:r w:rsidRPr="224FDF54">
        <w:rPr>
          <w:rFonts w:ascii="Aptos" w:eastAsia="Aptos" w:hAnsi="Aptos"/>
        </w:rPr>
        <w:t xml:space="preserve">). Dane Zamawiającego nie mogą być </w:t>
      </w:r>
      <w:r w:rsidRPr="224FDF54">
        <w:rPr>
          <w:rFonts w:ascii="Aptos" w:eastAsia="Aptos" w:hAnsi="Aptos"/>
        </w:rPr>
        <w:lastRenderedPageBreak/>
        <w:t>przekazywane ani przechowywane poza obszarem UE bez uprzedniej pisemnej zgody Zamawiającego.</w:t>
      </w:r>
    </w:p>
    <w:p w14:paraId="004069AD" w14:textId="120CBA91" w:rsidR="00E824A2" w:rsidRDefault="044232B0" w:rsidP="224FDF54">
      <w:pPr>
        <w:numPr>
          <w:ilvl w:val="0"/>
          <w:numId w:val="3"/>
        </w:numPr>
        <w:rPr>
          <w:rFonts w:ascii="Aptos" w:eastAsia="Aptos" w:hAnsi="Aptos"/>
        </w:rPr>
      </w:pPr>
      <w:r w:rsidRPr="224FDF54">
        <w:rPr>
          <w:rFonts w:ascii="Aptos" w:eastAsia="Aptos" w:hAnsi="Aptos"/>
          <w:b/>
          <w:bCs/>
        </w:rPr>
        <w:t>Certyfikaty bezpieczeństwa:</w:t>
      </w:r>
      <w:r w:rsidRPr="224FDF54">
        <w:rPr>
          <w:rFonts w:ascii="Aptos" w:eastAsia="Aptos" w:hAnsi="Aptos"/>
        </w:rPr>
        <w:t xml:space="preserve"> Wykonawca musi posiadać aktualne certyfikaty potwierdzające wysoki standard bezpieczeństwa informacji i zarządzania usługą. W szczególności wymagany jest certyfikat </w:t>
      </w:r>
      <w:r w:rsidRPr="224FDF54">
        <w:rPr>
          <w:rFonts w:ascii="Aptos" w:eastAsia="Aptos" w:hAnsi="Aptos"/>
          <w:b/>
          <w:bCs/>
        </w:rPr>
        <w:t>ISO/IEC 27001</w:t>
      </w:r>
      <w:r w:rsidRPr="224FDF54">
        <w:rPr>
          <w:rFonts w:ascii="Aptos" w:eastAsia="Aptos" w:hAnsi="Aptos"/>
        </w:rPr>
        <w:t xml:space="preserve"> (System Zarządzania Bezpieczeństwem Informacji) lub równoważny certyfikat w zakresie bezpieczeństwa informacji. Dodatkowo, mile widziane jest posiadanie certyfikatów </w:t>
      </w:r>
      <w:r w:rsidRPr="224FDF54">
        <w:rPr>
          <w:rFonts w:ascii="Aptos" w:eastAsia="Aptos" w:hAnsi="Aptos"/>
          <w:b/>
          <w:bCs/>
        </w:rPr>
        <w:t>ISO/IEC 27017</w:t>
      </w:r>
      <w:r w:rsidRPr="224FDF54">
        <w:rPr>
          <w:rFonts w:ascii="Aptos" w:eastAsia="Aptos" w:hAnsi="Aptos"/>
        </w:rPr>
        <w:t xml:space="preserve"> (bezpieczeństwo usług cloud) oraz </w:t>
      </w:r>
      <w:r w:rsidRPr="224FDF54">
        <w:rPr>
          <w:rFonts w:ascii="Aptos" w:eastAsia="Aptos" w:hAnsi="Aptos"/>
          <w:b/>
          <w:bCs/>
        </w:rPr>
        <w:t>ISO/IEC 27018</w:t>
      </w:r>
      <w:r w:rsidRPr="224FDF54">
        <w:rPr>
          <w:rFonts w:ascii="Aptos" w:eastAsia="Aptos" w:hAnsi="Aptos"/>
        </w:rPr>
        <w:t xml:space="preserve"> (ochrona danych osobowych w chmurze) lub innych równoważnych świadectw potwierdzających bezpieczeństwo środowiska chmurowego dostawcy. Wykonawca powinien przestrzegać wszystkich obowiązujących przepisów prawa w zakresie ochrony danych i bezpieczeństwa oraz stosować najlepsze praktyki branżowe (np. szyfrowanie danych w spoczynku i w transmisji, właściwe mechanizmy autoryzacji dostępu do zasobów itp.).</w:t>
      </w:r>
    </w:p>
    <w:p w14:paraId="3282C802" w14:textId="61F36E51" w:rsidR="00E824A2" w:rsidRDefault="044232B0" w:rsidP="224FDF54">
      <w:pPr>
        <w:numPr>
          <w:ilvl w:val="0"/>
          <w:numId w:val="3"/>
        </w:numPr>
        <w:rPr>
          <w:rFonts w:ascii="Aptos" w:eastAsia="Aptos" w:hAnsi="Aptos"/>
        </w:rPr>
      </w:pPr>
      <w:r w:rsidRPr="224FDF54">
        <w:rPr>
          <w:rFonts w:ascii="Aptos" w:eastAsia="Aptos" w:hAnsi="Aptos"/>
          <w:b/>
          <w:bCs/>
        </w:rPr>
        <w:t>Monitoring i rozliczalność:</w:t>
      </w:r>
      <w:r w:rsidRPr="224FDF54">
        <w:rPr>
          <w:rFonts w:ascii="Aptos" w:eastAsia="Aptos" w:hAnsi="Aptos"/>
        </w:rPr>
        <w:t xml:space="preserve"> Usługa musi zapewniać mechanizmy monitorowania wykorzystania zasobów oraz transparentnego rozliczania. Wykonawca udostępni Zamawiającemu narzędzia (np. panel administracyjny, API lub raporty cykliczne) pozwalające na bieżące śledzenie parametrów pracy instancji i zużycia zasobów, takich jak obciążenie GPU/CPU, ilość wykorzystanej pamięci RAM, zajętość przestrzeni dyskowej, transfer danych itp. Dane z monitoringu powinny stanowić podstawę do naliczania opłat i być dostępne dla Zamawiającego w celu weryfikacji prawidłowości rozliczeń. Rozliczenia przedstawiane Zamawiającemu muszą być </w:t>
      </w:r>
      <w:r w:rsidRPr="224FDF54">
        <w:rPr>
          <w:rFonts w:ascii="Aptos" w:eastAsia="Aptos" w:hAnsi="Aptos"/>
          <w:b/>
          <w:bCs/>
        </w:rPr>
        <w:t>jasne, weryfikowalne i oparte o zmierzone zużycie</w:t>
      </w:r>
      <w:r w:rsidRPr="224FDF54">
        <w:rPr>
          <w:rFonts w:ascii="Aptos" w:eastAsia="Aptos" w:hAnsi="Aptos"/>
        </w:rPr>
        <w:t>. Wykonawca powinien zapewnić również mechanizmy alarmowania lub powiadomień (np. gdy zużycie zbliża się do określonych progów) w celu ułatwienia Zamawiającemu kontrolowania kosztów i efektywnego zarządzania wykorzystaniem usługi.</w:t>
      </w:r>
    </w:p>
    <w:p w14:paraId="1280E94F" w14:textId="7D22E315" w:rsidR="00E824A2" w:rsidRDefault="044232B0" w:rsidP="224FDF54">
      <w:pPr>
        <w:rPr>
          <w:rFonts w:ascii="Aptos" w:eastAsia="Aptos" w:hAnsi="Aptos"/>
        </w:rPr>
      </w:pPr>
      <w:r w:rsidRPr="224FDF54">
        <w:rPr>
          <w:rFonts w:ascii="Aptos" w:eastAsia="Aptos" w:hAnsi="Aptos"/>
        </w:rPr>
        <w:t>Dokument ten określa minimalne wymagania oraz oczekiwania Zamawiającego wobec usługi. Wykonawcy składający ofertę powinni upewnić się, że wszystkie powyższe warunki zostaną spełnione. Jakiekolwiek odstępstwa od wymagań muszą zostać wyraźnie zaznaczone w ofercie i mogą skutkować jej odrzuceniem. Zamawiający zastrzega sobie prawo do weryfikacji oferowanych parametrów oraz do odrzucenia oferty niespełniającej wymagań określonych w niniejszej specyfikacji.</w:t>
      </w:r>
    </w:p>
    <w:p w14:paraId="57375426" w14:textId="21E53BE3" w:rsidR="00E824A2" w:rsidRDefault="00E824A2"/>
    <w:p w14:paraId="517C1105" w14:textId="58BA3A61" w:rsidR="2D34274D" w:rsidRDefault="7E2967EA" w:rsidP="470866B9">
      <w:pPr>
        <w:rPr>
          <w:b/>
          <w:bCs/>
        </w:rPr>
      </w:pPr>
      <w:r w:rsidRPr="7B880848">
        <w:rPr>
          <w:b/>
          <w:bCs/>
        </w:rPr>
        <w:t>W</w:t>
      </w:r>
      <w:r w:rsidR="6272009A" w:rsidRPr="7B880848">
        <w:rPr>
          <w:b/>
          <w:bCs/>
        </w:rPr>
        <w:t>spółczynnik wzrostu wydajności</w:t>
      </w:r>
    </w:p>
    <w:p w14:paraId="557271A3" w14:textId="7EF986CD" w:rsidR="7B880848" w:rsidRDefault="7B880848" w:rsidP="7B880848">
      <w:pPr>
        <w:rPr>
          <w:b/>
          <w:bCs/>
        </w:rPr>
      </w:pP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2385"/>
        <w:gridCol w:w="4380"/>
      </w:tblGrid>
      <w:tr w:rsidR="7B880848" w14:paraId="7D0E4813" w14:textId="77777777" w:rsidTr="7B880848">
        <w:trPr>
          <w:trHeight w:val="300"/>
        </w:trPr>
        <w:tc>
          <w:tcPr>
            <w:tcW w:w="2385" w:type="dxa"/>
          </w:tcPr>
          <w:p w14:paraId="632D7FAE" w14:textId="1C1A1E0B" w:rsidR="224316FA" w:rsidRDefault="224316FA" w:rsidP="7B880848">
            <w:pPr>
              <w:rPr>
                <w:b/>
                <w:bCs/>
              </w:rPr>
            </w:pPr>
            <w:r w:rsidRPr="7B880848">
              <w:rPr>
                <w:b/>
                <w:bCs/>
              </w:rPr>
              <w:lastRenderedPageBreak/>
              <w:t>Model karty</w:t>
            </w:r>
          </w:p>
        </w:tc>
        <w:tc>
          <w:tcPr>
            <w:tcW w:w="4380" w:type="dxa"/>
          </w:tcPr>
          <w:p w14:paraId="5088829A" w14:textId="0441E3C4" w:rsidR="224316FA" w:rsidRDefault="224316FA" w:rsidP="7B880848">
            <w:pPr>
              <w:rPr>
                <w:b/>
                <w:bCs/>
              </w:rPr>
            </w:pPr>
            <w:r w:rsidRPr="7B880848">
              <w:rPr>
                <w:b/>
                <w:bCs/>
              </w:rPr>
              <w:t xml:space="preserve"> Współczynnik wzrostu wydajności</w:t>
            </w:r>
          </w:p>
        </w:tc>
      </w:tr>
      <w:tr w:rsidR="7B880848" w14:paraId="6EF2573B" w14:textId="77777777" w:rsidTr="7B880848">
        <w:trPr>
          <w:trHeight w:val="300"/>
        </w:trPr>
        <w:tc>
          <w:tcPr>
            <w:tcW w:w="2385" w:type="dxa"/>
          </w:tcPr>
          <w:p w14:paraId="1128094A" w14:textId="6C520DF8" w:rsidR="224316FA" w:rsidRDefault="224316FA" w:rsidP="7B880848">
            <w:pPr>
              <w:rPr>
                <w:b/>
                <w:bCs/>
              </w:rPr>
            </w:pPr>
            <w:r w:rsidRPr="7B880848">
              <w:rPr>
                <w:b/>
                <w:bCs/>
              </w:rPr>
              <w:t>A100</w:t>
            </w:r>
          </w:p>
        </w:tc>
        <w:tc>
          <w:tcPr>
            <w:tcW w:w="4380" w:type="dxa"/>
          </w:tcPr>
          <w:p w14:paraId="78383155" w14:textId="1CD56B6A" w:rsidR="224316FA" w:rsidRDefault="224316FA" w:rsidP="7B880848">
            <w:pPr>
              <w:rPr>
                <w:b/>
                <w:bCs/>
              </w:rPr>
            </w:pPr>
            <w:r w:rsidRPr="7B880848">
              <w:rPr>
                <w:b/>
                <w:bCs/>
              </w:rPr>
              <w:t>1</w:t>
            </w:r>
          </w:p>
        </w:tc>
      </w:tr>
      <w:tr w:rsidR="7B880848" w14:paraId="03A1F521" w14:textId="77777777" w:rsidTr="7B880848">
        <w:trPr>
          <w:trHeight w:val="300"/>
        </w:trPr>
        <w:tc>
          <w:tcPr>
            <w:tcW w:w="2385" w:type="dxa"/>
          </w:tcPr>
          <w:p w14:paraId="5611C67E" w14:textId="3A6FF1F0" w:rsidR="224316FA" w:rsidRDefault="224316FA" w:rsidP="7B880848">
            <w:pPr>
              <w:rPr>
                <w:b/>
                <w:bCs/>
              </w:rPr>
            </w:pPr>
            <w:r w:rsidRPr="7B880848">
              <w:rPr>
                <w:b/>
                <w:bCs/>
              </w:rPr>
              <w:t>H100</w:t>
            </w:r>
          </w:p>
        </w:tc>
        <w:tc>
          <w:tcPr>
            <w:tcW w:w="4380" w:type="dxa"/>
          </w:tcPr>
          <w:p w14:paraId="2EA96901" w14:textId="30A9025F" w:rsidR="224316FA" w:rsidRDefault="224316FA" w:rsidP="7B880848">
            <w:pPr>
              <w:rPr>
                <w:b/>
                <w:bCs/>
              </w:rPr>
            </w:pPr>
            <w:r w:rsidRPr="7B880848">
              <w:rPr>
                <w:b/>
                <w:bCs/>
              </w:rPr>
              <w:t>5.03</w:t>
            </w:r>
          </w:p>
        </w:tc>
      </w:tr>
      <w:tr w:rsidR="7B880848" w14:paraId="208EEB9C" w14:textId="77777777" w:rsidTr="7B880848">
        <w:trPr>
          <w:trHeight w:val="300"/>
        </w:trPr>
        <w:tc>
          <w:tcPr>
            <w:tcW w:w="2385" w:type="dxa"/>
          </w:tcPr>
          <w:p w14:paraId="0EC757ED" w14:textId="0060E1CD" w:rsidR="224316FA" w:rsidRDefault="224316FA" w:rsidP="7B880848">
            <w:pPr>
              <w:rPr>
                <w:b/>
                <w:bCs/>
              </w:rPr>
            </w:pPr>
            <w:r w:rsidRPr="7B880848">
              <w:rPr>
                <w:b/>
                <w:bCs/>
              </w:rPr>
              <w:t>H200</w:t>
            </w:r>
          </w:p>
        </w:tc>
        <w:tc>
          <w:tcPr>
            <w:tcW w:w="4380" w:type="dxa"/>
          </w:tcPr>
          <w:p w14:paraId="6E9C1F9E" w14:textId="7DCEDC89" w:rsidR="224316FA" w:rsidRDefault="224316FA" w:rsidP="7B880848">
            <w:pPr>
              <w:rPr>
                <w:b/>
                <w:bCs/>
              </w:rPr>
            </w:pPr>
            <w:r w:rsidRPr="7B880848">
              <w:rPr>
                <w:b/>
                <w:bCs/>
              </w:rPr>
              <w:t>5.83</w:t>
            </w:r>
          </w:p>
        </w:tc>
      </w:tr>
      <w:tr w:rsidR="7B880848" w14:paraId="7E08C7BA" w14:textId="77777777" w:rsidTr="7B880848">
        <w:trPr>
          <w:trHeight w:val="300"/>
        </w:trPr>
        <w:tc>
          <w:tcPr>
            <w:tcW w:w="2385" w:type="dxa"/>
          </w:tcPr>
          <w:p w14:paraId="1A4DFFF4" w14:textId="3CE062B2" w:rsidR="224316FA" w:rsidRDefault="224316FA" w:rsidP="7B880848">
            <w:pPr>
              <w:rPr>
                <w:b/>
                <w:bCs/>
              </w:rPr>
            </w:pPr>
            <w:r w:rsidRPr="7B880848">
              <w:rPr>
                <w:b/>
                <w:bCs/>
              </w:rPr>
              <w:t>B100</w:t>
            </w:r>
          </w:p>
        </w:tc>
        <w:tc>
          <w:tcPr>
            <w:tcW w:w="4380" w:type="dxa"/>
          </w:tcPr>
          <w:p w14:paraId="056272E4" w14:textId="7CE4D5E4" w:rsidR="224316FA" w:rsidRDefault="224316FA" w:rsidP="7B880848">
            <w:pPr>
              <w:rPr>
                <w:b/>
                <w:bCs/>
              </w:rPr>
            </w:pPr>
            <w:r w:rsidRPr="7B880848">
              <w:rPr>
                <w:b/>
                <w:bCs/>
              </w:rPr>
              <w:t>12.48</w:t>
            </w:r>
          </w:p>
        </w:tc>
      </w:tr>
      <w:tr w:rsidR="7B880848" w14:paraId="6E549361" w14:textId="77777777" w:rsidTr="7B880848">
        <w:trPr>
          <w:trHeight w:val="300"/>
        </w:trPr>
        <w:tc>
          <w:tcPr>
            <w:tcW w:w="2385" w:type="dxa"/>
          </w:tcPr>
          <w:p w14:paraId="607EA3FE" w14:textId="65621224" w:rsidR="224316FA" w:rsidRDefault="224316FA" w:rsidP="7B880848">
            <w:pPr>
              <w:rPr>
                <w:b/>
                <w:bCs/>
              </w:rPr>
            </w:pPr>
            <w:r w:rsidRPr="7B880848">
              <w:rPr>
                <w:b/>
                <w:bCs/>
              </w:rPr>
              <w:t>B200</w:t>
            </w:r>
          </w:p>
        </w:tc>
        <w:tc>
          <w:tcPr>
            <w:tcW w:w="4380" w:type="dxa"/>
          </w:tcPr>
          <w:p w14:paraId="279C7C85" w14:textId="5CCBD5C4" w:rsidR="224316FA" w:rsidRDefault="224316FA" w:rsidP="7B880848">
            <w:pPr>
              <w:rPr>
                <w:b/>
                <w:bCs/>
              </w:rPr>
            </w:pPr>
            <w:r w:rsidRPr="7B880848">
              <w:rPr>
                <w:b/>
                <w:bCs/>
              </w:rPr>
              <w:t>16.07</w:t>
            </w:r>
          </w:p>
        </w:tc>
      </w:tr>
      <w:tr w:rsidR="7B880848" w14:paraId="5A4E0D94" w14:textId="77777777" w:rsidTr="7B880848">
        <w:trPr>
          <w:trHeight w:val="300"/>
        </w:trPr>
        <w:tc>
          <w:tcPr>
            <w:tcW w:w="2385" w:type="dxa"/>
          </w:tcPr>
          <w:p w14:paraId="11866DAD" w14:textId="53E08E8C" w:rsidR="224316FA" w:rsidRDefault="224316FA" w:rsidP="7B880848">
            <w:pPr>
              <w:rPr>
                <w:b/>
                <w:bCs/>
              </w:rPr>
            </w:pPr>
            <w:r w:rsidRPr="7B880848">
              <w:rPr>
                <w:b/>
                <w:bCs/>
              </w:rPr>
              <w:t>B300</w:t>
            </w:r>
          </w:p>
        </w:tc>
        <w:tc>
          <w:tcPr>
            <w:tcW w:w="4380" w:type="dxa"/>
          </w:tcPr>
          <w:p w14:paraId="79BE819F" w14:textId="134B20E2" w:rsidR="224316FA" w:rsidRDefault="224316FA" w:rsidP="7B880848">
            <w:pPr>
              <w:rPr>
                <w:b/>
                <w:bCs/>
              </w:rPr>
            </w:pPr>
            <w:r w:rsidRPr="7B880848">
              <w:rPr>
                <w:b/>
                <w:bCs/>
              </w:rPr>
              <w:t>23.31</w:t>
            </w:r>
          </w:p>
        </w:tc>
      </w:tr>
    </w:tbl>
    <w:p w14:paraId="782AF88E" w14:textId="47F1740D" w:rsidR="2D34274D" w:rsidRDefault="6272009A" w:rsidP="470866B9">
      <w:r w:rsidRPr="7B880848">
        <w:t>Jak czyta</w:t>
      </w:r>
      <w:r w:rsidR="21EB790D" w:rsidRPr="7B880848">
        <w:t>ć</w:t>
      </w:r>
      <w:r w:rsidRPr="7B880848">
        <w:t xml:space="preserve"> tą tabelkę: w ocenie przyjmiemy, że np. Karta B300 jest ponad 18 razy wydajniejsza od karty A100 więc 1 godzina pracy karty B300 wykona tyle samo obliczeń co 18 godzin pracy A1</w:t>
      </w:r>
      <w:r w:rsidR="4AE238EE" w:rsidRPr="7B880848">
        <w:t>00.</w:t>
      </w:r>
    </w:p>
    <w:p w14:paraId="2E01B5E6" w14:textId="70D0660B" w:rsidR="4FFE7DD2" w:rsidRDefault="4FFE7DD2" w:rsidP="7B880848">
      <w:r>
        <w:t>Dla modeli GPU nieuwzględnionych w opublikowanym zestawieniu, Zamawiający zastrzega sobie prawo do samodzielnego określenia odpowiedniego współczynnika wydajności na etapie oceny ofert, na podstawie danych technicznych i dostępnych benchmarków. Tak ustalone wartości będą miały zastosowanie wyłącznie w bieżącej procedurze i służą wyłącznie do celów porównawczych i umożliwienie rzetelnego porównania każdej z otrzymanych ofert.</w:t>
      </w:r>
    </w:p>
    <w:p w14:paraId="0792C587" w14:textId="7B2CB2AD" w:rsidR="7B880848" w:rsidRDefault="7B880848" w:rsidP="7B880848"/>
    <w:p w14:paraId="236FD1D1" w14:textId="12307DBD" w:rsidR="2F5271FF" w:rsidRDefault="2F5271FF" w:rsidP="7B880848">
      <w:pPr>
        <w:rPr>
          <w:rFonts w:ascii="Aptos" w:eastAsia="Aptos" w:hAnsi="Aptos"/>
          <w:b/>
          <w:bCs/>
        </w:rPr>
      </w:pPr>
      <w:r w:rsidRPr="7B880848">
        <w:rPr>
          <w:rFonts w:ascii="Aptos" w:eastAsia="Aptos" w:hAnsi="Aptos"/>
          <w:b/>
          <w:bCs/>
        </w:rPr>
        <w:t>KRYTERIA OCENY</w:t>
      </w:r>
    </w:p>
    <w:p w14:paraId="645B5F4F" w14:textId="170F033D" w:rsidR="2F5271FF" w:rsidRDefault="2F5271FF" w:rsidP="7B880848">
      <w:pPr>
        <w:rPr>
          <w:rFonts w:ascii="Aptos" w:eastAsia="Aptos" w:hAnsi="Aptos"/>
        </w:rPr>
      </w:pPr>
      <w:r w:rsidRPr="7B880848">
        <w:rPr>
          <w:rFonts w:ascii="Aptos" w:eastAsia="Aptos" w:hAnsi="Aptos"/>
        </w:rPr>
        <w:t xml:space="preserve">Oferty będą oceniane na podstawie poniższych </w:t>
      </w:r>
      <w:r w:rsidRPr="7B880848">
        <w:rPr>
          <w:rFonts w:ascii="Aptos" w:eastAsia="Aptos" w:hAnsi="Aptos"/>
          <w:b/>
          <w:bCs/>
        </w:rPr>
        <w:t>Cen</w:t>
      </w:r>
      <w:r w:rsidR="13DD6F78" w:rsidRPr="7B880848">
        <w:rPr>
          <w:rFonts w:ascii="Aptos" w:eastAsia="Aptos" w:hAnsi="Aptos"/>
          <w:b/>
          <w:bCs/>
        </w:rPr>
        <w:t xml:space="preserve">y </w:t>
      </w:r>
      <w:r w:rsidRPr="7B880848">
        <w:rPr>
          <w:rFonts w:ascii="Aptos" w:eastAsia="Aptos" w:hAnsi="Aptos"/>
        </w:rPr>
        <w:t xml:space="preserve"> (stawka za godzinę pracy jednej jednostki GPU o wymaganych parametrach</w:t>
      </w:r>
      <w:r w:rsidR="3BFFC1B5" w:rsidRPr="7B880848">
        <w:rPr>
          <w:rFonts w:ascii="Aptos" w:eastAsia="Aptos" w:hAnsi="Aptos"/>
        </w:rPr>
        <w:t xml:space="preserve"> podzielona przez współczynnik wzrostu wydajności</w:t>
      </w:r>
      <w:r w:rsidRPr="7B880848">
        <w:rPr>
          <w:rFonts w:ascii="Aptos" w:eastAsia="Aptos" w:hAnsi="Aptos"/>
        </w:rPr>
        <w:t xml:space="preserve">). </w:t>
      </w:r>
      <w:r w:rsidR="23716A40" w:rsidRPr="7B880848">
        <w:rPr>
          <w:rFonts w:ascii="Aptos" w:eastAsia="Aptos" w:hAnsi="Aptos"/>
        </w:rPr>
        <w:t xml:space="preserve"> </w:t>
      </w:r>
    </w:p>
    <w:p w14:paraId="5084E2AA" w14:textId="256D4500" w:rsidR="7B880848" w:rsidRDefault="7B880848" w:rsidP="7B880848">
      <w:pPr>
        <w:rPr>
          <w:b/>
          <w:bCs/>
        </w:rPr>
      </w:pPr>
    </w:p>
    <w:p w14:paraId="19594A7A" w14:textId="35254281" w:rsidR="2CE83CA5" w:rsidRDefault="2CE83CA5" w:rsidP="7B880848">
      <w:r w:rsidRPr="7B880848">
        <w:rPr>
          <w:b/>
          <w:bCs/>
        </w:rPr>
        <w:t xml:space="preserve">Formularz ofertowy </w:t>
      </w:r>
    </w:p>
    <w:tbl>
      <w:tblPr>
        <w:tblStyle w:val="Tabela-Siatka"/>
        <w:tblW w:w="8760" w:type="dxa"/>
        <w:tblLayout w:type="fixed"/>
        <w:tblLook w:val="06A0" w:firstRow="1" w:lastRow="0" w:firstColumn="1" w:lastColumn="0" w:noHBand="1" w:noVBand="1"/>
      </w:tblPr>
      <w:tblGrid>
        <w:gridCol w:w="1515"/>
        <w:gridCol w:w="2415"/>
        <w:gridCol w:w="2415"/>
        <w:gridCol w:w="2415"/>
      </w:tblGrid>
      <w:tr w:rsidR="7B880848" w14:paraId="6602D070" w14:textId="77777777" w:rsidTr="772FAC16">
        <w:trPr>
          <w:trHeight w:val="300"/>
        </w:trPr>
        <w:tc>
          <w:tcPr>
            <w:tcW w:w="1515" w:type="dxa"/>
          </w:tcPr>
          <w:p w14:paraId="67F4D501" w14:textId="6C49C490" w:rsidR="04653631" w:rsidRDefault="04653631" w:rsidP="7B880848">
            <w:pPr>
              <w:rPr>
                <w:b/>
                <w:bCs/>
              </w:rPr>
            </w:pPr>
            <w:r w:rsidRPr="7B880848">
              <w:rPr>
                <w:b/>
                <w:bCs/>
              </w:rPr>
              <w:t xml:space="preserve">Typ Karty </w:t>
            </w:r>
          </w:p>
        </w:tc>
        <w:tc>
          <w:tcPr>
            <w:tcW w:w="2415" w:type="dxa"/>
          </w:tcPr>
          <w:p w14:paraId="46954412" w14:textId="6ED9DD03" w:rsidR="408F25D3" w:rsidRDefault="408F25D3" w:rsidP="772FAC16">
            <w:pPr>
              <w:rPr>
                <w:b/>
                <w:bCs/>
              </w:rPr>
            </w:pPr>
            <w:r w:rsidRPr="772FAC16">
              <w:rPr>
                <w:b/>
                <w:bCs/>
              </w:rPr>
              <w:t xml:space="preserve">CENA </w:t>
            </w:r>
          </w:p>
          <w:p w14:paraId="3B2FAA0C" w14:textId="2B8A69B2" w:rsidR="04653631" w:rsidRDefault="04653631" w:rsidP="772FAC16">
            <w:pPr>
              <w:rPr>
                <w:b/>
                <w:bCs/>
              </w:rPr>
            </w:pPr>
            <w:r w:rsidRPr="772FAC16">
              <w:rPr>
                <w:b/>
                <w:bCs/>
              </w:rPr>
              <w:t>Cena brutto za godzinę (pln)</w:t>
            </w:r>
            <w:r w:rsidR="6D62DF73" w:rsidRPr="772FAC16">
              <w:rPr>
                <w:b/>
                <w:bCs/>
              </w:rPr>
              <w:t xml:space="preserve"> przy zakupie do 50 godzin miesięcznie </w:t>
            </w:r>
          </w:p>
          <w:p w14:paraId="3A045426" w14:textId="684723E7" w:rsidR="772FAC16" w:rsidRDefault="772FAC16" w:rsidP="772FAC16">
            <w:pPr>
              <w:rPr>
                <w:b/>
                <w:bCs/>
              </w:rPr>
            </w:pPr>
          </w:p>
        </w:tc>
        <w:tc>
          <w:tcPr>
            <w:tcW w:w="2415" w:type="dxa"/>
          </w:tcPr>
          <w:p w14:paraId="4937A8CA" w14:textId="6ED9DD03" w:rsidR="6B6682D4" w:rsidRDefault="6B6682D4" w:rsidP="772FAC16">
            <w:pPr>
              <w:rPr>
                <w:b/>
                <w:bCs/>
              </w:rPr>
            </w:pPr>
            <w:r w:rsidRPr="772FAC16">
              <w:rPr>
                <w:b/>
                <w:bCs/>
              </w:rPr>
              <w:t xml:space="preserve">CENA </w:t>
            </w:r>
          </w:p>
          <w:p w14:paraId="2FE1035A" w14:textId="66C9A42D" w:rsidR="6B6682D4" w:rsidRDefault="6B6682D4" w:rsidP="772FAC16">
            <w:pPr>
              <w:rPr>
                <w:b/>
                <w:bCs/>
              </w:rPr>
            </w:pPr>
            <w:r w:rsidRPr="772FAC16">
              <w:rPr>
                <w:b/>
                <w:bCs/>
              </w:rPr>
              <w:t>Cena brutto za godzinę (pln) przy zakupie do 100 godzin miesięcznie</w:t>
            </w:r>
          </w:p>
          <w:p w14:paraId="6809AF37" w14:textId="32FB6933" w:rsidR="772FAC16" w:rsidRDefault="772FAC16" w:rsidP="772FAC16">
            <w:pPr>
              <w:rPr>
                <w:b/>
                <w:bCs/>
              </w:rPr>
            </w:pPr>
          </w:p>
        </w:tc>
        <w:tc>
          <w:tcPr>
            <w:tcW w:w="2415" w:type="dxa"/>
          </w:tcPr>
          <w:p w14:paraId="26FC8B1D" w14:textId="6ED9DD03" w:rsidR="6B6682D4" w:rsidRDefault="6B6682D4" w:rsidP="772FAC16">
            <w:pPr>
              <w:rPr>
                <w:b/>
                <w:bCs/>
              </w:rPr>
            </w:pPr>
            <w:r w:rsidRPr="772FAC16">
              <w:rPr>
                <w:b/>
                <w:bCs/>
              </w:rPr>
              <w:t xml:space="preserve">CENA </w:t>
            </w:r>
          </w:p>
          <w:p w14:paraId="720C3250" w14:textId="44290AB5" w:rsidR="6B6682D4" w:rsidRDefault="6B6682D4" w:rsidP="772FAC16">
            <w:pPr>
              <w:rPr>
                <w:b/>
                <w:bCs/>
              </w:rPr>
            </w:pPr>
            <w:r w:rsidRPr="772FAC16">
              <w:rPr>
                <w:b/>
                <w:bCs/>
              </w:rPr>
              <w:t>Cena brutto za godzinę (pln) przy zakupie do 200 godzin miesięcznie</w:t>
            </w:r>
          </w:p>
          <w:p w14:paraId="523A488A" w14:textId="5E10FA7F" w:rsidR="772FAC16" w:rsidRDefault="772FAC16" w:rsidP="772FAC16">
            <w:pPr>
              <w:rPr>
                <w:b/>
                <w:bCs/>
              </w:rPr>
            </w:pPr>
          </w:p>
        </w:tc>
      </w:tr>
      <w:tr w:rsidR="7B880848" w14:paraId="0163DB05" w14:textId="77777777" w:rsidTr="772FAC16">
        <w:trPr>
          <w:trHeight w:val="300"/>
        </w:trPr>
        <w:tc>
          <w:tcPr>
            <w:tcW w:w="1515" w:type="dxa"/>
          </w:tcPr>
          <w:p w14:paraId="42FEB72C" w14:textId="440858C7" w:rsidR="7B880848" w:rsidRDefault="7B880848" w:rsidP="7B880848">
            <w:pPr>
              <w:rPr>
                <w:b/>
                <w:bCs/>
              </w:rPr>
            </w:pPr>
          </w:p>
        </w:tc>
        <w:tc>
          <w:tcPr>
            <w:tcW w:w="2415" w:type="dxa"/>
          </w:tcPr>
          <w:p w14:paraId="3582886A" w14:textId="5BF02DD2" w:rsidR="772FAC16" w:rsidRDefault="772FAC16" w:rsidP="772FAC16">
            <w:pPr>
              <w:rPr>
                <w:b/>
                <w:bCs/>
              </w:rPr>
            </w:pPr>
          </w:p>
        </w:tc>
        <w:tc>
          <w:tcPr>
            <w:tcW w:w="2415" w:type="dxa"/>
          </w:tcPr>
          <w:p w14:paraId="5D25601F" w14:textId="36BF414E" w:rsidR="772FAC16" w:rsidRDefault="772FAC16" w:rsidP="772FAC16">
            <w:pPr>
              <w:rPr>
                <w:b/>
                <w:bCs/>
              </w:rPr>
            </w:pPr>
          </w:p>
        </w:tc>
        <w:tc>
          <w:tcPr>
            <w:tcW w:w="2415" w:type="dxa"/>
          </w:tcPr>
          <w:p w14:paraId="6F25E61B" w14:textId="3B2EB516" w:rsidR="772FAC16" w:rsidRDefault="772FAC16" w:rsidP="772FAC16">
            <w:pPr>
              <w:rPr>
                <w:b/>
                <w:bCs/>
              </w:rPr>
            </w:pPr>
          </w:p>
        </w:tc>
      </w:tr>
    </w:tbl>
    <w:p w14:paraId="12601E55" w14:textId="01FB21B3" w:rsidR="470866B9" w:rsidRDefault="470866B9" w:rsidP="470866B9"/>
    <w:p w14:paraId="7D2ABC34" w14:textId="33F276B2" w:rsidR="470866B9" w:rsidRDefault="470866B9" w:rsidP="470866B9"/>
    <w:sectPr w:rsidR="470866B9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3B6C3" w14:textId="77777777" w:rsidR="009726E0" w:rsidRDefault="009726E0">
      <w:pPr>
        <w:spacing w:after="0" w:line="240" w:lineRule="auto"/>
      </w:pPr>
      <w:r>
        <w:separator/>
      </w:r>
    </w:p>
  </w:endnote>
  <w:endnote w:type="continuationSeparator" w:id="0">
    <w:p w14:paraId="118FC8C1" w14:textId="77777777" w:rsidR="009726E0" w:rsidRDefault="0097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B880848" w14:paraId="1A94811A" w14:textId="77777777" w:rsidTr="7B880848">
      <w:trPr>
        <w:trHeight w:val="300"/>
      </w:trPr>
      <w:tc>
        <w:tcPr>
          <w:tcW w:w="3005" w:type="dxa"/>
        </w:tcPr>
        <w:p w14:paraId="4F7B00D5" w14:textId="601F626C" w:rsidR="7B880848" w:rsidRDefault="7B880848" w:rsidP="7B880848">
          <w:pPr>
            <w:pStyle w:val="Nagwek"/>
            <w:ind w:left="-115"/>
          </w:pPr>
        </w:p>
      </w:tc>
      <w:tc>
        <w:tcPr>
          <w:tcW w:w="3005" w:type="dxa"/>
        </w:tcPr>
        <w:p w14:paraId="265AF6A9" w14:textId="06098A65" w:rsidR="7B880848" w:rsidRDefault="7B880848" w:rsidP="7B880848">
          <w:pPr>
            <w:pStyle w:val="Nagwek"/>
            <w:jc w:val="center"/>
          </w:pPr>
        </w:p>
      </w:tc>
      <w:tc>
        <w:tcPr>
          <w:tcW w:w="3005" w:type="dxa"/>
        </w:tcPr>
        <w:p w14:paraId="272A0D8D" w14:textId="0066F781" w:rsidR="7B880848" w:rsidRDefault="7B880848" w:rsidP="7B880848">
          <w:pPr>
            <w:pStyle w:val="Nagwek"/>
            <w:ind w:right="-115"/>
            <w:jc w:val="right"/>
          </w:pPr>
        </w:p>
      </w:tc>
    </w:tr>
  </w:tbl>
  <w:p w14:paraId="2F2BF684" w14:textId="373DDAEE" w:rsidR="7B880848" w:rsidRDefault="7B8808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B1AA7" w14:textId="77777777" w:rsidR="009726E0" w:rsidRDefault="009726E0">
      <w:pPr>
        <w:spacing w:after="0" w:line="240" w:lineRule="auto"/>
      </w:pPr>
      <w:r>
        <w:separator/>
      </w:r>
    </w:p>
  </w:footnote>
  <w:footnote w:type="continuationSeparator" w:id="0">
    <w:p w14:paraId="183634BE" w14:textId="77777777" w:rsidR="009726E0" w:rsidRDefault="00972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05655" w14:textId="74517EE9" w:rsidR="7B880848" w:rsidRDefault="7B880848">
    <w:r>
      <w:rPr>
        <w:noProof/>
      </w:rPr>
      <w:drawing>
        <wp:inline distT="0" distB="0" distL="0" distR="0" wp14:anchorId="77064164" wp14:editId="1ECE646C">
          <wp:extent cx="5724524" cy="666750"/>
          <wp:effectExtent l="0" t="0" r="0" b="0"/>
          <wp:docPr id="2085487057" name="Picture 2085487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666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63767"/>
    <w:multiLevelType w:val="hybridMultilevel"/>
    <w:tmpl w:val="FFFFFFFF"/>
    <w:lvl w:ilvl="0" w:tplc="4BE29402">
      <w:start w:val="1"/>
      <w:numFmt w:val="decimal"/>
      <w:lvlText w:val="•"/>
      <w:lvlJc w:val="left"/>
      <w:pPr>
        <w:ind w:left="720" w:hanging="360"/>
      </w:pPr>
    </w:lvl>
    <w:lvl w:ilvl="1" w:tplc="75C6AA08">
      <w:start w:val="1"/>
      <w:numFmt w:val="lowerLetter"/>
      <w:lvlText w:val="%2."/>
      <w:lvlJc w:val="left"/>
      <w:pPr>
        <w:ind w:left="1440" w:hanging="360"/>
      </w:pPr>
    </w:lvl>
    <w:lvl w:ilvl="2" w:tplc="A86A7C62">
      <w:start w:val="1"/>
      <w:numFmt w:val="lowerRoman"/>
      <w:lvlText w:val="%3."/>
      <w:lvlJc w:val="right"/>
      <w:pPr>
        <w:ind w:left="2160" w:hanging="180"/>
      </w:pPr>
    </w:lvl>
    <w:lvl w:ilvl="3" w:tplc="2AF8F352">
      <w:start w:val="1"/>
      <w:numFmt w:val="decimal"/>
      <w:lvlText w:val="%4."/>
      <w:lvlJc w:val="left"/>
      <w:pPr>
        <w:ind w:left="2880" w:hanging="360"/>
      </w:pPr>
    </w:lvl>
    <w:lvl w:ilvl="4" w:tplc="5622AB88">
      <w:start w:val="1"/>
      <w:numFmt w:val="lowerLetter"/>
      <w:lvlText w:val="%5."/>
      <w:lvlJc w:val="left"/>
      <w:pPr>
        <w:ind w:left="3600" w:hanging="360"/>
      </w:pPr>
    </w:lvl>
    <w:lvl w:ilvl="5" w:tplc="0FDA5B7A">
      <w:start w:val="1"/>
      <w:numFmt w:val="lowerRoman"/>
      <w:lvlText w:val="%6."/>
      <w:lvlJc w:val="right"/>
      <w:pPr>
        <w:ind w:left="4320" w:hanging="180"/>
      </w:pPr>
    </w:lvl>
    <w:lvl w:ilvl="6" w:tplc="E154129A">
      <w:start w:val="1"/>
      <w:numFmt w:val="decimal"/>
      <w:lvlText w:val="%7."/>
      <w:lvlJc w:val="left"/>
      <w:pPr>
        <w:ind w:left="5040" w:hanging="360"/>
      </w:pPr>
    </w:lvl>
    <w:lvl w:ilvl="7" w:tplc="E4A8B4C2">
      <w:start w:val="1"/>
      <w:numFmt w:val="lowerLetter"/>
      <w:lvlText w:val="%8."/>
      <w:lvlJc w:val="left"/>
      <w:pPr>
        <w:ind w:left="5760" w:hanging="360"/>
      </w:pPr>
    </w:lvl>
    <w:lvl w:ilvl="8" w:tplc="EB8AA84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584D1"/>
    <w:multiLevelType w:val="hybridMultilevel"/>
    <w:tmpl w:val="FFFFFFFF"/>
    <w:lvl w:ilvl="0" w:tplc="2584A1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529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5A7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BC92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63E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C647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2F2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F0CF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92CE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E67D1"/>
    <w:multiLevelType w:val="hybridMultilevel"/>
    <w:tmpl w:val="FFFFFFFF"/>
    <w:lvl w:ilvl="0" w:tplc="8DF455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FC1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0418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3C93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2694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E615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C472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2EF7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76EC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46AEEE"/>
    <w:multiLevelType w:val="hybridMultilevel"/>
    <w:tmpl w:val="FFFFFFFF"/>
    <w:lvl w:ilvl="0" w:tplc="A424666A">
      <w:start w:val="1"/>
      <w:numFmt w:val="decimal"/>
      <w:lvlText w:val="%1."/>
      <w:lvlJc w:val="left"/>
      <w:pPr>
        <w:ind w:left="720" w:hanging="360"/>
      </w:pPr>
    </w:lvl>
    <w:lvl w:ilvl="1" w:tplc="5B680242">
      <w:start w:val="1"/>
      <w:numFmt w:val="lowerLetter"/>
      <w:lvlText w:val="%2."/>
      <w:lvlJc w:val="left"/>
      <w:pPr>
        <w:ind w:left="1440" w:hanging="360"/>
      </w:pPr>
    </w:lvl>
    <w:lvl w:ilvl="2" w:tplc="F6A6E328">
      <w:start w:val="1"/>
      <w:numFmt w:val="lowerRoman"/>
      <w:lvlText w:val="%3."/>
      <w:lvlJc w:val="right"/>
      <w:pPr>
        <w:ind w:left="2160" w:hanging="180"/>
      </w:pPr>
    </w:lvl>
    <w:lvl w:ilvl="3" w:tplc="1298D494">
      <w:start w:val="1"/>
      <w:numFmt w:val="decimal"/>
      <w:lvlText w:val="%4."/>
      <w:lvlJc w:val="left"/>
      <w:pPr>
        <w:ind w:left="2880" w:hanging="360"/>
      </w:pPr>
    </w:lvl>
    <w:lvl w:ilvl="4" w:tplc="C6727C12">
      <w:start w:val="1"/>
      <w:numFmt w:val="lowerLetter"/>
      <w:lvlText w:val="%5."/>
      <w:lvlJc w:val="left"/>
      <w:pPr>
        <w:ind w:left="3600" w:hanging="360"/>
      </w:pPr>
    </w:lvl>
    <w:lvl w:ilvl="5" w:tplc="2202F6C4">
      <w:start w:val="1"/>
      <w:numFmt w:val="lowerRoman"/>
      <w:lvlText w:val="%6."/>
      <w:lvlJc w:val="right"/>
      <w:pPr>
        <w:ind w:left="4320" w:hanging="180"/>
      </w:pPr>
    </w:lvl>
    <w:lvl w:ilvl="6" w:tplc="56FEE950">
      <w:start w:val="1"/>
      <w:numFmt w:val="decimal"/>
      <w:lvlText w:val="%7."/>
      <w:lvlJc w:val="left"/>
      <w:pPr>
        <w:ind w:left="5040" w:hanging="360"/>
      </w:pPr>
    </w:lvl>
    <w:lvl w:ilvl="7" w:tplc="4C888AA0">
      <w:start w:val="1"/>
      <w:numFmt w:val="lowerLetter"/>
      <w:lvlText w:val="%8."/>
      <w:lvlJc w:val="left"/>
      <w:pPr>
        <w:ind w:left="5760" w:hanging="360"/>
      </w:pPr>
    </w:lvl>
    <w:lvl w:ilvl="8" w:tplc="7E9A398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982776">
    <w:abstractNumId w:val="2"/>
  </w:num>
  <w:num w:numId="2" w16cid:durableId="1802461930">
    <w:abstractNumId w:val="1"/>
  </w:num>
  <w:num w:numId="3" w16cid:durableId="170535061">
    <w:abstractNumId w:val="0"/>
  </w:num>
  <w:num w:numId="4" w16cid:durableId="198708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FDC3804"/>
    <w:rsid w:val="00115F7D"/>
    <w:rsid w:val="00430634"/>
    <w:rsid w:val="00540FEB"/>
    <w:rsid w:val="008F2E10"/>
    <w:rsid w:val="009726E0"/>
    <w:rsid w:val="00A46D00"/>
    <w:rsid w:val="00AD6496"/>
    <w:rsid w:val="00C45E27"/>
    <w:rsid w:val="00CDD25E"/>
    <w:rsid w:val="00D25C4F"/>
    <w:rsid w:val="00E824A2"/>
    <w:rsid w:val="00FD7E11"/>
    <w:rsid w:val="016AFDCC"/>
    <w:rsid w:val="02CE3273"/>
    <w:rsid w:val="02F65589"/>
    <w:rsid w:val="0361E6BC"/>
    <w:rsid w:val="040F251F"/>
    <w:rsid w:val="044232B0"/>
    <w:rsid w:val="04653631"/>
    <w:rsid w:val="0665DB83"/>
    <w:rsid w:val="074443B7"/>
    <w:rsid w:val="08B6BE65"/>
    <w:rsid w:val="0A6DD8DB"/>
    <w:rsid w:val="0A7C8E3F"/>
    <w:rsid w:val="0CB42E61"/>
    <w:rsid w:val="0D542467"/>
    <w:rsid w:val="0E590E2B"/>
    <w:rsid w:val="0F0BCB4F"/>
    <w:rsid w:val="105BB610"/>
    <w:rsid w:val="10AF63BC"/>
    <w:rsid w:val="112BC10A"/>
    <w:rsid w:val="12374E94"/>
    <w:rsid w:val="12D9B7FD"/>
    <w:rsid w:val="13DD6F78"/>
    <w:rsid w:val="13F23230"/>
    <w:rsid w:val="15464200"/>
    <w:rsid w:val="1969145F"/>
    <w:rsid w:val="1B6AA494"/>
    <w:rsid w:val="1BBC422B"/>
    <w:rsid w:val="1BBCC302"/>
    <w:rsid w:val="1CC4DAA4"/>
    <w:rsid w:val="1D641FB6"/>
    <w:rsid w:val="1FC5BE2E"/>
    <w:rsid w:val="2058BE26"/>
    <w:rsid w:val="2069A2E2"/>
    <w:rsid w:val="20BA42E3"/>
    <w:rsid w:val="2102A984"/>
    <w:rsid w:val="21595A26"/>
    <w:rsid w:val="2176F570"/>
    <w:rsid w:val="21EB790D"/>
    <w:rsid w:val="224316FA"/>
    <w:rsid w:val="224FDF54"/>
    <w:rsid w:val="233E6849"/>
    <w:rsid w:val="23716A40"/>
    <w:rsid w:val="242BC780"/>
    <w:rsid w:val="259CD113"/>
    <w:rsid w:val="2A0AC641"/>
    <w:rsid w:val="2AD95A94"/>
    <w:rsid w:val="2C0CFE4A"/>
    <w:rsid w:val="2CE83CA5"/>
    <w:rsid w:val="2D34274D"/>
    <w:rsid w:val="2D997359"/>
    <w:rsid w:val="2D9FED84"/>
    <w:rsid w:val="2E4D291F"/>
    <w:rsid w:val="2E8ECE63"/>
    <w:rsid w:val="2F5271FF"/>
    <w:rsid w:val="3006EC01"/>
    <w:rsid w:val="3150F5AE"/>
    <w:rsid w:val="31A94E2E"/>
    <w:rsid w:val="334E0D5F"/>
    <w:rsid w:val="3737AD51"/>
    <w:rsid w:val="376E401A"/>
    <w:rsid w:val="3AE05466"/>
    <w:rsid w:val="3BFFC1B5"/>
    <w:rsid w:val="3DCB3781"/>
    <w:rsid w:val="3EDF7EB8"/>
    <w:rsid w:val="3FDC3804"/>
    <w:rsid w:val="408F25D3"/>
    <w:rsid w:val="42363571"/>
    <w:rsid w:val="42817AB4"/>
    <w:rsid w:val="432A5AD3"/>
    <w:rsid w:val="440790B7"/>
    <w:rsid w:val="452A08D9"/>
    <w:rsid w:val="46767E14"/>
    <w:rsid w:val="470866B9"/>
    <w:rsid w:val="470F9E70"/>
    <w:rsid w:val="48C60539"/>
    <w:rsid w:val="4A099EF4"/>
    <w:rsid w:val="4A0A27E5"/>
    <w:rsid w:val="4A569E9D"/>
    <w:rsid w:val="4AE238EE"/>
    <w:rsid w:val="4B2F566D"/>
    <w:rsid w:val="4B592D1D"/>
    <w:rsid w:val="4BF8804B"/>
    <w:rsid w:val="4F57B55E"/>
    <w:rsid w:val="4F8D31C5"/>
    <w:rsid w:val="4FFE7DD2"/>
    <w:rsid w:val="5132E0F4"/>
    <w:rsid w:val="51D378FD"/>
    <w:rsid w:val="54169BA7"/>
    <w:rsid w:val="54E74CAF"/>
    <w:rsid w:val="56503050"/>
    <w:rsid w:val="56919447"/>
    <w:rsid w:val="5836FF56"/>
    <w:rsid w:val="596C508B"/>
    <w:rsid w:val="5BA6C420"/>
    <w:rsid w:val="5D7D7B84"/>
    <w:rsid w:val="606DD06F"/>
    <w:rsid w:val="60C33D94"/>
    <w:rsid w:val="612297C8"/>
    <w:rsid w:val="618E5DE3"/>
    <w:rsid w:val="6272009A"/>
    <w:rsid w:val="62C4B12A"/>
    <w:rsid w:val="62F079E2"/>
    <w:rsid w:val="67B5C3BA"/>
    <w:rsid w:val="68571AB2"/>
    <w:rsid w:val="69CE7607"/>
    <w:rsid w:val="6B34358A"/>
    <w:rsid w:val="6B6682D4"/>
    <w:rsid w:val="6B746027"/>
    <w:rsid w:val="6D62DF73"/>
    <w:rsid w:val="6DF2B8F8"/>
    <w:rsid w:val="6FEB4D47"/>
    <w:rsid w:val="707097C3"/>
    <w:rsid w:val="72E50CBC"/>
    <w:rsid w:val="73600133"/>
    <w:rsid w:val="73726C51"/>
    <w:rsid w:val="75FFEA21"/>
    <w:rsid w:val="76DA11FC"/>
    <w:rsid w:val="770DEBB1"/>
    <w:rsid w:val="772FAC16"/>
    <w:rsid w:val="787B8F63"/>
    <w:rsid w:val="7B880848"/>
    <w:rsid w:val="7DD26E17"/>
    <w:rsid w:val="7E2967EA"/>
    <w:rsid w:val="7E65E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C3804"/>
  <w15:chartTrackingRefBased/>
  <w15:docId w15:val="{86BDE5EF-9231-4C37-8ACF-E475D232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470866B9"/>
    <w:pPr>
      <w:ind w:left="720"/>
      <w:contextualSpacing/>
    </w:pPr>
  </w:style>
  <w:style w:type="paragraph" w:styleId="Nagwek">
    <w:name w:val="header"/>
    <w:basedOn w:val="Normalny"/>
    <w:uiPriority w:val="99"/>
    <w:unhideWhenUsed/>
    <w:rsid w:val="7B880848"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opka">
    <w:name w:val="footer"/>
    <w:basedOn w:val="Normalny"/>
    <w:link w:val="StopkaZnak"/>
    <w:uiPriority w:val="99"/>
    <w:semiHidden/>
    <w:unhideWhenUsed/>
    <w:rsid w:val="008F2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F2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9A9F950A32844AA225B0E57114329B" ma:contentTypeVersion="4" ma:contentTypeDescription="Utwórz nowy dokument." ma:contentTypeScope="" ma:versionID="1ceeed505cb11e0ad2c8229594ee74ec">
  <xsd:schema xmlns:xsd="http://www.w3.org/2001/XMLSchema" xmlns:xs="http://www.w3.org/2001/XMLSchema" xmlns:p="http://schemas.microsoft.com/office/2006/metadata/properties" xmlns:ns2="9d26bc6f-0b6c-44d9-bebc-d28e38d0251f" targetNamespace="http://schemas.microsoft.com/office/2006/metadata/properties" ma:root="true" ma:fieldsID="ce85e02fbc1a24e07981c8f6bfe2541d" ns2:_="">
    <xsd:import namespace="9d26bc6f-0b6c-44d9-bebc-d28e38d02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6bc6f-0b6c-44d9-bebc-d28e38d025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AADCA9-466C-445A-A65D-0571AD2671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61D53-FE40-45CD-A18D-328E09CD37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7E6A0E-6A15-405C-958B-B3296503F7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26bc6f-0b6c-44d9-bebc-d28e38d02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1498</Words>
  <Characters>8991</Characters>
  <Application>Microsoft Office Word</Application>
  <DocSecurity>0</DocSecurity>
  <Lines>74</Lines>
  <Paragraphs>20</Paragraphs>
  <ScaleCrop>false</ScaleCrop>
  <Company/>
  <LinksUpToDate>false</LinksUpToDate>
  <CharactersWithSpaces>10469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Kraczkowski</dc:creator>
  <cp:keywords/>
  <dc:description/>
  <cp:lastModifiedBy>Radosław Stefanowski</cp:lastModifiedBy>
  <cp:revision>2</cp:revision>
  <dcterms:created xsi:type="dcterms:W3CDTF">2025-08-05T12:26:00Z</dcterms:created>
  <dcterms:modified xsi:type="dcterms:W3CDTF">2025-08-05T12:26:00Z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0x0101009D9A9F950A32844AA225B0E57114329B</vt:lpwstr>
  </property>
</Properties>
</file>