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20" w:line="240" w:lineRule="auto"/>
        <w:jc w:val="center"/>
        <w:rPr>
          <w:rFonts w:ascii="Arial" w:cs="Arial" w:eastAsia="Arial" w:hAnsi="Arial"/>
          <w:b w:val="1"/>
          <w:color w:val="0070c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Opis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Przedmiot zamówienia: Dostawa naukowych zagranicznych książek drukowanych dla Biblioteki IM PAN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Opis przedmiotu zamówienia: Dostawa naukowych zagranicznych książek drukowanych dla Biblioteki IM PAN,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ul. Śniadeckich 8, 00-656 Warszawa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426" w:right="0" w:hanging="426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Lista tytułów - zestawienie szczegółowe:</w:t>
      </w:r>
    </w:p>
    <w:tbl>
      <w:tblPr>
        <w:tblStyle w:val="Table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7797"/>
        <w:gridCol w:w="1275"/>
        <w:tblGridChange w:id="0">
          <w:tblGrid>
            <w:gridCol w:w="562"/>
            <w:gridCol w:w="7797"/>
            <w:gridCol w:w="12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6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Dane bibliograficzne pozycji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Ilość sztuk</w:t>
            </w:r>
          </w:p>
        </w:tc>
      </w:tr>
      <w:tr>
        <w:trPr>
          <w:cantSplit w:val="0"/>
          <w:trHeight w:val="1259.8828125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978-1-4704-7713-4, softcover</w:t>
              <w:br w:type="textWrapping"/>
              <w:t xml:space="preserve">Title: Degree Theory and Symmetric Equations Assisted by GAP System</w:t>
              <w:br w:type="textWrapping"/>
              <w:t xml:space="preserve">Author: Balanov Z., Krawcewicz W. et al.</w:t>
              <w:br w:type="textWrapping"/>
              <w:t xml:space="preserve">Publisher: AMS, 2025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09.882812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978-1-4704-7804-9, softcover</w:t>
              <w:br w:type="textWrapping"/>
              <w:t xml:space="preserve">Title: Lectures on Differential Geometry</w:t>
              <w:br w:type="textWrapping"/>
              <w:t xml:space="preserve">Author: Chow B., Chow Y.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84.882812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978-1-4704-7924-4, softcover</w:t>
              <w:br w:type="textWrapping"/>
              <w:t xml:space="preserve">Title: One-Dimensional Ergodic Schroedinger Operators, II</w:t>
              <w:br w:type="textWrapping"/>
              <w:t xml:space="preserve">Author: Damanic D., Fillman J.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449.7851562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978-1-4704-7943-5, softcover</w:t>
              <w:br w:type="textWrapping"/>
              <w:t xml:space="preserve">Title: The Practice of Algebraic Curves: A Second Course in Algebraic Geometry</w:t>
              <w:br w:type="textWrapping"/>
              <w:t xml:space="preserve">Author: Eisenbud D., Harris J.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39.882812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978-1-4704-5618-4, softcover</w:t>
              <w:br w:type="textWrapping"/>
              <w:t xml:space="preserve">Title: Lattice Models and Conformal Field Theory</w:t>
              <w:br w:type="textWrapping"/>
              <w:t xml:space="preserve">Author: Gabriel F., Hongler C., Spadaro F.</w:t>
              <w:br w:type="textWrapping"/>
              <w:t xml:space="preserve">Publisher: AMS, 2024 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565.85937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978-1-4704-7666-3</w:t>
              <w:br w:type="textWrapping"/>
              <w:t xml:space="preserve">Title: Sturm-Liouville Operators, Their Spectral Theory, and Some Applications</w:t>
              <w:br w:type="textWrapping"/>
              <w:t xml:space="preserve">Author: Gesztesy F., Nichols R., Zinchenko M.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094.882812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978-1-4704-7915-2, softcover</w:t>
              <w:br w:type="textWrapping"/>
              <w:t xml:space="preserve">Title: Introduction to Lie Algebras</w:t>
              <w:br w:type="textWrapping"/>
              <w:t xml:space="preserve">Author: Hall J.I.</w:t>
              <w:br w:type="textWrapping"/>
              <w:t xml:space="preserve">Publisher: AMS, 2024      </w:t>
            </w:r>
          </w:p>
          <w:p w:rsidR="00000000" w:rsidDel="00000000" w:rsidP="00000000" w:rsidRDefault="00000000" w:rsidRPr="00000000" w14:paraId="0000001F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ab/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54.8828125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978-1-4704-7839-1, softcover</w:t>
              <w:br w:type="textWrapping"/>
              <w:t xml:space="preserve">Title: Applied Stochastic Analysis</w:t>
              <w:br w:type="textWrapping"/>
              <w:t xml:space="preserve">Author: Holmes-Cerfon M.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84.8828125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978-1-4704-7880-3, softcover</w:t>
              <w:br w:type="textWrapping"/>
              <w:t xml:space="preserve">Title: Bifurcation Theory</w:t>
              <w:br w:type="textWrapping"/>
              <w:t xml:space="preserve">Author: Homburg A.J., Knobloch J.</w:t>
              <w:br w:type="textWrapping"/>
              <w:t xml:space="preserve">Publisher: AMS, 2024      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39.8828125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978-1-4704-7421-8, softcover</w:t>
              <w:br w:type="textWrapping"/>
              <w:t xml:space="preserve">Title: An Introduction to Real Analysis</w:t>
              <w:br w:type="textWrapping"/>
              <w:t xml:space="preserve">Author: Katznelson Y., Katznelson Y.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229.8828125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978-1-4704-7777-6, softcover</w:t>
              <w:br w:type="textWrapping"/>
              <w:t xml:space="preserve">Title: Quantum Computation and Quantum Information</w:t>
              <w:br w:type="textWrapping"/>
              <w:t xml:space="preserve">Author: Landsberg J.M.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24.8828125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978-1-4704-7895-7, softcover</w:t>
              <w:br w:type="textWrapping"/>
              <w:t xml:space="preserve">Title: An Invitation to Fractal Geometry</w:t>
              <w:br w:type="textWrapping"/>
              <w:t xml:space="preserve">Author: Lapidus M.L., Radunovic G.</w:t>
              <w:br w:type="textWrapping"/>
              <w:t xml:space="preserve">Publisher: AMS, 2024        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184.8828125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978-1-4704-7782-0, softcover</w:t>
              <w:br w:type="textWrapping"/>
              <w:t xml:space="preserve">Title: Introduction to Complex Manifolds</w:t>
              <w:br w:type="textWrapping"/>
              <w:t xml:space="preserve">Author: Lee J.M.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460.859375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978-1-4704-7840-7, softcover</w:t>
              <w:br w:type="textWrapping"/>
              <w:t xml:space="preserve">Title: Basic Modern Theory of Linear Complex Analytic q-Difference Equations</w:t>
              <w:br w:type="textWrapping"/>
              <w:t xml:space="preserve">Author: Sauloy J.</w:t>
              <w:br w:type="textWrapping"/>
              <w:t xml:space="preserve">Publisher: AMS, 2024  </w:t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  <w:tr>
        <w:trPr>
          <w:cantSplit w:val="0"/>
          <w:trHeight w:val="1751.8359375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widowControl w:val="0"/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ISBN: 978-1-4704-7941-1, softcover</w:t>
              <w:br w:type="textWrapping"/>
              <w:t xml:space="preserve">Title: Bimonoidal Categories,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E-n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Monoidal Categories, and Algebraic K-Theory </w:t>
              <w:br w:type="textWrapping"/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Volumes: I, II, III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Set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Author: Yau D., Johnson N.</w:t>
              <w:br w:type="textWrapping"/>
              <w:t xml:space="preserve">Publisher: AMS, 2024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after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Warunki realizacji: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67" w:right="0" w:hanging="425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zobowiązany jest uwzględnić koszty dostawy w ofercie.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dostarczy jednorazowo pełen komplet nowych, pełnowartościowych książek w formie drukowanej.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Miejsce dostawy: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Siedziba Instytutu Matematycznego Polskiej Akademii Nauk przy ul. Śniadeckich 8, 00-656 Warszawa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Termin realizacji: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zobowiązany jest zrealizować przedmiot zamówienia w ciągu 6 tygodni, licząc od daty udzielenia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2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5A129A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 w:val="1"/>
    <w:rsid w:val="005A129A"/>
    <w:pPr>
      <w:ind w:left="720"/>
      <w:contextualSpacing w:val="1"/>
    </w:pPr>
  </w:style>
  <w:style w:type="paragraph" w:styleId="Tabela" w:customStyle="1">
    <w:name w:val="Tabela"/>
    <w:basedOn w:val="Normalny"/>
    <w:qFormat w:val="1"/>
    <w:rsid w:val="005A129A"/>
    <w:pPr>
      <w:widowControl w:val="0"/>
      <w:suppressAutoHyphens w:val="1"/>
      <w:spacing w:after="60" w:before="60" w:line="240" w:lineRule="auto"/>
      <w:textAlignment w:val="baseline"/>
    </w:pPr>
    <w:rPr>
      <w:rFonts w:ascii="Arial" w:cs="Arial" w:eastAsia="Calibri" w:hAnsi="Arial"/>
      <w:sz w:val="20"/>
      <w:szCs w:val="20"/>
      <w:lang w:eastAsia="ar-SA"/>
    </w:rPr>
  </w:style>
  <w:style w:type="character" w:styleId="AkapitzlistZnak" w:customStyle="1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 w:val="1"/>
    <w:locked w:val="1"/>
    <w:rsid w:val="005A129A"/>
  </w:style>
  <w:style w:type="table" w:styleId="Tabela-Siatka">
    <w:name w:val="Table Grid"/>
    <w:basedOn w:val="Standardowy"/>
    <w:uiPriority w:val="39"/>
    <w:rsid w:val="005A129A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pl-PL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7474C6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474C6"/>
  </w:style>
  <w:style w:type="paragraph" w:styleId="Stopka">
    <w:name w:val="footer"/>
    <w:basedOn w:val="Normalny"/>
    <w:link w:val="StopkaZnak"/>
    <w:uiPriority w:val="99"/>
    <w:unhideWhenUsed w:val="1"/>
    <w:rsid w:val="007474C6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474C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LRMwKAptCYpETqkd42xg4HUyqg==">CgMxLjA4AHIhMUN3TndPSC10cmpTMFN3eTBQTkF0R3VrbldfSkFXQXFP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2024-03-25T13:00:00Z</dcterms:created>
  <dc:creator>Anna Czader</dc:creator>
</cp:coreProperties>
</file>