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6B2" w:rsidRPr="00E9443C" w:rsidRDefault="00F316B2" w:rsidP="00F316B2">
      <w:pPr>
        <w:suppressAutoHyphens w:val="0"/>
        <w:spacing w:before="120" w:after="120"/>
        <w:jc w:val="center"/>
        <w:rPr>
          <w:sz w:val="24"/>
          <w:szCs w:val="24"/>
          <w:lang w:eastAsia="pl-PL"/>
        </w:rPr>
      </w:pPr>
      <w:r w:rsidRPr="00E9443C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Opis przedmiotu zamówienia</w:t>
      </w:r>
    </w:p>
    <w:p w:rsidR="00F316B2" w:rsidRPr="00E9443C" w:rsidRDefault="00F316B2" w:rsidP="00F316B2">
      <w:pPr>
        <w:numPr>
          <w:ilvl w:val="0"/>
          <w:numId w:val="8"/>
        </w:numPr>
        <w:suppressAutoHyphens w:val="0"/>
        <w:spacing w:after="200" w:line="276" w:lineRule="auto"/>
        <w:ind w:left="426" w:hanging="426"/>
        <w:textAlignment w:val="baseline"/>
        <w:rPr>
          <w:rFonts w:ascii="Calibri" w:hAnsi="Calibri" w:cs="Calibri"/>
          <w:b/>
          <w:bCs/>
          <w:color w:val="00000A"/>
          <w:sz w:val="20"/>
          <w:szCs w:val="20"/>
          <w:lang w:eastAsia="pl-PL"/>
        </w:rPr>
      </w:pPr>
      <w:r w:rsidRPr="00E9443C">
        <w:rPr>
          <w:rFonts w:ascii="Calibri" w:hAnsi="Calibri" w:cs="Calibri"/>
          <w:b/>
          <w:bCs/>
          <w:color w:val="00000A"/>
          <w:sz w:val="20"/>
          <w:szCs w:val="20"/>
          <w:lang w:eastAsia="pl-PL"/>
        </w:rPr>
        <w:t>Przedmiot zamówienia.</w:t>
      </w:r>
    </w:p>
    <w:p w:rsidR="00F316B2" w:rsidRPr="0014792D" w:rsidRDefault="00F316B2" w:rsidP="00F316B2">
      <w:pPr>
        <w:numPr>
          <w:ilvl w:val="1"/>
          <w:numId w:val="9"/>
        </w:numPr>
        <w:suppressAutoHyphens w:val="0"/>
        <w:spacing w:after="200" w:line="276" w:lineRule="auto"/>
        <w:contextualSpacing/>
        <w:jc w:val="both"/>
        <w:textAlignment w:val="baseline"/>
        <w:rPr>
          <w:rFonts w:ascii="Calibri" w:hAnsi="Calibri" w:cs="Calibri"/>
          <w:b/>
          <w:bCs/>
          <w:color w:val="00000A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A"/>
          <w:sz w:val="20"/>
          <w:szCs w:val="20"/>
          <w:lang w:eastAsia="pl-PL"/>
        </w:rPr>
        <w:t xml:space="preserve">Przedmiotem zamówienia jest wykonanie naprawy </w:t>
      </w:r>
      <w:r w:rsidR="0014792D">
        <w:rPr>
          <w:rFonts w:ascii="Calibri" w:hAnsi="Calibri" w:cs="Calibri"/>
          <w:color w:val="00000A"/>
          <w:sz w:val="20"/>
          <w:szCs w:val="20"/>
          <w:lang w:eastAsia="pl-PL"/>
        </w:rPr>
        <w:t xml:space="preserve">awaryjnej </w:t>
      </w:r>
      <w:r w:rsidR="000C6B07">
        <w:rPr>
          <w:rFonts w:ascii="Calibri" w:hAnsi="Calibri" w:cs="Calibri"/>
          <w:color w:val="00000A"/>
          <w:sz w:val="20"/>
          <w:szCs w:val="20"/>
          <w:lang w:eastAsia="pl-PL"/>
        </w:rPr>
        <w:t>jednego silnika asynchronicznego</w:t>
      </w:r>
      <w:r w:rsidRPr="00E9443C">
        <w:rPr>
          <w:rFonts w:ascii="Calibri" w:hAnsi="Calibri" w:cs="Calibri"/>
          <w:color w:val="00000A"/>
          <w:sz w:val="20"/>
          <w:szCs w:val="20"/>
          <w:lang w:eastAsia="pl-PL"/>
        </w:rPr>
        <w:t xml:space="preserve"> zdemontowan</w:t>
      </w:r>
      <w:r w:rsidR="0022229C">
        <w:rPr>
          <w:rFonts w:ascii="Calibri" w:hAnsi="Calibri" w:cs="Calibri"/>
          <w:color w:val="00000A"/>
          <w:sz w:val="20"/>
          <w:szCs w:val="20"/>
          <w:lang w:eastAsia="pl-PL"/>
        </w:rPr>
        <w:t>ych</w:t>
      </w:r>
      <w:r w:rsidR="0014792D">
        <w:rPr>
          <w:rFonts w:ascii="Calibri" w:hAnsi="Calibri" w:cs="Calibri"/>
          <w:color w:val="00000A"/>
          <w:sz w:val="20"/>
          <w:szCs w:val="20"/>
          <w:lang w:eastAsia="pl-PL"/>
        </w:rPr>
        <w:t xml:space="preserve"> </w:t>
      </w:r>
      <w:r w:rsidRPr="00E9443C">
        <w:rPr>
          <w:rFonts w:ascii="Calibri" w:hAnsi="Calibri" w:cs="Calibri"/>
          <w:color w:val="00000A"/>
          <w:sz w:val="20"/>
          <w:szCs w:val="20"/>
          <w:lang w:eastAsia="pl-PL"/>
        </w:rPr>
        <w:t xml:space="preserve">z pojazdu trakcyjnego. </w:t>
      </w:r>
      <w:r w:rsidRPr="00E9443C">
        <w:rPr>
          <w:rFonts w:ascii="Calibri" w:eastAsia="Calibri" w:hAnsi="Calibri" w:cs="Calibri"/>
          <w:color w:val="00000A"/>
          <w:sz w:val="20"/>
          <w:szCs w:val="20"/>
          <w:lang w:eastAsia="en-US"/>
        </w:rPr>
        <w:t xml:space="preserve">Naprawa przedmiotu zamówienia polega na wykonaniu pomiarów oraz przywróceniu parametrów eksploatacyjnych w zakresie podstawowym oraz na wymianie poważniejszych elementów konstrukcyjnych w zakresie prac dodatkowych zgodnie z </w:t>
      </w:r>
      <w:r>
        <w:rPr>
          <w:rFonts w:ascii="Calibri" w:eastAsia="Calibri" w:hAnsi="Calibri" w:cs="Calibri"/>
          <w:color w:val="00000A"/>
          <w:sz w:val="20"/>
          <w:szCs w:val="20"/>
          <w:lang w:eastAsia="en-US"/>
        </w:rPr>
        <w:t xml:space="preserve">normami, </w:t>
      </w:r>
      <w:r w:rsidRPr="00E9443C">
        <w:rPr>
          <w:rFonts w:ascii="Calibri" w:eastAsia="Calibri" w:hAnsi="Calibri" w:cs="Calibri"/>
          <w:color w:val="00000A"/>
          <w:sz w:val="20"/>
          <w:szCs w:val="20"/>
          <w:lang w:eastAsia="en-US"/>
        </w:rPr>
        <w:t xml:space="preserve">dokumentacją konstrukcyjną oraz techniczno- ruchową silników trakcyjnych typu TMF 50-29-4 400 </w:t>
      </w:r>
      <w:proofErr w:type="spellStart"/>
      <w:r w:rsidRPr="00E9443C">
        <w:rPr>
          <w:rFonts w:ascii="Calibri" w:eastAsia="Calibri" w:hAnsi="Calibri" w:cs="Calibri"/>
          <w:color w:val="00000A"/>
          <w:sz w:val="20"/>
          <w:szCs w:val="20"/>
          <w:lang w:eastAsia="en-US"/>
        </w:rPr>
        <w:t>kW.</w:t>
      </w:r>
      <w:proofErr w:type="spellEnd"/>
      <w:r w:rsidRPr="00E9443C">
        <w:rPr>
          <w:rFonts w:ascii="Calibri" w:eastAsia="Calibri" w:hAnsi="Calibri" w:cs="Calibri"/>
          <w:b/>
          <w:bCs/>
          <w:color w:val="000000"/>
          <w:sz w:val="20"/>
          <w:szCs w:val="20"/>
          <w:lang w:eastAsia="pl-PL"/>
        </w:rPr>
        <w:t xml:space="preserve"> </w:t>
      </w:r>
    </w:p>
    <w:p w:rsidR="0014792D" w:rsidRPr="0014792D" w:rsidRDefault="000C6B07" w:rsidP="00F316B2">
      <w:pPr>
        <w:numPr>
          <w:ilvl w:val="1"/>
          <w:numId w:val="9"/>
        </w:numPr>
        <w:suppressAutoHyphens w:val="0"/>
        <w:spacing w:after="200" w:line="276" w:lineRule="auto"/>
        <w:contextualSpacing/>
        <w:jc w:val="both"/>
        <w:textAlignment w:val="baseline"/>
        <w:rPr>
          <w:rFonts w:ascii="Calibri" w:hAnsi="Calibri" w:cs="Calibri"/>
          <w:bCs/>
          <w:color w:val="00000A"/>
          <w:sz w:val="20"/>
          <w:szCs w:val="20"/>
          <w:lang w:eastAsia="pl-PL"/>
        </w:rPr>
      </w:pPr>
      <w:r>
        <w:rPr>
          <w:rFonts w:ascii="Calibri" w:eastAsia="Calibri" w:hAnsi="Calibri" w:cs="Calibri"/>
          <w:bCs/>
          <w:color w:val="000000"/>
          <w:sz w:val="20"/>
          <w:szCs w:val="20"/>
          <w:lang w:eastAsia="pl-PL"/>
        </w:rPr>
        <w:t>W silniku</w:t>
      </w:r>
      <w:r w:rsidR="0014792D" w:rsidRPr="0014792D">
        <w:rPr>
          <w:rFonts w:ascii="Calibri" w:eastAsia="Calibri" w:hAnsi="Calibri" w:cs="Calibri"/>
          <w:bCs/>
          <w:color w:val="000000"/>
          <w:sz w:val="20"/>
          <w:szCs w:val="20"/>
          <w:lang w:eastAsia="pl-PL"/>
        </w:rPr>
        <w:t xml:space="preserve"> zdiagnozowano zwarcie do masy (zwarcie do obudowy) silnika.  </w:t>
      </w:r>
    </w:p>
    <w:p w:rsidR="00F316B2" w:rsidRPr="00E9443C" w:rsidRDefault="00F316B2" w:rsidP="00F316B2">
      <w:pPr>
        <w:suppressAutoHyphens w:val="0"/>
        <w:contextualSpacing/>
        <w:jc w:val="both"/>
        <w:textAlignment w:val="baseline"/>
        <w:rPr>
          <w:rFonts w:ascii="Calibri" w:eastAsia="Calibri" w:hAnsi="Calibri" w:cs="Calibri"/>
          <w:color w:val="00000A"/>
          <w:sz w:val="20"/>
          <w:szCs w:val="20"/>
          <w:lang w:eastAsia="en-US"/>
        </w:rPr>
      </w:pPr>
    </w:p>
    <w:p w:rsidR="00F316B2" w:rsidRPr="00E9443C" w:rsidRDefault="00F316B2" w:rsidP="00F316B2">
      <w:pPr>
        <w:numPr>
          <w:ilvl w:val="0"/>
          <w:numId w:val="8"/>
        </w:numPr>
        <w:tabs>
          <w:tab w:val="num" w:pos="426"/>
        </w:tabs>
        <w:suppressAutoHyphens w:val="0"/>
        <w:spacing w:after="200" w:line="276" w:lineRule="auto"/>
        <w:ind w:hanging="720"/>
        <w:textAlignment w:val="baseline"/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  <w:t>Zakres usługi przewidziany do wykonania prac w poszczególnych zadaniach obejmie:</w:t>
      </w:r>
    </w:p>
    <w:p w:rsidR="00F316B2" w:rsidRPr="00E9443C" w:rsidRDefault="00F316B2" w:rsidP="00F316B2">
      <w:pPr>
        <w:numPr>
          <w:ilvl w:val="1"/>
          <w:numId w:val="10"/>
        </w:numPr>
        <w:suppressAutoHyphens w:val="0"/>
        <w:spacing w:after="200" w:line="276" w:lineRule="auto"/>
        <w:contextualSpacing/>
        <w:rPr>
          <w:sz w:val="24"/>
          <w:szCs w:val="24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 Naprawa silnik</w:t>
      </w:r>
      <w:r w:rsidR="000C6B07">
        <w:rPr>
          <w:rFonts w:ascii="Calibri" w:hAnsi="Calibri" w:cs="Calibri"/>
          <w:color w:val="000000"/>
          <w:sz w:val="20"/>
          <w:szCs w:val="20"/>
          <w:lang w:eastAsia="pl-PL"/>
        </w:rPr>
        <w:t>a trakcyjnego</w:t>
      </w: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 w zakresie stałym zgodnie z wykazem prac zawartym w Tabeli nr 1 wraz </w:t>
      </w: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br/>
        <w:t xml:space="preserve">z pracami dodatkowymi koniecznymi do dopuszczenia podzespołu do eksploatacji zgodnie z wykazem </w:t>
      </w:r>
      <w:r>
        <w:rPr>
          <w:rFonts w:ascii="Calibri" w:hAnsi="Calibri" w:cs="Calibri"/>
          <w:color w:val="000000"/>
          <w:sz w:val="20"/>
          <w:szCs w:val="20"/>
          <w:lang w:eastAsia="pl-PL"/>
        </w:rPr>
        <w:t xml:space="preserve">prac zawartym w Tabeli nr 2, </w:t>
      </w: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 Dokumentacją Techniczno-Ruchową </w:t>
      </w:r>
      <w:r>
        <w:rPr>
          <w:rFonts w:ascii="Calibri" w:hAnsi="Calibri" w:cs="Calibri"/>
          <w:color w:val="000000"/>
          <w:sz w:val="20"/>
          <w:szCs w:val="20"/>
          <w:lang w:eastAsia="pl-PL"/>
        </w:rPr>
        <w:t xml:space="preserve">(Instrukcją Obsługi) </w:t>
      </w: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producenta silników</w:t>
      </w:r>
      <w:r>
        <w:rPr>
          <w:rFonts w:ascii="Calibri" w:hAnsi="Calibri" w:cs="Calibri"/>
          <w:color w:val="000000"/>
          <w:sz w:val="20"/>
          <w:szCs w:val="20"/>
          <w:lang w:eastAsia="pl-PL"/>
        </w:rPr>
        <w:t xml:space="preserve"> </w:t>
      </w:r>
      <w:r w:rsidRPr="001D241A">
        <w:rPr>
          <w:rFonts w:ascii="Calibri" w:hAnsi="Calibri" w:cs="Calibri"/>
          <w:color w:val="000000"/>
          <w:sz w:val="20"/>
          <w:szCs w:val="20"/>
          <w:lang w:eastAsia="pl-PL"/>
        </w:rPr>
        <w:t>oraz normami dotyczącymi trakcyjnych silników asynchronicznych.</w:t>
      </w:r>
    </w:p>
    <w:p w:rsidR="00F316B2" w:rsidRPr="00E9443C" w:rsidRDefault="00F316B2" w:rsidP="00F316B2">
      <w:pPr>
        <w:suppressAutoHyphens w:val="0"/>
        <w:contextualSpacing/>
        <w:rPr>
          <w:sz w:val="24"/>
          <w:szCs w:val="24"/>
          <w:lang w:eastAsia="pl-PL"/>
        </w:rPr>
      </w:pPr>
    </w:p>
    <w:p w:rsidR="00F316B2" w:rsidRPr="00E9443C" w:rsidRDefault="00F316B2" w:rsidP="00F316B2">
      <w:pPr>
        <w:suppressAutoHyphens w:val="0"/>
        <w:jc w:val="center"/>
        <w:rPr>
          <w:rFonts w:ascii="Calibri" w:hAnsi="Calibri" w:cs="Calibri"/>
          <w:b/>
          <w:i/>
          <w:iCs/>
          <w:sz w:val="18"/>
          <w:szCs w:val="18"/>
          <w:lang w:eastAsia="pl-PL"/>
        </w:rPr>
      </w:pPr>
      <w:r w:rsidRPr="00E9443C">
        <w:rPr>
          <w:rFonts w:ascii="Calibri" w:hAnsi="Calibri" w:cs="Calibri"/>
          <w:b/>
          <w:i/>
          <w:iCs/>
          <w:sz w:val="18"/>
          <w:szCs w:val="18"/>
          <w:lang w:eastAsia="pl-PL"/>
        </w:rPr>
        <w:t xml:space="preserve">Tabela nr 1  </w:t>
      </w:r>
      <w:r w:rsidRPr="00E9443C">
        <w:rPr>
          <w:rFonts w:ascii="Calibri" w:hAnsi="Calibri" w:cs="Calibri"/>
          <w:b/>
          <w:i/>
          <w:iCs/>
          <w:sz w:val="18"/>
          <w:szCs w:val="18"/>
          <w:u w:val="single"/>
          <w:lang w:eastAsia="pl-PL"/>
        </w:rPr>
        <w:t>Stały zakres prac</w:t>
      </w:r>
      <w:r w:rsidRPr="00E9443C">
        <w:rPr>
          <w:rFonts w:ascii="Calibri" w:hAnsi="Calibri" w:cs="Calibri"/>
          <w:b/>
          <w:i/>
          <w:iCs/>
          <w:sz w:val="18"/>
          <w:szCs w:val="18"/>
          <w:lang w:eastAsia="pl-PL"/>
        </w:rPr>
        <w:t xml:space="preserve"> dla silnika asynchronicznego typu: TMF 50-29-4 400 </w:t>
      </w:r>
      <w:proofErr w:type="spellStart"/>
      <w:r w:rsidRPr="00E9443C">
        <w:rPr>
          <w:rFonts w:ascii="Calibri" w:hAnsi="Calibri" w:cs="Calibri"/>
          <w:b/>
          <w:i/>
          <w:iCs/>
          <w:sz w:val="18"/>
          <w:szCs w:val="18"/>
          <w:lang w:eastAsia="pl-PL"/>
        </w:rPr>
        <w:t>kW.</w:t>
      </w:r>
      <w:proofErr w:type="spellEnd"/>
    </w:p>
    <w:tbl>
      <w:tblPr>
        <w:tblStyle w:val="Tabela-Siatka16"/>
        <w:tblW w:w="8642" w:type="dxa"/>
        <w:tblInd w:w="567" w:type="dxa"/>
        <w:tblLook w:val="04A0" w:firstRow="1" w:lastRow="0" w:firstColumn="1" w:lastColumn="0" w:noHBand="0" w:noVBand="1"/>
      </w:tblPr>
      <w:tblGrid>
        <w:gridCol w:w="817"/>
        <w:gridCol w:w="7825"/>
      </w:tblGrid>
      <w:tr w:rsidR="0022229C" w:rsidRPr="00E9443C" w:rsidTr="0022229C">
        <w:tc>
          <w:tcPr>
            <w:tcW w:w="817" w:type="dxa"/>
            <w:vAlign w:val="center"/>
          </w:tcPr>
          <w:p w:rsidR="0022229C" w:rsidRPr="00E9443C" w:rsidRDefault="0022229C" w:rsidP="00E968EC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825" w:type="dxa"/>
            <w:vAlign w:val="center"/>
          </w:tcPr>
          <w:p w:rsidR="0022229C" w:rsidRPr="00E9443C" w:rsidRDefault="0022229C" w:rsidP="00E968EC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bCs/>
                <w:color w:val="000000"/>
                <w:sz w:val="20"/>
                <w:szCs w:val="20"/>
                <w:lang w:eastAsia="pl-PL"/>
              </w:rPr>
              <w:t>Wyszczególnienie prac  dla silników:</w:t>
            </w:r>
            <w:r w:rsidRPr="00E9443C">
              <w:rPr>
                <w:rFonts w:ascii="Calibri" w:hAnsi="Calibri" w:cs="Calibri"/>
                <w:color w:val="00000A"/>
                <w:sz w:val="20"/>
                <w:szCs w:val="20"/>
                <w:lang w:eastAsia="pl-PL"/>
              </w:rPr>
              <w:t xml:space="preserve"> </w:t>
            </w:r>
            <w:r w:rsidRPr="00E9443C">
              <w:rPr>
                <w:rFonts w:ascii="Calibri" w:hAnsi="Calibri" w:cs="Calibri"/>
                <w:bCs/>
                <w:color w:val="000000"/>
                <w:sz w:val="20"/>
                <w:szCs w:val="20"/>
                <w:lang w:eastAsia="pl-PL"/>
              </w:rPr>
              <w:t xml:space="preserve">TMF 50-29-4 400 kW, </w:t>
            </w:r>
          </w:p>
          <w:p w:rsidR="0022229C" w:rsidRPr="00E9443C" w:rsidRDefault="0022229C" w:rsidP="00E968EC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22229C" w:rsidRPr="00E9443C" w:rsidTr="0022229C">
        <w:tc>
          <w:tcPr>
            <w:tcW w:w="817" w:type="dxa"/>
            <w:vAlign w:val="center"/>
          </w:tcPr>
          <w:p w:rsidR="0022229C" w:rsidRPr="00E9443C" w:rsidRDefault="0022229C" w:rsidP="00E968EC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25" w:type="dxa"/>
            <w:vAlign w:val="center"/>
          </w:tcPr>
          <w:p w:rsidR="0022229C" w:rsidRPr="00E9443C" w:rsidRDefault="0022229C" w:rsidP="00E968EC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Badania diagnostyczne; wstępna ocena stanu technicznego silnika</w:t>
            </w:r>
            <w:r w:rsidRPr="008E2965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, stojana, wirnika, podzespołów silnika.</w:t>
            </w:r>
          </w:p>
        </w:tc>
      </w:tr>
      <w:tr w:rsidR="0022229C" w:rsidRPr="00E9443C" w:rsidTr="0022229C">
        <w:trPr>
          <w:trHeight w:val="666"/>
        </w:trPr>
        <w:tc>
          <w:tcPr>
            <w:tcW w:w="817" w:type="dxa"/>
            <w:vAlign w:val="center"/>
          </w:tcPr>
          <w:p w:rsidR="0022229C" w:rsidRPr="00E9443C" w:rsidRDefault="0022229C" w:rsidP="00E968EC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25" w:type="dxa"/>
          </w:tcPr>
          <w:p w:rsidR="0022229C" w:rsidRPr="00E9443C" w:rsidRDefault="0022229C" w:rsidP="00E968EC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Demontaż silnika (tj. demontaż; osłony NDE oraz TMBU , kołnierza przekładni, wirnika,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osłon, </w:t>
            </w: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kratek wentylacyjnych)</w:t>
            </w:r>
          </w:p>
        </w:tc>
      </w:tr>
      <w:tr w:rsidR="0022229C" w:rsidRPr="00E9443C" w:rsidTr="0022229C">
        <w:tc>
          <w:tcPr>
            <w:tcW w:w="817" w:type="dxa"/>
            <w:vAlign w:val="center"/>
          </w:tcPr>
          <w:p w:rsidR="0022229C" w:rsidRPr="00E9443C" w:rsidRDefault="0022229C" w:rsidP="00E968EC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25" w:type="dxa"/>
            <w:vAlign w:val="center"/>
          </w:tcPr>
          <w:p w:rsidR="0022229C" w:rsidRPr="00B6709C" w:rsidRDefault="0022229C" w:rsidP="00E968EC">
            <w:pPr>
              <w:rPr>
                <w:rFonts w:ascii="Calibri Light" w:eastAsia="Calibri" w:hAnsi="Calibri Light" w:cs="Calibri"/>
                <w:b/>
                <w:sz w:val="18"/>
                <w:szCs w:val="16"/>
                <w:lang w:eastAsia="pl-PL"/>
              </w:rPr>
            </w:pPr>
            <w:r w:rsidRPr="00B6709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Czyszczenie, mycie - stojana uzwojonego, wirnika, węzła łożyskowego, podzespołów silnika( element pośredni; tarcza NDE; kołnierza zębatego; uszczelnień labiryntowych; koła czujnika prędkości; półsprzęgła;  pierścienia wsporczego; osłon;).</w:t>
            </w:r>
          </w:p>
          <w:p w:rsidR="0022229C" w:rsidRPr="00B6709C" w:rsidRDefault="0022229C" w:rsidP="00E968EC">
            <w:pPr>
              <w:suppressAutoHyphens w:val="0"/>
              <w:jc w:val="both"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 Suszenie elementów silnika – uzwojonego stojana, wirnika.</w:t>
            </w:r>
          </w:p>
        </w:tc>
      </w:tr>
      <w:tr w:rsidR="0022229C" w:rsidRPr="00E9443C" w:rsidTr="0022229C">
        <w:tc>
          <w:tcPr>
            <w:tcW w:w="817" w:type="dxa"/>
            <w:vAlign w:val="center"/>
          </w:tcPr>
          <w:p w:rsidR="0022229C" w:rsidRPr="00E9443C" w:rsidRDefault="0022229C" w:rsidP="00E968EC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25" w:type="dxa"/>
            <w:vAlign w:val="center"/>
          </w:tcPr>
          <w:p w:rsidR="0022229C" w:rsidRPr="00E9443C" w:rsidRDefault="0022229C" w:rsidP="00E968EC">
            <w:pP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B6709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Kontrola i testowanie pakietu blach stojana: test magnetyczny, pomiar termowizyjny stojana lub pomiar bezpośredni testerem, wraz z dowodnym przedstawieniem wyników przeprowadzonych pomiarów.</w:t>
            </w:r>
          </w:p>
        </w:tc>
      </w:tr>
      <w:tr w:rsidR="0022229C" w:rsidRPr="00E9443C" w:rsidTr="0022229C">
        <w:tc>
          <w:tcPr>
            <w:tcW w:w="817" w:type="dxa"/>
            <w:vAlign w:val="center"/>
          </w:tcPr>
          <w:p w:rsidR="0022229C" w:rsidRPr="00E9443C" w:rsidRDefault="0022229C" w:rsidP="00E968EC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825" w:type="dxa"/>
            <w:vAlign w:val="center"/>
          </w:tcPr>
          <w:p w:rsidR="0022229C" w:rsidRPr="00B6709C" w:rsidRDefault="0022229C" w:rsidP="00E968EC">
            <w:pPr>
              <w:suppressAutoHyphens w:val="0"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Pomiar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y elektryczne</w:t>
            </w: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: </w:t>
            </w:r>
            <w:r w:rsidRPr="006437AB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indukcyjności, rezystancji uzwojeń, rezystancji izolacji, określenie  współczynnika: absorpcji DAR, polaryzacji PI, napięcie schodkowe SV, rozładowanie dielektryka DD lub poziom wyładowań niezupełnych, próby napięciowe wytrzymałości izolacji.</w:t>
            </w:r>
          </w:p>
        </w:tc>
      </w:tr>
      <w:tr w:rsidR="0022229C" w:rsidRPr="00E9443C" w:rsidTr="0022229C">
        <w:tc>
          <w:tcPr>
            <w:tcW w:w="817" w:type="dxa"/>
            <w:vAlign w:val="center"/>
          </w:tcPr>
          <w:p w:rsidR="0022229C" w:rsidRPr="00E9443C" w:rsidRDefault="0022229C" w:rsidP="00E968EC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825" w:type="dxa"/>
            <w:vAlign w:val="center"/>
          </w:tcPr>
          <w:p w:rsidR="0022229C" w:rsidRPr="00E9443C" w:rsidRDefault="0022229C" w:rsidP="00E968EC">
            <w:pP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B6709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Badanie MT oraz UT: wału wirnika w przypadku zablokowanych łożysk lub labiryntów.</w:t>
            </w:r>
          </w:p>
        </w:tc>
      </w:tr>
      <w:tr w:rsidR="0022229C" w:rsidRPr="00E9443C" w:rsidTr="0022229C">
        <w:tc>
          <w:tcPr>
            <w:tcW w:w="817" w:type="dxa"/>
            <w:vAlign w:val="center"/>
          </w:tcPr>
          <w:p w:rsidR="0022229C" w:rsidRPr="00E9443C" w:rsidRDefault="0022229C" w:rsidP="00E968EC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825" w:type="dxa"/>
            <w:vAlign w:val="center"/>
          </w:tcPr>
          <w:p w:rsidR="0022229C" w:rsidRPr="00E9443C" w:rsidRDefault="0022229C" w:rsidP="00E968EC">
            <w:pPr>
              <w:suppressAutoHyphens w:val="0"/>
              <w:textAlignment w:val="baseline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Impregnacja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VPI </w:t>
            </w: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uzwojeń stojana i połączeń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naprawa ubytków- tymi samymi taśmami i żywicą elektroizolacyjną tej samej klasy, co podczas mo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ntażu silnika wg właściwego DTR</w:t>
            </w: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22229C" w:rsidRPr="00E9443C" w:rsidTr="0022229C">
        <w:tc>
          <w:tcPr>
            <w:tcW w:w="817" w:type="dxa"/>
            <w:vAlign w:val="center"/>
          </w:tcPr>
          <w:p w:rsidR="0022229C" w:rsidRPr="00E9443C" w:rsidRDefault="0022229C" w:rsidP="00E968EC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825" w:type="dxa"/>
            <w:vAlign w:val="center"/>
          </w:tcPr>
          <w:p w:rsidR="0022229C" w:rsidRPr="00E9443C" w:rsidRDefault="0022229C" w:rsidP="00E968EC">
            <w:pPr>
              <w:suppressAutoHyphens w:val="0"/>
              <w:textAlignment w:val="baseline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Pomiary mechaniczne: wykonać diagnostykę drganiową stanu łożyska tocznego silnika; sprawdzenie czopów wału;  sprawdzenie luzów promieniowych łożyska i luzu osiowego.</w:t>
            </w:r>
          </w:p>
        </w:tc>
      </w:tr>
      <w:tr w:rsidR="0022229C" w:rsidRPr="00E9443C" w:rsidTr="0022229C">
        <w:tc>
          <w:tcPr>
            <w:tcW w:w="817" w:type="dxa"/>
            <w:vAlign w:val="center"/>
          </w:tcPr>
          <w:p w:rsidR="0022229C" w:rsidRPr="00E9443C" w:rsidRDefault="0022229C" w:rsidP="00E968EC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825" w:type="dxa"/>
            <w:vAlign w:val="center"/>
          </w:tcPr>
          <w:p w:rsidR="0022229C" w:rsidRPr="00E9443C" w:rsidRDefault="0022229C" w:rsidP="00E968EC">
            <w:pPr>
              <w:suppressAutoHyphens w:val="0"/>
              <w:textAlignment w:val="baseline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Sprawdzenie stanu wirnika.</w:t>
            </w:r>
          </w:p>
        </w:tc>
      </w:tr>
      <w:tr w:rsidR="0022229C" w:rsidRPr="00E9443C" w:rsidTr="0022229C">
        <w:tc>
          <w:tcPr>
            <w:tcW w:w="817" w:type="dxa"/>
            <w:vAlign w:val="center"/>
          </w:tcPr>
          <w:p w:rsidR="0022229C" w:rsidRPr="00E9443C" w:rsidRDefault="0022229C" w:rsidP="00E968EC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825" w:type="dxa"/>
            <w:vAlign w:val="center"/>
          </w:tcPr>
          <w:p w:rsidR="0022229C" w:rsidRPr="00E9443C" w:rsidRDefault="0022229C" w:rsidP="00E968EC">
            <w:pPr>
              <w:suppressAutoHyphens w:val="0"/>
              <w:textAlignment w:val="baseline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Sprawdzenie stanu: otworów wlotowych i wylotowych powietrza; siatek wentylacyjnych; otworów gwintowanych;  gniazda łożyskowego w tarczy NDE; w razie konieczności regeneracja.</w:t>
            </w:r>
          </w:p>
        </w:tc>
      </w:tr>
      <w:tr w:rsidR="0022229C" w:rsidRPr="00E9443C" w:rsidTr="0022229C">
        <w:trPr>
          <w:trHeight w:val="381"/>
        </w:trPr>
        <w:tc>
          <w:tcPr>
            <w:tcW w:w="817" w:type="dxa"/>
            <w:vAlign w:val="center"/>
          </w:tcPr>
          <w:p w:rsidR="0022229C" w:rsidRPr="00E9443C" w:rsidRDefault="0022229C" w:rsidP="00E968EC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825" w:type="dxa"/>
            <w:vAlign w:val="center"/>
          </w:tcPr>
          <w:p w:rsidR="0022229C" w:rsidRPr="00E9443C" w:rsidRDefault="0022229C" w:rsidP="00E968EC">
            <w:pPr>
              <w:suppressAutoHyphens w:val="0"/>
              <w:textAlignment w:val="baseline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Wyważenie dynamiczne wirnika.</w:t>
            </w:r>
          </w:p>
        </w:tc>
      </w:tr>
      <w:tr w:rsidR="0022229C" w:rsidRPr="00E9443C" w:rsidTr="0022229C">
        <w:trPr>
          <w:trHeight w:val="563"/>
        </w:trPr>
        <w:tc>
          <w:tcPr>
            <w:tcW w:w="817" w:type="dxa"/>
            <w:vAlign w:val="center"/>
          </w:tcPr>
          <w:p w:rsidR="0022229C" w:rsidRPr="00E9443C" w:rsidRDefault="0022229C" w:rsidP="00E968EC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825" w:type="dxa"/>
            <w:vAlign w:val="center"/>
          </w:tcPr>
          <w:p w:rsidR="0022229C" w:rsidRPr="00E9443C" w:rsidRDefault="0022229C" w:rsidP="00E968EC">
            <w:pPr>
              <w:suppressAutoHyphens w:val="0"/>
              <w:textAlignment w:val="baseline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Sprawdzenie przewodów, gniazd/złącz, czujników; temperatury, obrotów, zębatki do pomiaru obrotów.</w:t>
            </w:r>
          </w:p>
        </w:tc>
      </w:tr>
      <w:tr w:rsidR="0022229C" w:rsidRPr="00E9443C" w:rsidTr="0022229C">
        <w:tc>
          <w:tcPr>
            <w:tcW w:w="817" w:type="dxa"/>
            <w:vAlign w:val="center"/>
          </w:tcPr>
          <w:p w:rsidR="0022229C" w:rsidRPr="00E9443C" w:rsidRDefault="0022229C" w:rsidP="00F316B2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sz w:val="20"/>
                <w:szCs w:val="20"/>
                <w:lang w:eastAsia="pl-PL"/>
              </w:rPr>
              <w:t>1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25" w:type="dxa"/>
            <w:vAlign w:val="center"/>
          </w:tcPr>
          <w:p w:rsidR="0022229C" w:rsidRPr="00E9443C" w:rsidRDefault="0022229C" w:rsidP="00E968EC">
            <w:pPr>
              <w:suppressAutoHyphens w:val="0"/>
              <w:textAlignment w:val="baseline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Wymiana lub uzupełnienie końcówek przewodów, oraz wymiana lub uzupełnienie ocechowań przewodów.</w:t>
            </w:r>
          </w:p>
        </w:tc>
      </w:tr>
      <w:tr w:rsidR="0022229C" w:rsidRPr="00E9443C" w:rsidTr="0022229C">
        <w:tc>
          <w:tcPr>
            <w:tcW w:w="817" w:type="dxa"/>
            <w:vAlign w:val="center"/>
          </w:tcPr>
          <w:p w:rsidR="0022229C" w:rsidRPr="00E9443C" w:rsidRDefault="0022229C" w:rsidP="00F316B2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825" w:type="dxa"/>
            <w:vAlign w:val="center"/>
          </w:tcPr>
          <w:p w:rsidR="0022229C" w:rsidRPr="00E9443C" w:rsidRDefault="0022229C" w:rsidP="00F316B2">
            <w:pPr>
              <w:suppressAutoHyphens w:val="0"/>
              <w:textAlignment w:val="baseline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Wymiana lub uzupełnienie dławic kablowych.</w:t>
            </w:r>
          </w:p>
        </w:tc>
      </w:tr>
      <w:tr w:rsidR="0022229C" w:rsidRPr="00E9443C" w:rsidTr="0022229C">
        <w:tc>
          <w:tcPr>
            <w:tcW w:w="817" w:type="dxa"/>
            <w:vAlign w:val="center"/>
          </w:tcPr>
          <w:p w:rsidR="0022229C" w:rsidRPr="00E9443C" w:rsidRDefault="0022229C" w:rsidP="00F316B2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7825" w:type="dxa"/>
            <w:vAlign w:val="center"/>
          </w:tcPr>
          <w:p w:rsidR="0022229C" w:rsidRPr="006437AB" w:rsidRDefault="0022229C" w:rsidP="00F316B2">
            <w:pP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6437AB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Wymiana wszystkich uszkodzonych normaliów. Bezwarunkowa wymiana podkładek sprężynowych, zawleczek (jeśli takowe występują) oraz podkładek specjalnych </w:t>
            </w:r>
            <w:r w:rsidRPr="006437AB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lastRenderedPageBreak/>
              <w:t>zabezpieczających.</w:t>
            </w:r>
          </w:p>
        </w:tc>
      </w:tr>
      <w:tr w:rsidR="0022229C" w:rsidRPr="00E9443C" w:rsidTr="0022229C">
        <w:tc>
          <w:tcPr>
            <w:tcW w:w="817" w:type="dxa"/>
            <w:vAlign w:val="center"/>
          </w:tcPr>
          <w:p w:rsidR="0022229C" w:rsidRPr="00E9443C" w:rsidRDefault="0022229C" w:rsidP="00F316B2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sz w:val="20"/>
                <w:szCs w:val="20"/>
                <w:lang w:eastAsia="pl-PL"/>
              </w:rPr>
              <w:lastRenderedPageBreak/>
              <w:t>16</w:t>
            </w:r>
          </w:p>
        </w:tc>
        <w:tc>
          <w:tcPr>
            <w:tcW w:w="7825" w:type="dxa"/>
            <w:vAlign w:val="center"/>
          </w:tcPr>
          <w:p w:rsidR="0022229C" w:rsidRPr="006437AB" w:rsidRDefault="0022229C" w:rsidP="00F316B2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Usunięcie innych  usterek elementów mocujących zawieszenia silnika (śruby, hak zabezpieczający otwory gwintowane</w:t>
            </w:r>
          </w:p>
        </w:tc>
      </w:tr>
      <w:tr w:rsidR="0022229C" w:rsidRPr="00E9443C" w:rsidTr="0022229C">
        <w:tc>
          <w:tcPr>
            <w:tcW w:w="817" w:type="dxa"/>
            <w:vAlign w:val="center"/>
          </w:tcPr>
          <w:p w:rsidR="0022229C" w:rsidRPr="00E9443C" w:rsidRDefault="0022229C" w:rsidP="00F316B2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7825" w:type="dxa"/>
            <w:vAlign w:val="center"/>
          </w:tcPr>
          <w:p w:rsidR="0022229C" w:rsidRPr="006437AB" w:rsidRDefault="0022229C" w:rsidP="00F316B2">
            <w:pP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6437AB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Usunięcie uszkodzeń mechanicznych z kadłuba silnika (pęknięcia, uszkodzenia od uderzenia ciał obcych, itp.)</w:t>
            </w:r>
          </w:p>
        </w:tc>
      </w:tr>
      <w:tr w:rsidR="0022229C" w:rsidRPr="00E9443C" w:rsidTr="0022229C">
        <w:tc>
          <w:tcPr>
            <w:tcW w:w="817" w:type="dxa"/>
            <w:vAlign w:val="center"/>
          </w:tcPr>
          <w:p w:rsidR="0022229C" w:rsidRPr="00E9443C" w:rsidRDefault="0022229C" w:rsidP="00F316B2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7825" w:type="dxa"/>
            <w:vAlign w:val="center"/>
          </w:tcPr>
          <w:p w:rsidR="0022229C" w:rsidRPr="00E9443C" w:rsidRDefault="0022229C" w:rsidP="00F316B2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Wykonanie powłok malarskich, zabezpieczenia antykorozyjnego zgodnie ze specyfikacją malowania </w:t>
            </w:r>
          </w:p>
        </w:tc>
      </w:tr>
      <w:tr w:rsidR="0022229C" w:rsidRPr="00E9443C" w:rsidTr="0022229C">
        <w:tc>
          <w:tcPr>
            <w:tcW w:w="817" w:type="dxa"/>
            <w:vAlign w:val="center"/>
          </w:tcPr>
          <w:p w:rsidR="0022229C" w:rsidRPr="00E9443C" w:rsidRDefault="0022229C" w:rsidP="00F316B2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7825" w:type="dxa"/>
          </w:tcPr>
          <w:p w:rsidR="0022229C" w:rsidRPr="00E9443C" w:rsidRDefault="0022229C" w:rsidP="00F316B2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Wymiana zespołu łożyska TMBU lub NU w zależności od wykonania.</w:t>
            </w:r>
          </w:p>
        </w:tc>
      </w:tr>
      <w:tr w:rsidR="0022229C" w:rsidRPr="00E9443C" w:rsidTr="0022229C">
        <w:tc>
          <w:tcPr>
            <w:tcW w:w="817" w:type="dxa"/>
            <w:vAlign w:val="center"/>
          </w:tcPr>
          <w:p w:rsidR="0022229C" w:rsidRPr="00E9443C" w:rsidRDefault="0022229C" w:rsidP="00F316B2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825" w:type="dxa"/>
            <w:vAlign w:val="center"/>
          </w:tcPr>
          <w:p w:rsidR="0022229C" w:rsidRPr="00E9443C" w:rsidRDefault="0022229C" w:rsidP="00F316B2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Montaż silnika</w:t>
            </w:r>
          </w:p>
        </w:tc>
      </w:tr>
      <w:tr w:rsidR="0022229C" w:rsidRPr="00E9443C" w:rsidTr="0022229C">
        <w:tc>
          <w:tcPr>
            <w:tcW w:w="817" w:type="dxa"/>
            <w:vAlign w:val="center"/>
          </w:tcPr>
          <w:p w:rsidR="0022229C" w:rsidRPr="00E9443C" w:rsidRDefault="0022229C" w:rsidP="00F316B2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7825" w:type="dxa"/>
            <w:vAlign w:val="center"/>
          </w:tcPr>
          <w:p w:rsidR="0022229C" w:rsidRPr="00E9443C" w:rsidRDefault="0022229C" w:rsidP="00F316B2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Próby wdrożeniowe, próba: biegu jałowego, obciążenia, zwarcia maszyny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D743A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wg standardu IEC 349-2.</w:t>
            </w:r>
          </w:p>
        </w:tc>
      </w:tr>
    </w:tbl>
    <w:p w:rsidR="00F316B2" w:rsidRPr="00E9443C" w:rsidRDefault="00F316B2" w:rsidP="00F316B2">
      <w:pPr>
        <w:suppressAutoHyphens w:val="0"/>
        <w:spacing w:after="200"/>
        <w:jc w:val="center"/>
        <w:rPr>
          <w:sz w:val="24"/>
          <w:szCs w:val="24"/>
          <w:lang w:eastAsia="pl-PL"/>
        </w:rPr>
      </w:pPr>
    </w:p>
    <w:p w:rsidR="00F316B2" w:rsidRPr="00E9443C" w:rsidRDefault="00F316B2" w:rsidP="00F316B2">
      <w:pPr>
        <w:suppressAutoHyphens w:val="0"/>
        <w:spacing w:after="200"/>
        <w:jc w:val="center"/>
        <w:rPr>
          <w:rFonts w:ascii="Calibri" w:hAnsi="Calibri" w:cs="Calibri"/>
          <w:b/>
          <w:bCs/>
          <w:sz w:val="20"/>
          <w:szCs w:val="20"/>
          <w:lang w:eastAsia="pl-PL"/>
        </w:rPr>
      </w:pPr>
      <w:r w:rsidRPr="00E9443C">
        <w:rPr>
          <w:rFonts w:ascii="Calibri" w:hAnsi="Calibri" w:cs="Calibri"/>
          <w:b/>
          <w:i/>
          <w:iCs/>
          <w:sz w:val="18"/>
          <w:szCs w:val="18"/>
          <w:lang w:eastAsia="pl-PL"/>
        </w:rPr>
        <w:t xml:space="preserve">Tabela 2 Wyszczególnienie </w:t>
      </w:r>
      <w:r w:rsidRPr="00E9443C">
        <w:rPr>
          <w:rFonts w:ascii="Calibri" w:hAnsi="Calibri" w:cs="Calibri"/>
          <w:b/>
          <w:i/>
          <w:iCs/>
          <w:sz w:val="18"/>
          <w:szCs w:val="18"/>
          <w:u w:val="single"/>
          <w:lang w:eastAsia="pl-PL"/>
        </w:rPr>
        <w:t>prac dodatkowych</w:t>
      </w:r>
      <w:r w:rsidRPr="00E9443C">
        <w:rPr>
          <w:rFonts w:ascii="Calibri" w:hAnsi="Calibri" w:cs="Calibri"/>
          <w:b/>
          <w:i/>
          <w:iCs/>
          <w:sz w:val="18"/>
          <w:szCs w:val="18"/>
          <w:lang w:eastAsia="pl-PL"/>
        </w:rPr>
        <w:t xml:space="preserve">  dla silnika asynchronicznego typu: TMF 50-29-4 400kW.</w:t>
      </w:r>
    </w:p>
    <w:tbl>
      <w:tblPr>
        <w:tblStyle w:val="Tabela-Siatka16"/>
        <w:tblW w:w="867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827"/>
        <w:gridCol w:w="7848"/>
      </w:tblGrid>
      <w:tr w:rsidR="00F316B2" w:rsidRPr="00E9443C" w:rsidTr="0022229C">
        <w:tc>
          <w:tcPr>
            <w:tcW w:w="827" w:type="dxa"/>
          </w:tcPr>
          <w:p w:rsidR="00F316B2" w:rsidRPr="00E9443C" w:rsidRDefault="00F316B2" w:rsidP="00E968EC">
            <w:pPr>
              <w:suppressAutoHyphens w:val="0"/>
              <w:contextualSpacing/>
              <w:jc w:val="center"/>
              <w:textAlignment w:val="baseline"/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848" w:type="dxa"/>
          </w:tcPr>
          <w:p w:rsidR="00F316B2" w:rsidRPr="00E9443C" w:rsidRDefault="00F316B2" w:rsidP="00E968EC">
            <w:pPr>
              <w:suppressAutoHyphens w:val="0"/>
              <w:jc w:val="center"/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bCs/>
                <w:color w:val="000000"/>
                <w:sz w:val="20"/>
                <w:szCs w:val="20"/>
                <w:lang w:eastAsia="pl-PL"/>
              </w:rPr>
              <w:t>Wyszczególnienie prac  dla silników:</w:t>
            </w:r>
            <w:r w:rsidRPr="00E9443C">
              <w:rPr>
                <w:rFonts w:ascii="Calibri" w:hAnsi="Calibri" w:cs="Calibri"/>
                <w:color w:val="00000A"/>
                <w:sz w:val="20"/>
                <w:szCs w:val="20"/>
                <w:lang w:eastAsia="pl-PL"/>
              </w:rPr>
              <w:t xml:space="preserve"> </w:t>
            </w:r>
            <w:r w:rsidRPr="00E9443C">
              <w:rPr>
                <w:rFonts w:ascii="Calibri" w:hAnsi="Calibri" w:cs="Calibri"/>
                <w:bCs/>
                <w:color w:val="000000"/>
                <w:sz w:val="20"/>
                <w:szCs w:val="20"/>
                <w:lang w:eastAsia="pl-PL"/>
              </w:rPr>
              <w:t>TMF 50-29-4 400 kW</w:t>
            </w:r>
          </w:p>
        </w:tc>
      </w:tr>
      <w:tr w:rsidR="00F316B2" w:rsidRPr="00E9443C" w:rsidTr="0022229C">
        <w:tc>
          <w:tcPr>
            <w:tcW w:w="827" w:type="dxa"/>
          </w:tcPr>
          <w:p w:rsidR="00F316B2" w:rsidRPr="00E9443C" w:rsidRDefault="00F316B2" w:rsidP="00E968EC">
            <w:pPr>
              <w:suppressAutoHyphens w:val="0"/>
              <w:contextualSpacing/>
              <w:jc w:val="center"/>
              <w:textAlignment w:val="baseline"/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48" w:type="dxa"/>
          </w:tcPr>
          <w:p w:rsidR="00F316B2" w:rsidRPr="00E9443C" w:rsidRDefault="00F316B2" w:rsidP="00E968EC">
            <w:pPr>
              <w:suppressAutoHyphens w:val="0"/>
              <w:contextualSpacing/>
              <w:textAlignment w:val="baseline"/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Przezwojenie stojana</w:t>
            </w:r>
          </w:p>
        </w:tc>
      </w:tr>
      <w:tr w:rsidR="00F316B2" w:rsidRPr="00E9443C" w:rsidTr="0022229C">
        <w:tc>
          <w:tcPr>
            <w:tcW w:w="827" w:type="dxa"/>
          </w:tcPr>
          <w:p w:rsidR="00F316B2" w:rsidRPr="00E9443C" w:rsidRDefault="00F316B2" w:rsidP="00E968EC">
            <w:pPr>
              <w:suppressAutoHyphens w:val="0"/>
              <w:contextualSpacing/>
              <w:jc w:val="center"/>
              <w:textAlignment w:val="baseline"/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48" w:type="dxa"/>
          </w:tcPr>
          <w:p w:rsidR="00F316B2" w:rsidRPr="00C665B3" w:rsidRDefault="00F316B2" w:rsidP="00E968EC">
            <w:pPr>
              <w:suppressAutoHyphens w:val="0"/>
              <w:contextualSpacing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C665B3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Wymiana blach rdzenia stojana (</w:t>
            </w:r>
            <w:proofErr w:type="spellStart"/>
            <w:r w:rsidRPr="00C665B3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przepakietowanie</w:t>
            </w:r>
            <w:proofErr w:type="spellEnd"/>
            <w:r w:rsidRPr="00C665B3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F316B2" w:rsidRPr="00E9443C" w:rsidTr="0022229C">
        <w:tc>
          <w:tcPr>
            <w:tcW w:w="827" w:type="dxa"/>
          </w:tcPr>
          <w:p w:rsidR="00F316B2" w:rsidRPr="00E9443C" w:rsidRDefault="00F316B2" w:rsidP="00E968EC">
            <w:pPr>
              <w:suppressAutoHyphens w:val="0"/>
              <w:contextualSpacing/>
              <w:jc w:val="center"/>
              <w:textAlignment w:val="baseline"/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48" w:type="dxa"/>
          </w:tcPr>
          <w:p w:rsidR="00F316B2" w:rsidRPr="00E9443C" w:rsidRDefault="00F316B2" w:rsidP="00E968EC">
            <w:pPr>
              <w:suppressAutoHyphens w:val="0"/>
              <w:contextualSpacing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C665B3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Regeneracja wirnika</w:t>
            </w:r>
          </w:p>
        </w:tc>
      </w:tr>
      <w:tr w:rsidR="00F316B2" w:rsidRPr="00E9443C" w:rsidTr="0022229C">
        <w:tc>
          <w:tcPr>
            <w:tcW w:w="827" w:type="dxa"/>
          </w:tcPr>
          <w:p w:rsidR="00F316B2" w:rsidRPr="00E9443C" w:rsidRDefault="00F316B2" w:rsidP="00E968EC">
            <w:pPr>
              <w:suppressAutoHyphens w:val="0"/>
              <w:contextualSpacing/>
              <w:jc w:val="center"/>
              <w:textAlignment w:val="baseline"/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848" w:type="dxa"/>
          </w:tcPr>
          <w:p w:rsidR="00F316B2" w:rsidRPr="00C665B3" w:rsidRDefault="00F316B2" w:rsidP="00E968EC">
            <w:pPr>
              <w:suppressAutoHyphens w:val="0"/>
              <w:contextualSpacing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Wymiana wirnika</w:t>
            </w:r>
          </w:p>
        </w:tc>
      </w:tr>
      <w:tr w:rsidR="00F316B2" w:rsidRPr="00E9443C" w:rsidTr="0022229C">
        <w:tc>
          <w:tcPr>
            <w:tcW w:w="827" w:type="dxa"/>
          </w:tcPr>
          <w:p w:rsidR="00F316B2" w:rsidRPr="00E9443C" w:rsidRDefault="00F316B2" w:rsidP="00E968EC">
            <w:pPr>
              <w:suppressAutoHyphens w:val="0"/>
              <w:contextualSpacing/>
              <w:jc w:val="center"/>
              <w:textAlignment w:val="baseline"/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848" w:type="dxa"/>
          </w:tcPr>
          <w:p w:rsidR="00F316B2" w:rsidRPr="00E9443C" w:rsidRDefault="00F316B2" w:rsidP="00E968EC">
            <w:pPr>
              <w:suppressAutoHyphens w:val="0"/>
              <w:contextualSpacing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C665B3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Wymiana klatki wirnika</w:t>
            </w:r>
          </w:p>
        </w:tc>
      </w:tr>
      <w:tr w:rsidR="00F316B2" w:rsidRPr="00E9443C" w:rsidTr="0022229C">
        <w:tc>
          <w:tcPr>
            <w:tcW w:w="827" w:type="dxa"/>
          </w:tcPr>
          <w:p w:rsidR="00F316B2" w:rsidRPr="00E9443C" w:rsidRDefault="00F316B2" w:rsidP="00E968EC">
            <w:pPr>
              <w:suppressAutoHyphens w:val="0"/>
              <w:contextualSpacing/>
              <w:jc w:val="center"/>
              <w:textAlignment w:val="baseline"/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848" w:type="dxa"/>
          </w:tcPr>
          <w:p w:rsidR="00F316B2" w:rsidRPr="00C665B3" w:rsidRDefault="00F316B2" w:rsidP="00E968EC">
            <w:pPr>
              <w:suppressAutoHyphens w:val="0"/>
              <w:contextualSpacing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C665B3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Wymiana blach rdzenia wirnika (</w:t>
            </w:r>
            <w:proofErr w:type="spellStart"/>
            <w:r w:rsidRPr="00C665B3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przepakietowanie</w:t>
            </w:r>
            <w:proofErr w:type="spellEnd"/>
            <w:r w:rsidRPr="00C665B3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F316B2" w:rsidRPr="00E9443C" w:rsidTr="0022229C">
        <w:tc>
          <w:tcPr>
            <w:tcW w:w="827" w:type="dxa"/>
          </w:tcPr>
          <w:p w:rsidR="00F316B2" w:rsidRPr="00E9443C" w:rsidRDefault="00F316B2" w:rsidP="00E968EC">
            <w:pPr>
              <w:suppressAutoHyphens w:val="0"/>
              <w:contextualSpacing/>
              <w:jc w:val="center"/>
              <w:textAlignment w:val="baseline"/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848" w:type="dxa"/>
          </w:tcPr>
          <w:p w:rsidR="00F316B2" w:rsidRPr="00C665B3" w:rsidRDefault="00F316B2" w:rsidP="00E968EC">
            <w:pPr>
              <w:suppressAutoHyphens w:val="0"/>
              <w:contextualSpacing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C665B3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Wymiana wału wirnika</w:t>
            </w:r>
          </w:p>
        </w:tc>
      </w:tr>
      <w:tr w:rsidR="00F316B2" w:rsidRPr="00E9443C" w:rsidTr="0022229C">
        <w:tc>
          <w:tcPr>
            <w:tcW w:w="827" w:type="dxa"/>
          </w:tcPr>
          <w:p w:rsidR="00F316B2" w:rsidRPr="00E9443C" w:rsidRDefault="00F316B2" w:rsidP="00E968EC">
            <w:pPr>
              <w:suppressAutoHyphens w:val="0"/>
              <w:contextualSpacing/>
              <w:jc w:val="center"/>
              <w:textAlignment w:val="baseline"/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848" w:type="dxa"/>
          </w:tcPr>
          <w:p w:rsidR="00F316B2" w:rsidRPr="00C665B3" w:rsidRDefault="00F316B2" w:rsidP="00E968EC">
            <w:pPr>
              <w:suppressAutoHyphens w:val="0"/>
              <w:contextualSpacing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Wymiana czujnika temperatury.</w:t>
            </w:r>
          </w:p>
        </w:tc>
      </w:tr>
      <w:tr w:rsidR="00F316B2" w:rsidRPr="00E9443C" w:rsidTr="0022229C">
        <w:tc>
          <w:tcPr>
            <w:tcW w:w="827" w:type="dxa"/>
          </w:tcPr>
          <w:p w:rsidR="00F316B2" w:rsidRPr="00E9443C" w:rsidRDefault="00F316B2" w:rsidP="00E968EC">
            <w:pPr>
              <w:suppressAutoHyphens w:val="0"/>
              <w:contextualSpacing/>
              <w:jc w:val="center"/>
              <w:textAlignment w:val="baseline"/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848" w:type="dxa"/>
          </w:tcPr>
          <w:p w:rsidR="00F316B2" w:rsidRPr="00C665B3" w:rsidRDefault="00F316B2" w:rsidP="00E968EC">
            <w:pPr>
              <w:suppressAutoHyphens w:val="0"/>
              <w:contextualSpacing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Wymiana czujnika obrotów.</w:t>
            </w:r>
          </w:p>
        </w:tc>
      </w:tr>
      <w:tr w:rsidR="00F316B2" w:rsidRPr="00E9443C" w:rsidTr="0022229C">
        <w:tc>
          <w:tcPr>
            <w:tcW w:w="827" w:type="dxa"/>
          </w:tcPr>
          <w:p w:rsidR="00F316B2" w:rsidRPr="00E9443C" w:rsidRDefault="00F316B2" w:rsidP="00E968EC">
            <w:pPr>
              <w:suppressAutoHyphens w:val="0"/>
              <w:contextualSpacing/>
              <w:jc w:val="center"/>
              <w:textAlignment w:val="baseline"/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848" w:type="dxa"/>
          </w:tcPr>
          <w:p w:rsidR="00F316B2" w:rsidRPr="00C665B3" w:rsidRDefault="00F316B2" w:rsidP="00E968EC">
            <w:pPr>
              <w:suppressAutoHyphens w:val="0"/>
              <w:contextualSpacing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Wymiana gniazd/złącz czujników</w:t>
            </w:r>
          </w:p>
        </w:tc>
      </w:tr>
      <w:tr w:rsidR="00F316B2" w:rsidRPr="00E9443C" w:rsidTr="0022229C">
        <w:tc>
          <w:tcPr>
            <w:tcW w:w="827" w:type="dxa"/>
          </w:tcPr>
          <w:p w:rsidR="00F316B2" w:rsidRPr="00E9443C" w:rsidRDefault="00F316B2" w:rsidP="00E968EC">
            <w:pPr>
              <w:suppressAutoHyphens w:val="0"/>
              <w:contextualSpacing/>
              <w:jc w:val="center"/>
              <w:textAlignment w:val="baseline"/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848" w:type="dxa"/>
          </w:tcPr>
          <w:p w:rsidR="00F316B2" w:rsidRPr="00C665B3" w:rsidRDefault="00F316B2" w:rsidP="00E968EC">
            <w:pPr>
              <w:suppressAutoHyphens w:val="0"/>
              <w:contextualSpacing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Wymiana tarczy/ zębatki do pomiaru obrotów maszyny</w:t>
            </w:r>
          </w:p>
        </w:tc>
      </w:tr>
      <w:tr w:rsidR="00F316B2" w:rsidRPr="00E9443C" w:rsidTr="0022229C">
        <w:tc>
          <w:tcPr>
            <w:tcW w:w="827" w:type="dxa"/>
          </w:tcPr>
          <w:p w:rsidR="00F316B2" w:rsidRPr="00E9443C" w:rsidRDefault="00F316B2" w:rsidP="00E968EC">
            <w:pPr>
              <w:suppressAutoHyphens w:val="0"/>
              <w:contextualSpacing/>
              <w:jc w:val="center"/>
              <w:textAlignment w:val="baseline"/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7848" w:type="dxa"/>
          </w:tcPr>
          <w:p w:rsidR="00F316B2" w:rsidRPr="00E9443C" w:rsidRDefault="00F316B2" w:rsidP="00E968EC">
            <w:pPr>
              <w:suppressAutoHyphens w:val="0"/>
              <w:contextualSpacing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C665B3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Regeneracja tarczy łożyskowej str. NDE</w:t>
            </w:r>
          </w:p>
        </w:tc>
      </w:tr>
      <w:tr w:rsidR="00F316B2" w:rsidRPr="00E9443C" w:rsidTr="0022229C">
        <w:tc>
          <w:tcPr>
            <w:tcW w:w="827" w:type="dxa"/>
          </w:tcPr>
          <w:p w:rsidR="00F316B2" w:rsidRPr="00E9443C" w:rsidRDefault="00F316B2" w:rsidP="00E968EC">
            <w:pPr>
              <w:suppressAutoHyphens w:val="0"/>
              <w:contextualSpacing/>
              <w:jc w:val="center"/>
              <w:textAlignment w:val="baseline"/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848" w:type="dxa"/>
          </w:tcPr>
          <w:p w:rsidR="00F316B2" w:rsidRPr="00E9443C" w:rsidRDefault="00F316B2" w:rsidP="00E968EC">
            <w:pPr>
              <w:suppressAutoHyphens w:val="0"/>
              <w:contextualSpacing/>
              <w:textAlignment w:val="baseline"/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Wymiana tarczy łożyskowej NDE.</w:t>
            </w:r>
          </w:p>
        </w:tc>
      </w:tr>
      <w:tr w:rsidR="00F316B2" w:rsidRPr="00E9443C" w:rsidTr="0022229C">
        <w:tc>
          <w:tcPr>
            <w:tcW w:w="827" w:type="dxa"/>
          </w:tcPr>
          <w:p w:rsidR="00F316B2" w:rsidRPr="00E9443C" w:rsidRDefault="00F316B2" w:rsidP="00E968EC">
            <w:pPr>
              <w:suppressAutoHyphens w:val="0"/>
              <w:contextualSpacing/>
              <w:jc w:val="center"/>
              <w:textAlignment w:val="baseline"/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7848" w:type="dxa"/>
          </w:tcPr>
          <w:p w:rsidR="00F316B2" w:rsidRPr="00E9443C" w:rsidRDefault="00F316B2" w:rsidP="00E968EC">
            <w:pPr>
              <w:suppressAutoHyphens w:val="0"/>
              <w:contextualSpacing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Wymiana półsprzęgła.</w:t>
            </w:r>
          </w:p>
        </w:tc>
      </w:tr>
      <w:tr w:rsidR="00F316B2" w:rsidRPr="00E9443C" w:rsidTr="0022229C">
        <w:tc>
          <w:tcPr>
            <w:tcW w:w="827" w:type="dxa"/>
          </w:tcPr>
          <w:p w:rsidR="00F316B2" w:rsidRPr="00E9443C" w:rsidRDefault="00F316B2" w:rsidP="00E968EC">
            <w:pPr>
              <w:suppressAutoHyphens w:val="0"/>
              <w:contextualSpacing/>
              <w:jc w:val="center"/>
              <w:textAlignment w:val="baseline"/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7848" w:type="dxa"/>
          </w:tcPr>
          <w:p w:rsidR="00F316B2" w:rsidRPr="00E9443C" w:rsidRDefault="00F316B2" w:rsidP="00E968EC">
            <w:pPr>
              <w:suppressAutoHyphens w:val="0"/>
              <w:contextualSpacing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Wymiana haka zabezpieczającego.</w:t>
            </w:r>
          </w:p>
        </w:tc>
      </w:tr>
      <w:tr w:rsidR="00F316B2" w:rsidRPr="00E9443C" w:rsidTr="0022229C">
        <w:tc>
          <w:tcPr>
            <w:tcW w:w="827" w:type="dxa"/>
          </w:tcPr>
          <w:p w:rsidR="00F316B2" w:rsidRPr="00E9443C" w:rsidRDefault="00F316B2" w:rsidP="00E968EC">
            <w:pPr>
              <w:suppressAutoHyphens w:val="0"/>
              <w:contextualSpacing/>
              <w:jc w:val="center"/>
              <w:textAlignment w:val="baseline"/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7848" w:type="dxa"/>
          </w:tcPr>
          <w:p w:rsidR="00F316B2" w:rsidRPr="00E9443C" w:rsidRDefault="00F316B2" w:rsidP="00E968EC">
            <w:pPr>
              <w:suppressAutoHyphens w:val="0"/>
              <w:contextualSpacing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Wymiana kołnierza przekładni.</w:t>
            </w:r>
          </w:p>
        </w:tc>
      </w:tr>
      <w:tr w:rsidR="00F316B2" w:rsidRPr="00E9443C" w:rsidTr="0022229C">
        <w:tc>
          <w:tcPr>
            <w:tcW w:w="827" w:type="dxa"/>
          </w:tcPr>
          <w:p w:rsidR="00F316B2" w:rsidRPr="00E9443C" w:rsidRDefault="00F316B2" w:rsidP="00E968EC">
            <w:pPr>
              <w:suppressAutoHyphens w:val="0"/>
              <w:contextualSpacing/>
              <w:jc w:val="center"/>
              <w:textAlignment w:val="baseline"/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7848" w:type="dxa"/>
          </w:tcPr>
          <w:p w:rsidR="00F316B2" w:rsidRPr="00E9443C" w:rsidRDefault="00F316B2" w:rsidP="00E968EC">
            <w:pPr>
              <w:suppressAutoHyphens w:val="0"/>
              <w:contextualSpacing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Wymiana pierścienia wsporczego.</w:t>
            </w:r>
          </w:p>
        </w:tc>
      </w:tr>
      <w:tr w:rsidR="00F316B2" w:rsidRPr="00E9443C" w:rsidTr="0022229C">
        <w:tc>
          <w:tcPr>
            <w:tcW w:w="827" w:type="dxa"/>
          </w:tcPr>
          <w:p w:rsidR="00F316B2" w:rsidRPr="00E9443C" w:rsidRDefault="00F316B2" w:rsidP="00E968EC">
            <w:pPr>
              <w:suppressAutoHyphens w:val="0"/>
              <w:contextualSpacing/>
              <w:jc w:val="center"/>
              <w:textAlignment w:val="baseline"/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7848" w:type="dxa"/>
          </w:tcPr>
          <w:p w:rsidR="00F316B2" w:rsidRPr="00E9443C" w:rsidRDefault="00F316B2" w:rsidP="00E968EC">
            <w:pPr>
              <w:suppressAutoHyphens w:val="0"/>
              <w:contextualSpacing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Wymiana osłon (</w:t>
            </w:r>
            <w:proofErr w:type="spellStart"/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peszli</w:t>
            </w:r>
            <w:proofErr w:type="spellEnd"/>
            <w:r w:rsidRPr="00E9443C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) przewodów zasilających.</w:t>
            </w:r>
          </w:p>
        </w:tc>
      </w:tr>
      <w:tr w:rsidR="00F316B2" w:rsidRPr="00E9443C" w:rsidTr="0022229C">
        <w:tc>
          <w:tcPr>
            <w:tcW w:w="827" w:type="dxa"/>
          </w:tcPr>
          <w:p w:rsidR="00F316B2" w:rsidRPr="00E9443C" w:rsidRDefault="00F316B2" w:rsidP="00E968EC">
            <w:pPr>
              <w:suppressAutoHyphens w:val="0"/>
              <w:contextualSpacing/>
              <w:jc w:val="center"/>
              <w:textAlignment w:val="baseline"/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Cs/>
                <w:color w:val="00000A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848" w:type="dxa"/>
          </w:tcPr>
          <w:p w:rsidR="00F316B2" w:rsidRPr="00E9443C" w:rsidRDefault="00F316B2" w:rsidP="00E968EC">
            <w:pPr>
              <w:suppressAutoHyphens w:val="0"/>
              <w:contextualSpacing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Wymiana płytki zacisków</w:t>
            </w:r>
          </w:p>
        </w:tc>
      </w:tr>
    </w:tbl>
    <w:p w:rsidR="00F316B2" w:rsidRPr="00E9443C" w:rsidRDefault="00F316B2" w:rsidP="00F316B2">
      <w:pPr>
        <w:suppressAutoHyphens w:val="0"/>
        <w:spacing w:after="160"/>
        <w:contextualSpacing/>
        <w:textAlignment w:val="baseline"/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  <w:br w:type="textWrapping" w:clear="all"/>
      </w:r>
    </w:p>
    <w:p w:rsidR="00F316B2" w:rsidRPr="00E9443C" w:rsidRDefault="00F316B2" w:rsidP="00F316B2">
      <w:pPr>
        <w:numPr>
          <w:ilvl w:val="0"/>
          <w:numId w:val="10"/>
        </w:numPr>
        <w:suppressAutoHyphens w:val="0"/>
        <w:spacing w:after="160" w:line="276" w:lineRule="auto"/>
        <w:contextualSpacing/>
        <w:textAlignment w:val="baseline"/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  <w:t>Wymagania  dotyczące przedmiotu zamówienia.</w:t>
      </w:r>
    </w:p>
    <w:p w:rsidR="00F316B2" w:rsidRPr="00E9443C" w:rsidRDefault="00F316B2" w:rsidP="00F316B2">
      <w:pPr>
        <w:numPr>
          <w:ilvl w:val="1"/>
          <w:numId w:val="10"/>
        </w:numPr>
        <w:suppressAutoHyphens w:val="0"/>
        <w:spacing w:before="120" w:after="200" w:line="276" w:lineRule="auto"/>
        <w:ind w:left="567" w:hanging="567"/>
        <w:contextualSpacing/>
        <w:jc w:val="both"/>
        <w:textAlignment w:val="baseline"/>
        <w:rPr>
          <w:rFonts w:ascii="Calibri" w:hAnsi="Calibri" w:cs="Cambria"/>
          <w:sz w:val="20"/>
          <w:szCs w:val="20"/>
          <w:lang w:eastAsia="pl-PL"/>
        </w:rPr>
      </w:pPr>
      <w:r w:rsidRPr="00E9443C">
        <w:rPr>
          <w:rFonts w:ascii="Calibri" w:eastAsia="Calibri" w:hAnsi="Calibri" w:cs="Cambria"/>
          <w:sz w:val="20"/>
          <w:szCs w:val="20"/>
          <w:lang w:eastAsia="pl-PL"/>
        </w:rPr>
        <w:t xml:space="preserve">Wykonawca gwarantuje wysoką jakość dostarczanego przedmiotu zamówienia po wykonanym przeglądzie lub naprawie, zgodnie z odpowiednimi normami polskimi oraz obowiązującymi </w:t>
      </w:r>
      <w:r w:rsidRPr="00E9443C">
        <w:rPr>
          <w:rFonts w:ascii="Calibri" w:eastAsia="Calibri" w:hAnsi="Calibri" w:cs="Cambria"/>
          <w:sz w:val="20"/>
          <w:szCs w:val="20"/>
          <w:lang w:eastAsia="pl-PL"/>
        </w:rPr>
        <w:br/>
        <w:t>u Zamawiającego przepisami.</w:t>
      </w:r>
    </w:p>
    <w:p w:rsidR="00F316B2" w:rsidRPr="00E9443C" w:rsidRDefault="00F316B2" w:rsidP="00F316B2">
      <w:pPr>
        <w:numPr>
          <w:ilvl w:val="1"/>
          <w:numId w:val="10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Ocena stanu technicznego przedmiotu zamówienia (weryfikacja) oraz ustalenie zakresu naprawy odbywać się będzie komisyjnie. Termin komisji ustala Wykonawca i powiadamia Zamawiającego na 3 dni przed ustalonym terminem. W skład komisji wchodzi Komisarz Odbiorczy, przedstawiciel Wykonawcy oraz Zamawiającego. Z komisyjnego ustalenia zakresu naprawy sporządzony zostanie protokół weryfikacj</w:t>
      </w:r>
      <w:r w:rsidR="000C6B07">
        <w:rPr>
          <w:rFonts w:ascii="Calibri" w:hAnsi="Calibri" w:cs="Calibri"/>
          <w:color w:val="000000"/>
          <w:sz w:val="20"/>
          <w:szCs w:val="20"/>
          <w:lang w:eastAsia="pl-PL"/>
        </w:rPr>
        <w:t>i stanu technicznego</w:t>
      </w: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. Protokół ten powinien zawierać: </w:t>
      </w:r>
    </w:p>
    <w:p w:rsidR="00F316B2" w:rsidRPr="00E9443C" w:rsidRDefault="00F316B2" w:rsidP="00F316B2">
      <w:pPr>
        <w:suppressAutoHyphens w:val="0"/>
        <w:ind w:left="426"/>
        <w:jc w:val="both"/>
        <w:rPr>
          <w:sz w:val="24"/>
          <w:szCs w:val="24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a) numer umowy,</w:t>
      </w:r>
    </w:p>
    <w:p w:rsidR="00F316B2" w:rsidRPr="00E9443C" w:rsidRDefault="00F316B2" w:rsidP="00F316B2">
      <w:pPr>
        <w:suppressAutoHyphens w:val="0"/>
        <w:ind w:left="426"/>
        <w:jc w:val="both"/>
        <w:rPr>
          <w:sz w:val="24"/>
          <w:szCs w:val="24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b) typ i numer urządzenia,</w:t>
      </w:r>
    </w:p>
    <w:p w:rsidR="00F316B2" w:rsidRPr="00E9443C" w:rsidRDefault="00F316B2" w:rsidP="00F316B2">
      <w:pPr>
        <w:suppressAutoHyphens w:val="0"/>
        <w:ind w:left="426"/>
        <w:jc w:val="both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c) wykaz czynności do wykonania.</w:t>
      </w:r>
    </w:p>
    <w:p w:rsidR="00F316B2" w:rsidRPr="00E9443C" w:rsidRDefault="00F316B2" w:rsidP="00F316B2">
      <w:pPr>
        <w:suppressAutoHyphens w:val="0"/>
        <w:ind w:left="426"/>
        <w:jc w:val="both"/>
        <w:rPr>
          <w:sz w:val="24"/>
          <w:szCs w:val="24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d) </w:t>
      </w:r>
      <w:r w:rsidRPr="00E9443C">
        <w:rPr>
          <w:rFonts w:ascii="Calibri" w:hAnsi="Calibri" w:cs="Calibri"/>
          <w:b/>
          <w:color w:val="000000"/>
          <w:sz w:val="20"/>
          <w:szCs w:val="20"/>
          <w:lang w:eastAsia="pl-PL"/>
        </w:rPr>
        <w:t>dokumentacja zdjęciowa uszkodzeń.</w:t>
      </w:r>
    </w:p>
    <w:p w:rsidR="00F316B2" w:rsidRPr="00E9443C" w:rsidRDefault="00F316B2" w:rsidP="00F316B2">
      <w:pPr>
        <w:suppressAutoHyphens w:val="0"/>
        <w:ind w:left="426"/>
        <w:jc w:val="both"/>
        <w:rPr>
          <w:sz w:val="24"/>
          <w:szCs w:val="24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Wzór protokołu według załączników zamieszczonych w Umowie.</w:t>
      </w:r>
    </w:p>
    <w:p w:rsidR="00F316B2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Sporządzenie raportu z  wykonanych testów i pomiarów silnika z załączeniem wyników wygenerowanych przez miernik/ tester lub analizator. W raporcie muszą być również podane typy </w:t>
      </w: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br/>
      </w: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lastRenderedPageBreak/>
        <w:t>i numery użytych przyrządów pomiarowych. Wykonanie odpowiednich prób przewidzianych dla tego typu silnika. </w:t>
      </w:r>
    </w:p>
    <w:p w:rsidR="00F316B2" w:rsidRPr="00C03416" w:rsidRDefault="00F316B2" w:rsidP="00F316B2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rPr>
          <w:rFonts w:ascii="Calibri" w:eastAsia="Calibri" w:hAnsi="Calibri" w:cs="Calibri"/>
          <w:sz w:val="20"/>
          <w:szCs w:val="18"/>
        </w:rPr>
      </w:pPr>
      <w:r w:rsidRPr="005007F8">
        <w:rPr>
          <w:rFonts w:asciiTheme="minorHAnsi" w:hAnsiTheme="minorHAnsi" w:cstheme="minorHAnsi"/>
          <w:sz w:val="20"/>
          <w:szCs w:val="18"/>
        </w:rPr>
        <w:t>W zależności od wykonania należy użyć łożyska TMBU z ceramicznymi elementami tocznymi BC1-7229 CC lub NU210 ECM/HC5C3HVA301 019N.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Wyniki pomiaru rezystancji w stanie „zimnym” należy podać w odniesieniu do temperatury 20°C.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b/>
          <w:bCs/>
          <w:color w:val="00000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Uzwojenia stojana silników oraz wirnika po wykonanym przezwojeniu powinny być wykonane minimum w klasie termicznej nie niższej niż </w:t>
      </w:r>
      <w:r w:rsidRPr="00E9443C"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  <w:t xml:space="preserve">klasa 220. </w:t>
      </w:r>
      <w:r w:rsidRPr="00E9443C">
        <w:rPr>
          <w:rFonts w:ascii="Calibri" w:hAnsi="Calibri" w:cs="Calibri"/>
          <w:bCs/>
          <w:color w:val="000000"/>
          <w:sz w:val="20"/>
          <w:szCs w:val="20"/>
          <w:lang w:eastAsia="pl-PL"/>
        </w:rPr>
        <w:t>Uzwojenia wychodzące ze żłobków powinny być zabezpieczone masą silikonową.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b/>
          <w:bCs/>
          <w:color w:val="000000"/>
          <w:lang w:eastAsia="pl-PL"/>
        </w:rPr>
      </w:pPr>
      <w:r w:rsidRPr="00E9443C">
        <w:rPr>
          <w:rFonts w:ascii="Calibri" w:hAnsi="Calibri" w:cs="Calibri"/>
          <w:bCs/>
          <w:color w:val="000000"/>
          <w:sz w:val="20"/>
          <w:szCs w:val="20"/>
          <w:lang w:eastAsia="pl-PL"/>
        </w:rPr>
        <w:t xml:space="preserve">W przypadku przezwojenia silnika profil miedziany musi być użyty o takich samych wymiarach przekroju oraz izolacji klasy 220 jaki zastosował Producent silnika. Zamawiający wymaga przedstawienia karty charakterystyki na użyty profil miedziany. 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bCs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Zamawiający wymaga od  Wykonawcy przedstawienia karty charakterystyki na użyty lakier  impregnacyjny. </w:t>
      </w:r>
    </w:p>
    <w:p w:rsidR="00F316B2" w:rsidRPr="00E9443C" w:rsidRDefault="000C6B07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bCs/>
          <w:color w:val="000000"/>
          <w:sz w:val="20"/>
          <w:szCs w:val="20"/>
          <w:lang w:eastAsia="pl-PL"/>
        </w:rPr>
      </w:pPr>
      <w:r>
        <w:rPr>
          <w:rFonts w:ascii="Calibri" w:hAnsi="Calibri" w:cs="Calibri"/>
          <w:color w:val="000000"/>
          <w:sz w:val="20"/>
          <w:szCs w:val="20"/>
          <w:lang w:eastAsia="pl-PL"/>
        </w:rPr>
        <w:t> W silniku asynchronicznym</w:t>
      </w:r>
      <w:r w:rsidR="00F316B2"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 Zamawiający wymaga  wymiany łożyska na nowe według zapisów znajdujących się w instrukcji danego typu silnika.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Do smarowania łożysk zastosować rodzaj i ilość smaru określoną w instrukcji obsługi silnika </w:t>
      </w: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br/>
        <w:t xml:space="preserve">TMF 50-29-4. 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b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b/>
          <w:color w:val="000000"/>
          <w:sz w:val="20"/>
          <w:szCs w:val="20"/>
          <w:lang w:eastAsia="pl-PL"/>
        </w:rPr>
        <w:t xml:space="preserve">W przypadku przezwojenia Zamawiający wymaga od Wykonawcy przedstawienia kart charakterystyki na użyte materiały: </w:t>
      </w:r>
    </w:p>
    <w:p w:rsidR="00F316B2" w:rsidRPr="00E9443C" w:rsidRDefault="00F316B2" w:rsidP="00F316B2">
      <w:pPr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spacing w:before="120" w:after="100" w:afterAutospacing="1" w:line="259" w:lineRule="auto"/>
        <w:contextualSpacing/>
        <w:jc w:val="both"/>
        <w:rPr>
          <w:rFonts w:ascii="Calibri" w:hAnsi="Calibri" w:cs="Calibri"/>
          <w:b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b/>
          <w:color w:val="000000"/>
          <w:sz w:val="20"/>
          <w:szCs w:val="20"/>
          <w:lang w:eastAsia="pl-PL"/>
        </w:rPr>
        <w:t>Profil nawojowy,</w:t>
      </w:r>
    </w:p>
    <w:p w:rsidR="00F316B2" w:rsidRPr="00E9443C" w:rsidRDefault="00F316B2" w:rsidP="00F316B2">
      <w:pPr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spacing w:before="120" w:after="100" w:afterAutospacing="1" w:line="259" w:lineRule="auto"/>
        <w:contextualSpacing/>
        <w:jc w:val="both"/>
        <w:rPr>
          <w:rFonts w:ascii="Calibri" w:hAnsi="Calibri" w:cs="Calibri"/>
          <w:b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b/>
          <w:color w:val="000000"/>
          <w:sz w:val="20"/>
          <w:szCs w:val="20"/>
          <w:lang w:eastAsia="pl-PL"/>
        </w:rPr>
        <w:t>Izolację: żłobkową, główną,</w:t>
      </w:r>
    </w:p>
    <w:p w:rsidR="00F316B2" w:rsidRPr="00E9443C" w:rsidRDefault="00F316B2" w:rsidP="00F316B2">
      <w:pPr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spacing w:before="120" w:after="100" w:afterAutospacing="1" w:line="259" w:lineRule="auto"/>
        <w:contextualSpacing/>
        <w:jc w:val="both"/>
        <w:rPr>
          <w:rFonts w:ascii="Calibri" w:hAnsi="Calibri" w:cs="Calibri"/>
          <w:b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b/>
          <w:color w:val="000000"/>
          <w:sz w:val="20"/>
          <w:szCs w:val="20"/>
          <w:lang w:eastAsia="pl-PL"/>
        </w:rPr>
        <w:t>Kliny izolacyjne,</w:t>
      </w:r>
    </w:p>
    <w:p w:rsidR="00F316B2" w:rsidRPr="00E9443C" w:rsidRDefault="00F316B2" w:rsidP="00F316B2">
      <w:pPr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spacing w:before="120" w:after="100" w:afterAutospacing="1" w:line="259" w:lineRule="auto"/>
        <w:contextualSpacing/>
        <w:jc w:val="both"/>
        <w:rPr>
          <w:rFonts w:ascii="Calibri" w:hAnsi="Calibri" w:cs="Calibri"/>
          <w:b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b/>
          <w:color w:val="000000"/>
          <w:sz w:val="20"/>
          <w:szCs w:val="20"/>
          <w:lang w:eastAsia="pl-PL"/>
        </w:rPr>
        <w:t>Żywicę (lakier) do impregnacji,</w:t>
      </w:r>
    </w:p>
    <w:p w:rsidR="00F316B2" w:rsidRPr="00E9443C" w:rsidRDefault="00F316B2" w:rsidP="00F316B2">
      <w:pPr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spacing w:before="120" w:after="100" w:afterAutospacing="1" w:line="259" w:lineRule="auto"/>
        <w:contextualSpacing/>
        <w:jc w:val="both"/>
        <w:rPr>
          <w:rFonts w:ascii="Calibri" w:hAnsi="Calibri" w:cs="Calibri"/>
          <w:b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b/>
          <w:color w:val="000000"/>
          <w:sz w:val="20"/>
          <w:szCs w:val="20"/>
          <w:lang w:eastAsia="pl-PL"/>
        </w:rPr>
        <w:t>Masy uszczelniające jeżeli były zastosowane,</w:t>
      </w:r>
    </w:p>
    <w:p w:rsidR="00F316B2" w:rsidRPr="00E9443C" w:rsidRDefault="00F316B2" w:rsidP="00F316B2">
      <w:pPr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spacing w:before="120" w:after="100" w:afterAutospacing="1" w:line="259" w:lineRule="auto"/>
        <w:contextualSpacing/>
        <w:jc w:val="both"/>
        <w:rPr>
          <w:rFonts w:ascii="Calibri" w:hAnsi="Calibri" w:cs="Calibri"/>
          <w:b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b/>
          <w:color w:val="000000"/>
          <w:sz w:val="20"/>
          <w:szCs w:val="20"/>
          <w:lang w:eastAsia="pl-PL"/>
        </w:rPr>
        <w:t xml:space="preserve">Smar do łożysk. 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Dopuszczalna skuteczna prędkość drgań dla silnika wynosi 2,8 mm/s.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Wirnik silnika przed wyważeniem należy zaimpregnować i pomalować w klasie nie niższej niż 220.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Wirnik należy wyważyć w klasie G1, dopuszczalne niewyważenie resztkowe 1,4g przy Ø263mm i 1,5g przy Ø248mm.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Niewyważenie należy korygować przez dokładanie ciężarków lub ujmowania materiału przez nawiercanie,  wg wytycznych zawartych w dokumentacji danego typu silnika. 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W </w:t>
      </w:r>
      <w:r w:rsidR="000C6B07">
        <w:rPr>
          <w:rFonts w:ascii="Calibri" w:hAnsi="Calibri" w:cs="Calibri"/>
          <w:color w:val="000000"/>
          <w:sz w:val="20"/>
          <w:szCs w:val="20"/>
          <w:lang w:eastAsia="pl-PL"/>
        </w:rPr>
        <w:t>silniku asynchronicznym</w:t>
      </w:r>
      <w:r w:rsidR="000C6B07"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 </w:t>
      </w: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po każdej wymianie uzwojenia stojana, wirnika lub łożysk, należy przeprowadzić wdrożenie silnika do pracy przy zasilaniu ze źródła o regulowanym napięciu i przy znamionowej częstotliwości wg normy PN-72E-04272.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Podzespoły, materiały i części wykorzystywane do naprawy powinny być zgodne wykazem zawartym </w:t>
      </w: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br/>
        <w:t>w  instrukcji obsługi silnika TMF 50-29-4. W przypadku materiałów, części lub podzespołów innych niż określone w instrukcji obsługi przed ich zastosowaniem należy uzyskać akceptację Zamawiającego</w:t>
      </w:r>
      <w:r>
        <w:rPr>
          <w:rFonts w:ascii="Calibri" w:hAnsi="Calibri" w:cs="Calibri"/>
          <w:color w:val="000000"/>
          <w:sz w:val="20"/>
          <w:szCs w:val="20"/>
          <w:lang w:eastAsia="pl-PL"/>
        </w:rPr>
        <w:t xml:space="preserve"> </w:t>
      </w:r>
      <w:r w:rsidRPr="005007F8">
        <w:rPr>
          <w:rFonts w:ascii="Calibri" w:eastAsia="Calibri" w:hAnsi="Calibri" w:cs="Calibri"/>
          <w:sz w:val="20"/>
          <w:szCs w:val="18"/>
        </w:rPr>
        <w:t>po przedstawieniu analizy znaczenia zmian zgodnie z  Rozporządzeniem Wykonawczym Komisji (UE) 2018/545 z dnia 4 kwietnia 2018 r. ustanawiające uzgodnienia praktyczne na potrzeby procesu udzielania zezwoleń dla pojazdów kolejowych i zezwoleń dla typu pojazdu kolejowego zgodnie z dyrektywą Parlamentu Europejskiego i Rady (UE) 2016/797. Ponadto, wprowadzenie nowego typu łożysk nie ujętego przez producenta silnika w dokumentacji technicznej implikuje konieczność przeprowadzenia eksploatacji próbnej zgodni</w:t>
      </w:r>
      <w:r>
        <w:rPr>
          <w:rFonts w:ascii="Calibri" w:eastAsia="Calibri" w:hAnsi="Calibri" w:cs="Calibri"/>
          <w:sz w:val="20"/>
          <w:szCs w:val="18"/>
        </w:rPr>
        <w:t>e z wymaganiami Instrukcji Pt-5</w:t>
      </w: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.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Na potwierdzenie zastosowania wymienionych podzespołów i zastosowanego rodzaju smaru Wykonawca przedstawi świadectwo zgodności (deklarację) Producenta podzespołów i smaru oraz kartę techniczną dla zastosowanego rodzaju smaru.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W przypadku stwierdzenia uszkodzenia wirnika Zamawiający wymaga jego wymiany na taki sam typ jaki jest zastosowany w silniku. 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lastRenderedPageBreak/>
        <w:t>Zamawiający wymaga sprawdzenia stanu tabliczki znamionowej. Nieczytelną należy wymienić na zastępczą zgodnie z normą</w:t>
      </w:r>
      <w:r>
        <w:rPr>
          <w:rFonts w:ascii="Calibri" w:hAnsi="Calibri" w:cs="Calibri"/>
          <w:color w:val="000000"/>
          <w:sz w:val="20"/>
          <w:szCs w:val="20"/>
          <w:lang w:eastAsia="pl-PL"/>
        </w:rPr>
        <w:t xml:space="preserve"> </w:t>
      </w:r>
      <w:r w:rsidRPr="005007F8">
        <w:rPr>
          <w:rFonts w:ascii="Calibri" w:eastAsia="Calibri" w:hAnsi="Calibri" w:cs="Calibri"/>
          <w:sz w:val="20"/>
          <w:szCs w:val="18"/>
        </w:rPr>
        <w:t>wg PN-EN 60034-1. Starej tabliczki nie należy demontować. Nowa tabliczka powinna być tak zamon</w:t>
      </w:r>
      <w:r>
        <w:rPr>
          <w:rFonts w:ascii="Calibri" w:eastAsia="Calibri" w:hAnsi="Calibri" w:cs="Calibri"/>
          <w:sz w:val="20"/>
          <w:szCs w:val="18"/>
        </w:rPr>
        <w:t>towana, by nie zakrywała starej</w:t>
      </w: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. 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Po czyszczeniu (myciu) niezbędna jest impregnacja </w:t>
      </w:r>
      <w:r>
        <w:rPr>
          <w:rFonts w:ascii="Calibri" w:hAnsi="Calibri" w:cs="Calibri"/>
          <w:color w:val="000000"/>
          <w:sz w:val="20"/>
          <w:szCs w:val="20"/>
          <w:lang w:eastAsia="pl-PL"/>
        </w:rPr>
        <w:t xml:space="preserve">VPI </w:t>
      </w: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uzwojenia i ponowne lakierowanie podzespołów stojana i wirnika. Przy czym środek impregnacyjny musi być dostosowany do systemu izolacji w klasie 220. 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Uzwojenia stojana silników po wykonanym przezwojeniu powinny być wykonane, minimum, w klasie termicznej 220. Impregnacja uzwojeń stojana powinna być wykonana metodą ciśnieniowo-próżniową VPI. Na potwierdzenie wykonania w niniejszej klasie Wykonawca przedstawi świadectwo zgodności (deklarację) producenta lakieru (żywicy) oraz kartę techniczną produktu. </w:t>
      </w:r>
      <w:r>
        <w:rPr>
          <w:rFonts w:ascii="Calibri" w:hAnsi="Calibri" w:cs="Calibri"/>
          <w:color w:val="000000"/>
          <w:sz w:val="20"/>
          <w:szCs w:val="20"/>
          <w:lang w:eastAsia="pl-PL"/>
        </w:rPr>
        <w:t>Dodatkowo - zabezpieczające</w:t>
      </w: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 pokrycie powierzchniowe uzwojeń natryskowo lakierem (żywicą) w klasie termicznej 220. 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Rezystancja izolacji w stanie zimnym (20°C) nie może być niższa niż 236 MΩ .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Rezystancja uzwojenia mierzona w temperaturze pokojowej 20°C powinna wynosić od 285,72 do 315,80 </w:t>
      </w:r>
      <w:r>
        <w:rPr>
          <w:rFonts w:ascii="Calibri" w:hAnsi="Calibri" w:cs="Calibri"/>
          <w:color w:val="000000"/>
          <w:sz w:val="20"/>
          <w:szCs w:val="20"/>
          <w:lang w:eastAsia="pl-PL"/>
        </w:rPr>
        <w:t>m</w:t>
      </w: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Ω. Pomiar należy wykonać pomiędzy fazami. 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Rezystancja czujnika temperatury (w temperaturze 20°C) powinna wynosić 107,8Ω.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Sprawdzić stan czujnika obrotów oraz stan zębów koła zębatego znajdującego się w pokrywie od strony NDE.</w:t>
      </w:r>
    </w:p>
    <w:p w:rsidR="00F316B2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370BAA">
        <w:rPr>
          <w:rFonts w:ascii="Calibri" w:hAnsi="Calibri" w:cs="Calibri"/>
          <w:color w:val="000000"/>
          <w:sz w:val="20"/>
          <w:szCs w:val="20"/>
          <w:lang w:eastAsia="pl-PL"/>
        </w:rPr>
        <w:t>Podczas ponownego montażu podzespołów należy przestrzegać określonych momentów dokręcania śrub oraz zastosować uszczelniacz i klej do śrub. Na nieprzelotowe otwory należy nałożyć klej do blokowania śrubo średniej wytrzymałości  (nawilżenie ok. 90%), natomiast w przypadku przelotowych otworów gwintowanych klej należy nałożyć na gwint śruby. </w:t>
      </w:r>
    </w:p>
    <w:p w:rsidR="00F316B2" w:rsidRPr="005007F8" w:rsidRDefault="00F316B2" w:rsidP="00F316B2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rPr>
          <w:rFonts w:ascii="Calibri" w:eastAsia="Calibri" w:hAnsi="Calibri" w:cs="Calibri"/>
          <w:sz w:val="20"/>
          <w:szCs w:val="18"/>
        </w:rPr>
      </w:pPr>
      <w:r w:rsidRPr="005007F8">
        <w:rPr>
          <w:rFonts w:ascii="Calibri" w:eastAsia="Calibri" w:hAnsi="Calibri" w:cs="Calibri"/>
          <w:sz w:val="20"/>
          <w:szCs w:val="18"/>
        </w:rPr>
        <w:t>Po wdrożeniu silnika należy wykonać: próbę zwarcia, próbę mechaniczną na zwiększone obroty, próbę obciążenia do uzyskania parametrów znamionowych silnika oraz w przypadku przezwojenia stojana, bezwarunkowo - przeciążenia prądem (120% na 2 minuty). Wyniki w/w prób należy odnotować w karcie pomiarowej.</w:t>
      </w:r>
    </w:p>
    <w:p w:rsidR="00F316B2" w:rsidRPr="00370BAA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370BAA">
        <w:rPr>
          <w:rFonts w:ascii="Calibri" w:hAnsi="Calibri" w:cs="Calibri"/>
          <w:color w:val="000000"/>
          <w:sz w:val="20"/>
          <w:szCs w:val="20"/>
          <w:lang w:eastAsia="pl-PL"/>
        </w:rPr>
        <w:t xml:space="preserve">Zamawiający wymaga stosowania przewodów zasilających o typie i przekroju zalecanym przez Producenta silnika. 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Materiały i części wykorzystywane do naprawy powinny być zgodne z dokumentacją konstrukcyjną dla danego podzespołu. W przypadku materiałów lub części innych niż określone w dokumentacji konstrukcyjnej przed ich zastosowaniem należy uzyskać akceptację Zamawiającego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Cechy na przewodach, opisy zacisków w skrzynkach połączeniowych oraz opisy i znaki ostrzegawcze powinny być wykonane w sposób: czytelny, widoczny i trwały, zgodnie dokumentacją konstrukcyjną Wytwórcy.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Ochrona antykorozyjna powinna być wykonana zgodnie ze specyfikacją malowania danego typu silnika. 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W przypadku nieczytelnej tabliczki znamionowej należy zastosować tabliczkę znamionową zastępczą z wszystkimi danymi silnika wg normy. Starej tabliczki nie należy demontować. 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Wymiana wszystkich normaliów (podkładki, śruby, zawleczki, zaślepki) obowiązuje w zakresie podstawowym naprawy.</w:t>
      </w:r>
      <w:r>
        <w:rPr>
          <w:rFonts w:ascii="Calibri" w:hAnsi="Calibri" w:cs="Calibri"/>
          <w:color w:val="000000"/>
          <w:sz w:val="20"/>
          <w:szCs w:val="20"/>
          <w:lang w:eastAsia="pl-PL"/>
        </w:rPr>
        <w:t xml:space="preserve"> </w:t>
      </w:r>
      <w:r w:rsidRPr="005007F8">
        <w:rPr>
          <w:rFonts w:ascii="Calibri" w:eastAsia="Calibri" w:hAnsi="Calibri" w:cs="Calibri"/>
          <w:sz w:val="20"/>
          <w:szCs w:val="18"/>
        </w:rPr>
        <w:t>Podkładki; sprężynowe, specjalne i zawleczki muszą być wymienione na nowe obligatoryjnie.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Części odzyskane w trakcie naprawy stanowią własność Zamawiającego i Wykonawca przekazuje je wraz z silnikiem po przeglądzie.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Silnik  zdemontowany z przekładni powinien być transportowany z blokadą transportową wału wirnika.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Silniki trakcyjne po naprawie podlegają odbiorowi komisarycznemu. Odbioru komisarycznego przedmiotu Umowy dokonywać będzie Komisarz Odbiorczy wraz z upoważnionym przedstawicielem Wykonawcy. Dla potwierdzenia odbioru Wykonawca wystawi dokument kontroli – świadectwo odbioru 3.2 w zakresie zgodnym z ust. 4 pkt 4.2 normy PN-EN 10204:2006, po wcześniejszym przedstawieniu przez Wykonawcę: protokołów pomiarów i badań oraz atestów lub certyfikatów jakościowych od producentów, na użyte materiały.</w:t>
      </w:r>
    </w:p>
    <w:p w:rsidR="00F316B2" w:rsidRPr="00E9443C" w:rsidRDefault="00F316B2" w:rsidP="00F316B2">
      <w:pPr>
        <w:numPr>
          <w:ilvl w:val="1"/>
          <w:numId w:val="16"/>
        </w:numPr>
        <w:suppressAutoHyphens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lastRenderedPageBreak/>
        <w:t xml:space="preserve">Miejscem odbiorów komisarycznych jest miejsce wskazane przez Wykonawcę, w którym  Wykonawca składuje przedmiot Umowy przed jego dostarczeniem do Zamawiającego. Komisarz dokonuje odbioru na podstawie zatwierdzonego </w:t>
      </w:r>
      <w:proofErr w:type="spellStart"/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WTWiO</w:t>
      </w:r>
      <w:proofErr w:type="spellEnd"/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 oraz po przedstawieniu wszystkich kart pomiarowych, atestów na materiały oraz Certyfikatów na użyte części. </w:t>
      </w:r>
    </w:p>
    <w:p w:rsidR="00F316B2" w:rsidRPr="00E9443C" w:rsidRDefault="00F316B2" w:rsidP="00F316B2">
      <w:pPr>
        <w:suppressAutoHyphens w:val="0"/>
        <w:rPr>
          <w:sz w:val="24"/>
          <w:szCs w:val="24"/>
          <w:lang w:eastAsia="pl-PL"/>
        </w:rPr>
      </w:pPr>
    </w:p>
    <w:p w:rsidR="00F316B2" w:rsidRPr="00E9443C" w:rsidRDefault="00F316B2" w:rsidP="00F316B2">
      <w:pPr>
        <w:numPr>
          <w:ilvl w:val="0"/>
          <w:numId w:val="11"/>
        </w:numPr>
        <w:suppressAutoHyphens w:val="0"/>
        <w:spacing w:after="200" w:line="276" w:lineRule="auto"/>
        <w:jc w:val="both"/>
        <w:textAlignment w:val="baseline"/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  <w:t>Dokumenty związane z przedmiotem zamówienia.</w:t>
      </w:r>
    </w:p>
    <w:p w:rsidR="00F316B2" w:rsidRPr="00E9443C" w:rsidRDefault="00F316B2" w:rsidP="00F316B2">
      <w:pPr>
        <w:numPr>
          <w:ilvl w:val="1"/>
          <w:numId w:val="6"/>
        </w:numPr>
        <w:suppressAutoHyphens w:val="0"/>
        <w:spacing w:before="280" w:after="200" w:line="276" w:lineRule="auto"/>
        <w:ind w:hanging="578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PN-N-01359 Drgania mechaniczne, Wyważanie wirników sztywnych, Wyznaczanie dopuszczalnego niewyważenia resztkowego.</w:t>
      </w:r>
    </w:p>
    <w:p w:rsidR="00F316B2" w:rsidRPr="00E9443C" w:rsidRDefault="000C6B07" w:rsidP="00F316B2">
      <w:pPr>
        <w:numPr>
          <w:ilvl w:val="1"/>
          <w:numId w:val="6"/>
        </w:numPr>
        <w:suppressAutoHyphens w:val="0"/>
        <w:spacing w:before="280" w:after="200" w:line="276" w:lineRule="auto"/>
        <w:ind w:hanging="578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hyperlink r:id="rId6" w:history="1">
        <w:r w:rsidR="00F316B2" w:rsidRPr="00E9443C">
          <w:rPr>
            <w:rFonts w:ascii="Calibri" w:hAnsi="Calibri" w:cs="Calibri"/>
            <w:color w:val="000000"/>
            <w:sz w:val="20"/>
            <w:szCs w:val="20"/>
            <w:lang w:eastAsia="pl-PL"/>
          </w:rPr>
          <w:t>PN-EN 60034-1:2011</w:t>
        </w:r>
      </w:hyperlink>
      <w:r w:rsidR="00F316B2"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 </w:t>
      </w:r>
      <w:hyperlink r:id="rId7" w:history="1">
        <w:r w:rsidR="00F316B2" w:rsidRPr="00E9443C">
          <w:rPr>
            <w:rFonts w:ascii="Calibri" w:hAnsi="Calibri" w:cs="Calibri"/>
            <w:color w:val="000000"/>
            <w:sz w:val="20"/>
            <w:szCs w:val="20"/>
            <w:lang w:eastAsia="pl-PL"/>
          </w:rPr>
          <w:t>Maszyny elektryczne wirujące - Część 1: Dane znamionowe i parametry</w:t>
        </w:r>
      </w:hyperlink>
      <w:r w:rsidR="00F316B2" w:rsidRPr="00E9443C">
        <w:rPr>
          <w:rFonts w:ascii="Calibri" w:hAnsi="Calibri" w:cs="Calibri"/>
          <w:color w:val="000000"/>
          <w:sz w:val="20"/>
          <w:szCs w:val="20"/>
          <w:lang w:eastAsia="pl-PL"/>
        </w:rPr>
        <w:t>. </w:t>
      </w:r>
    </w:p>
    <w:p w:rsidR="00F316B2" w:rsidRPr="00E9443C" w:rsidRDefault="000C6B07" w:rsidP="00F316B2">
      <w:pPr>
        <w:numPr>
          <w:ilvl w:val="1"/>
          <w:numId w:val="6"/>
        </w:numPr>
        <w:suppressAutoHyphens w:val="0"/>
        <w:spacing w:before="280" w:after="200" w:line="276" w:lineRule="auto"/>
        <w:ind w:hanging="578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hyperlink r:id="rId8" w:history="1">
        <w:r w:rsidR="00F316B2" w:rsidRPr="00E9443C">
          <w:rPr>
            <w:rFonts w:ascii="Calibri" w:hAnsi="Calibri" w:cs="Calibri"/>
            <w:color w:val="000000"/>
            <w:sz w:val="20"/>
            <w:szCs w:val="20"/>
            <w:lang w:eastAsia="pl-PL"/>
          </w:rPr>
          <w:t>PN-E-06001</w:t>
        </w:r>
      </w:hyperlink>
      <w:r w:rsidR="00F316B2"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 1994 </w:t>
      </w:r>
      <w:hyperlink r:id="rId9" w:history="1">
        <w:r w:rsidR="00F316B2" w:rsidRPr="00E9443C">
          <w:rPr>
            <w:rFonts w:ascii="Calibri" w:hAnsi="Calibri" w:cs="Calibri"/>
            <w:color w:val="000000"/>
            <w:sz w:val="20"/>
            <w:szCs w:val="20"/>
            <w:lang w:eastAsia="pl-PL"/>
          </w:rPr>
          <w:t xml:space="preserve">Trakcja elektryczna - Elektryczne maszyny wirujące do pojazdów szynowych </w:t>
        </w:r>
        <w:r w:rsidR="00F316B2" w:rsidRPr="00E9443C">
          <w:rPr>
            <w:rFonts w:ascii="Calibri" w:hAnsi="Calibri" w:cs="Calibri"/>
            <w:color w:val="000000"/>
            <w:sz w:val="20"/>
            <w:szCs w:val="20"/>
            <w:lang w:eastAsia="pl-PL"/>
          </w:rPr>
          <w:br/>
          <w:t>i drogowych</w:t>
        </w:r>
      </w:hyperlink>
      <w:r w:rsidR="00F316B2" w:rsidRPr="00E9443C">
        <w:rPr>
          <w:rFonts w:ascii="Calibri" w:hAnsi="Calibri" w:cs="Calibri"/>
          <w:color w:val="000000"/>
          <w:sz w:val="20"/>
          <w:szCs w:val="20"/>
          <w:lang w:eastAsia="pl-PL"/>
        </w:rPr>
        <w:t>.</w:t>
      </w:r>
    </w:p>
    <w:p w:rsidR="00F316B2" w:rsidRPr="00E9443C" w:rsidRDefault="00F316B2" w:rsidP="00F316B2">
      <w:pPr>
        <w:numPr>
          <w:ilvl w:val="1"/>
          <w:numId w:val="6"/>
        </w:numPr>
        <w:suppressAutoHyphens w:val="0"/>
        <w:spacing w:after="200" w:line="276" w:lineRule="auto"/>
        <w:ind w:hanging="578"/>
        <w:contextualSpacing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PN-EN 45545-2+A1. Kolejnictwo -- Ochrona przeciwpożarowa w pojazdach szynowych -- Część 2: Wymagania dla materiałów i elementów w zakresie właściwości ogniowych.</w:t>
      </w:r>
    </w:p>
    <w:p w:rsidR="00F316B2" w:rsidRPr="00E9443C" w:rsidRDefault="00F316B2" w:rsidP="00F316B2">
      <w:pPr>
        <w:numPr>
          <w:ilvl w:val="1"/>
          <w:numId w:val="6"/>
        </w:numPr>
        <w:suppressAutoHyphens w:val="0"/>
        <w:spacing w:before="280" w:after="200" w:line="276" w:lineRule="auto"/>
        <w:ind w:hanging="578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PN-E-06717 Maszyny elektryczne wirujące. Wytyczne stosowania silników indukcyjnych klatkowych zasilanych z przekształtników.</w:t>
      </w:r>
    </w:p>
    <w:p w:rsidR="00F316B2" w:rsidRPr="00E9443C" w:rsidRDefault="000C6B07" w:rsidP="00F316B2">
      <w:pPr>
        <w:numPr>
          <w:ilvl w:val="1"/>
          <w:numId w:val="6"/>
        </w:numPr>
        <w:suppressAutoHyphens w:val="0"/>
        <w:spacing w:before="280" w:after="200" w:line="276" w:lineRule="auto"/>
        <w:ind w:hanging="578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hyperlink r:id="rId10" w:history="1">
        <w:r w:rsidR="00F316B2" w:rsidRPr="00E9443C">
          <w:rPr>
            <w:rFonts w:ascii="Calibri" w:hAnsi="Calibri" w:cs="Calibri"/>
            <w:color w:val="000000"/>
            <w:sz w:val="20"/>
            <w:szCs w:val="20"/>
            <w:lang w:eastAsia="pl-PL"/>
          </w:rPr>
          <w:t>PN-EN 60349</w:t>
        </w:r>
      </w:hyperlink>
      <w:r w:rsidR="00F316B2"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-2:2011 </w:t>
      </w:r>
      <w:hyperlink r:id="rId11" w:history="1">
        <w:r w:rsidR="00F316B2" w:rsidRPr="00E9443C">
          <w:rPr>
            <w:rFonts w:ascii="Calibri" w:hAnsi="Calibri" w:cs="Calibri"/>
            <w:color w:val="000000"/>
            <w:sz w:val="20"/>
            <w:szCs w:val="20"/>
            <w:lang w:eastAsia="pl-PL"/>
          </w:rPr>
          <w:t>Trakcja elektryczna - Elektryczne maszyny wirujące do pojazdów szynowych.</w:t>
        </w:r>
      </w:hyperlink>
      <w:r w:rsidR="00F316B2"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 Maszyny zasilane z przekształtników elektronicznych.</w:t>
      </w:r>
    </w:p>
    <w:p w:rsidR="00F316B2" w:rsidRPr="00E9443C" w:rsidRDefault="00F316B2" w:rsidP="00F316B2">
      <w:pPr>
        <w:numPr>
          <w:ilvl w:val="1"/>
          <w:numId w:val="6"/>
        </w:numPr>
        <w:suppressAutoHyphens w:val="0"/>
        <w:spacing w:before="280" w:after="200" w:line="276" w:lineRule="auto"/>
        <w:ind w:hanging="578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PN-EN-IEC 60034-2-3:2020 Maszyny elektryczne wirujące. Metody badań do wyznaczania strat i sprawności silników prądu zmiennego zasilanych z przekształtnika.</w:t>
      </w:r>
    </w:p>
    <w:p w:rsidR="00F316B2" w:rsidRPr="00E9443C" w:rsidRDefault="000C6B07" w:rsidP="00F316B2">
      <w:pPr>
        <w:numPr>
          <w:ilvl w:val="1"/>
          <w:numId w:val="6"/>
        </w:numPr>
        <w:suppressAutoHyphens w:val="0"/>
        <w:spacing w:before="280" w:after="200" w:line="276" w:lineRule="auto"/>
        <w:ind w:hanging="578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hyperlink r:id="rId12" w:history="1">
        <w:r w:rsidR="00F316B2" w:rsidRPr="00E9443C">
          <w:rPr>
            <w:rFonts w:ascii="Calibri" w:hAnsi="Calibri" w:cs="Calibri"/>
            <w:color w:val="000000"/>
            <w:sz w:val="20"/>
            <w:szCs w:val="20"/>
            <w:lang w:eastAsia="pl-PL"/>
          </w:rPr>
          <w:t>PN-EN 60034-1:2011</w:t>
        </w:r>
      </w:hyperlink>
      <w:r w:rsidR="00F316B2"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 </w:t>
      </w:r>
      <w:hyperlink r:id="rId13" w:history="1">
        <w:r w:rsidR="00F316B2" w:rsidRPr="00E9443C">
          <w:rPr>
            <w:rFonts w:ascii="Calibri" w:hAnsi="Calibri" w:cs="Calibri"/>
            <w:color w:val="000000"/>
            <w:sz w:val="20"/>
            <w:szCs w:val="20"/>
            <w:lang w:eastAsia="pl-PL"/>
          </w:rPr>
          <w:t xml:space="preserve">Maszyny elektryczne wirujące - Część 1: Dane znamionowe </w:t>
        </w:r>
        <w:r w:rsidR="00F316B2" w:rsidRPr="00E9443C">
          <w:rPr>
            <w:rFonts w:ascii="Calibri" w:hAnsi="Calibri" w:cs="Calibri"/>
            <w:color w:val="000000"/>
            <w:sz w:val="20"/>
            <w:szCs w:val="20"/>
            <w:lang w:eastAsia="pl-PL"/>
          </w:rPr>
          <w:br/>
          <w:t>i parametry</w:t>
        </w:r>
      </w:hyperlink>
      <w:r w:rsidR="00F316B2" w:rsidRPr="00E9443C">
        <w:rPr>
          <w:rFonts w:ascii="Calibri" w:hAnsi="Calibri" w:cs="Calibri"/>
          <w:color w:val="000000"/>
          <w:sz w:val="20"/>
          <w:szCs w:val="20"/>
          <w:lang w:eastAsia="pl-PL"/>
        </w:rPr>
        <w:t>.</w:t>
      </w:r>
    </w:p>
    <w:p w:rsidR="00F316B2" w:rsidRPr="00E9443C" w:rsidRDefault="00F316B2" w:rsidP="00F316B2">
      <w:pPr>
        <w:numPr>
          <w:ilvl w:val="1"/>
          <w:numId w:val="6"/>
        </w:numPr>
        <w:suppressAutoHyphens w:val="0"/>
        <w:spacing w:before="280" w:after="200" w:line="276" w:lineRule="auto"/>
        <w:ind w:hanging="578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PN-EN 60034-14  Maszyny elektryczne wirujące -Część 14: Drgania mechaniczne określonych maszyn o wzniosach osi wału 56 mm i większych - Pomiar, ocena i wartości graniczne intensywności drgań.</w:t>
      </w:r>
    </w:p>
    <w:p w:rsidR="00F316B2" w:rsidRPr="00E9443C" w:rsidRDefault="00F316B2" w:rsidP="00F316B2">
      <w:pPr>
        <w:numPr>
          <w:ilvl w:val="1"/>
          <w:numId w:val="6"/>
        </w:numPr>
        <w:suppressAutoHyphens w:val="0"/>
        <w:spacing w:before="280" w:after="200" w:line="276" w:lineRule="auto"/>
        <w:ind w:hanging="578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PN-EN 10204:2006 Wyroby metalowe. Rodzaje dokumentów kontroli.</w:t>
      </w:r>
    </w:p>
    <w:p w:rsidR="00F316B2" w:rsidRPr="00E9443C" w:rsidRDefault="00F316B2" w:rsidP="00F316B2">
      <w:pPr>
        <w:numPr>
          <w:ilvl w:val="1"/>
          <w:numId w:val="6"/>
        </w:numPr>
        <w:suppressAutoHyphens w:val="0"/>
        <w:spacing w:before="280" w:after="200" w:line="276" w:lineRule="auto"/>
        <w:ind w:hanging="578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PN-EN ISO 8501-1:2008 Przygotowanie podłoży stalowych przed nakładaniem farb </w:t>
      </w: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br/>
        <w:t>i podobnych produktów. Wzrokowa ocena czystości powierzchni. Część 1: Stopnie skorodowania i stopnie przygotowania niepokrytych podłoży stalowych oraz podłoży stalowych po całkowitym usunięciu wcześniej nałożonych powłok.</w:t>
      </w:r>
    </w:p>
    <w:p w:rsidR="00F316B2" w:rsidRPr="00E9443C" w:rsidRDefault="00F316B2" w:rsidP="00F316B2">
      <w:pPr>
        <w:numPr>
          <w:ilvl w:val="1"/>
          <w:numId w:val="6"/>
        </w:numPr>
        <w:suppressAutoHyphens w:val="0"/>
        <w:spacing w:before="280" w:after="200" w:line="276" w:lineRule="auto"/>
        <w:ind w:hanging="578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PN-EN ISO 8501-2:2011 Przygotowanie podłoży stalowych przed nakładaniem farb </w:t>
      </w: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br/>
        <w:t>i podobnych produktów. Wzrokowa ocena czystości powierzchni. Część 2: Stopnie przygotowania wcześniej pokrytych powłokami podłoży stalowych po miejscowym usunięciu tych powłok.</w:t>
      </w:r>
    </w:p>
    <w:p w:rsidR="00F316B2" w:rsidRPr="00E9443C" w:rsidRDefault="00F316B2" w:rsidP="00F316B2">
      <w:pPr>
        <w:numPr>
          <w:ilvl w:val="1"/>
          <w:numId w:val="6"/>
        </w:numPr>
        <w:suppressAutoHyphens w:val="0"/>
        <w:spacing w:before="280" w:after="200" w:line="276" w:lineRule="auto"/>
        <w:ind w:hanging="578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PN-EN ISO 8501-3:2008 Przygotowanie podłoży stalowych przed nakładaniem farb </w:t>
      </w: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br/>
        <w:t>i podobnych produktów. Wzrokowa ocena czystości powierzchni. Część 3: Stopnie przygotowania spoin, krawędzi i innych obszarów z wadami powierzchni.</w:t>
      </w:r>
    </w:p>
    <w:p w:rsidR="00F316B2" w:rsidRPr="00E9443C" w:rsidRDefault="00F316B2" w:rsidP="00F316B2">
      <w:pPr>
        <w:numPr>
          <w:ilvl w:val="1"/>
          <w:numId w:val="6"/>
        </w:numPr>
        <w:suppressAutoHyphens w:val="0"/>
        <w:spacing w:before="280" w:after="200" w:line="276" w:lineRule="auto"/>
        <w:ind w:hanging="578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PN-EN ISO 8501-4:2021-04 Przygotowanie podłoży stalowych przed nakładaniem farb </w:t>
      </w: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br/>
        <w:t>i podobnych produktów. Wzrokowa ocena czystości powierzchni. Część 4: Stany wyjściowe powierzchni, stopnie przygotowania i stopnie rdzy nalotowej związane z czyszczeniem strumieniem wody pod wysokim ciśnieniem.</w:t>
      </w:r>
    </w:p>
    <w:p w:rsidR="00F316B2" w:rsidRPr="00E9443C" w:rsidRDefault="00F316B2" w:rsidP="00F316B2">
      <w:pPr>
        <w:numPr>
          <w:ilvl w:val="1"/>
          <w:numId w:val="6"/>
        </w:numPr>
        <w:suppressAutoHyphens w:val="0"/>
        <w:spacing w:before="280" w:after="200" w:line="276" w:lineRule="auto"/>
        <w:ind w:hanging="578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PN-72E-04272 Maszyny elektryczne wirujące. Silniki indukcyjne trójfazowe. Metody badań.</w:t>
      </w:r>
    </w:p>
    <w:p w:rsidR="00F316B2" w:rsidRPr="00E9443C" w:rsidRDefault="00F316B2" w:rsidP="00F316B2">
      <w:pPr>
        <w:numPr>
          <w:ilvl w:val="1"/>
          <w:numId w:val="6"/>
        </w:numPr>
        <w:suppressAutoHyphens w:val="0"/>
        <w:spacing w:before="280" w:after="200" w:line="276" w:lineRule="auto"/>
        <w:ind w:hanging="578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PN-EN ISO 2409:2021-03 Farby i lakiery. Badanie metodą siatki nacięć..</w:t>
      </w:r>
    </w:p>
    <w:p w:rsidR="00F316B2" w:rsidRPr="005F7AB2" w:rsidRDefault="00F316B2" w:rsidP="00F316B2">
      <w:pPr>
        <w:numPr>
          <w:ilvl w:val="1"/>
          <w:numId w:val="6"/>
        </w:numPr>
        <w:suppressAutoHyphens w:val="0"/>
        <w:spacing w:before="280" w:after="200" w:line="276" w:lineRule="auto"/>
        <w:ind w:hanging="578"/>
        <w:contextualSpacing/>
        <w:jc w:val="both"/>
        <w:textAlignment w:val="baseline"/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”Uchwała NR 441/2013 Zarządu ”Przewozy Regionalne” Sp. z o.o. z dnia 19 listopada 2013</w:t>
      </w:r>
    </w:p>
    <w:p w:rsidR="00F316B2" w:rsidRPr="00E9443C" w:rsidRDefault="00F316B2" w:rsidP="00F316B2">
      <w:pPr>
        <w:numPr>
          <w:ilvl w:val="1"/>
          <w:numId w:val="6"/>
        </w:numPr>
        <w:suppressAutoHyphens w:val="0"/>
        <w:spacing w:before="280" w:after="200" w:line="276" w:lineRule="auto"/>
        <w:ind w:hanging="578"/>
        <w:contextualSpacing/>
        <w:jc w:val="both"/>
        <w:textAlignment w:val="baseline"/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 Instrukcja obsługi TMF 50-29-4 400 kW TSA.</w:t>
      </w:r>
    </w:p>
    <w:p w:rsidR="00F316B2" w:rsidRPr="00E9443C" w:rsidRDefault="00F316B2" w:rsidP="00F316B2">
      <w:pPr>
        <w:suppressAutoHyphens w:val="0"/>
        <w:rPr>
          <w:sz w:val="24"/>
          <w:szCs w:val="24"/>
          <w:lang w:eastAsia="pl-PL"/>
        </w:rPr>
      </w:pPr>
    </w:p>
    <w:p w:rsidR="00F316B2" w:rsidRPr="00E9443C" w:rsidRDefault="00F316B2" w:rsidP="00F316B2">
      <w:pPr>
        <w:numPr>
          <w:ilvl w:val="0"/>
          <w:numId w:val="12"/>
        </w:numPr>
        <w:suppressAutoHyphens w:val="0"/>
        <w:spacing w:after="200" w:line="276" w:lineRule="auto"/>
        <w:jc w:val="both"/>
        <w:textAlignment w:val="baseline"/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  <w:t>Dokumenty dostarczone z przedmiotem zamówienia:</w:t>
      </w:r>
    </w:p>
    <w:p w:rsidR="00F316B2" w:rsidRPr="00E9443C" w:rsidRDefault="00F316B2" w:rsidP="00F316B2">
      <w:pPr>
        <w:numPr>
          <w:ilvl w:val="1"/>
          <w:numId w:val="7"/>
        </w:numPr>
        <w:suppressAutoHyphens w:val="0"/>
        <w:spacing w:after="200" w:line="276" w:lineRule="auto"/>
        <w:ind w:hanging="502"/>
        <w:contextualSpacing/>
        <w:jc w:val="both"/>
        <w:textAlignment w:val="baseline"/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Protokoły: protokół z weryfikacji stanu technicznego silnika, protokół odbioru końcowego, zawierający wykaz wykonanych prac podczas naprawy oraz protokoły (raporty) </w:t>
      </w: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br/>
        <w:t>z wykonanych badań, prób i testów na stanowisku testowym.</w:t>
      </w:r>
    </w:p>
    <w:p w:rsidR="00F316B2" w:rsidRPr="00E9443C" w:rsidRDefault="00F316B2" w:rsidP="00F316B2">
      <w:pPr>
        <w:numPr>
          <w:ilvl w:val="1"/>
          <w:numId w:val="7"/>
        </w:numPr>
        <w:suppressAutoHyphens w:val="0"/>
        <w:spacing w:after="200" w:line="276" w:lineRule="auto"/>
        <w:ind w:hanging="502"/>
        <w:contextualSpacing/>
        <w:jc w:val="both"/>
        <w:textAlignment w:val="baseline"/>
        <w:rPr>
          <w:rFonts w:ascii="Calibri" w:hAnsi="Calibri" w:cs="Calibri"/>
          <w:b/>
          <w:bCs/>
          <w:sz w:val="20"/>
          <w:szCs w:val="20"/>
          <w:lang w:eastAsia="pl-PL"/>
        </w:rPr>
      </w:pPr>
      <w:r w:rsidRPr="00E9443C">
        <w:rPr>
          <w:rFonts w:ascii="Calibri" w:eastAsia="Calibri" w:hAnsi="Calibri"/>
          <w:sz w:val="20"/>
          <w:lang w:eastAsia="en-US"/>
        </w:rPr>
        <w:t>Karta gwarancyjna - każdorazowo z każdą dostawą.</w:t>
      </w:r>
      <w:bookmarkStart w:id="0" w:name="_GoBack"/>
      <w:bookmarkEnd w:id="0"/>
    </w:p>
    <w:p w:rsidR="00F316B2" w:rsidRPr="00E9443C" w:rsidRDefault="00F316B2" w:rsidP="00F316B2">
      <w:pPr>
        <w:numPr>
          <w:ilvl w:val="1"/>
          <w:numId w:val="7"/>
        </w:numPr>
        <w:suppressAutoHyphens w:val="0"/>
        <w:spacing w:before="240" w:after="200" w:line="276" w:lineRule="auto"/>
        <w:ind w:hanging="502"/>
        <w:contextualSpacing/>
        <w:jc w:val="both"/>
        <w:textAlignment w:val="baseline"/>
        <w:rPr>
          <w:rFonts w:ascii="Calibri" w:eastAsia="Calibri" w:hAnsi="Calibri" w:cs="Calibri"/>
          <w:sz w:val="20"/>
          <w:szCs w:val="20"/>
          <w:lang w:eastAsia="pl-PL"/>
        </w:rPr>
      </w:pPr>
      <w:r w:rsidRPr="00E9443C">
        <w:rPr>
          <w:rFonts w:ascii="Calibri" w:eastAsia="Calibri" w:hAnsi="Calibri" w:cs="Calibri"/>
          <w:sz w:val="20"/>
          <w:szCs w:val="20"/>
          <w:lang w:eastAsia="pl-PL"/>
        </w:rPr>
        <w:lastRenderedPageBreak/>
        <w:t xml:space="preserve">Karty charakterystyki na użyte materiały (dokument, w którym zostały określone właściwości fizyko-mechaniczne (gatunek materiału, wymiary, itd.): </w:t>
      </w:r>
    </w:p>
    <w:p w:rsidR="00F316B2" w:rsidRPr="00E9443C" w:rsidRDefault="00F316B2" w:rsidP="00F316B2">
      <w:pPr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spacing w:before="120" w:after="200" w:line="276" w:lineRule="auto"/>
        <w:ind w:left="993" w:hanging="357"/>
        <w:contextualSpacing/>
        <w:jc w:val="both"/>
        <w:rPr>
          <w:rFonts w:ascii="Calibri" w:eastAsia="Calibri" w:hAnsi="Calibri" w:cs="Calibri"/>
          <w:sz w:val="20"/>
          <w:szCs w:val="20"/>
          <w:lang w:eastAsia="pl-PL"/>
        </w:rPr>
      </w:pPr>
      <w:r w:rsidRPr="00E9443C">
        <w:rPr>
          <w:rFonts w:ascii="Calibri" w:eastAsia="Calibri" w:hAnsi="Calibri" w:cs="Calibri"/>
          <w:sz w:val="20"/>
          <w:szCs w:val="20"/>
          <w:lang w:eastAsia="pl-PL"/>
        </w:rPr>
        <w:t>Profil nawojowy,</w:t>
      </w:r>
    </w:p>
    <w:p w:rsidR="00F316B2" w:rsidRPr="00E9443C" w:rsidRDefault="00F316B2" w:rsidP="00F316B2">
      <w:pPr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spacing w:before="120" w:after="200" w:line="276" w:lineRule="auto"/>
        <w:ind w:left="993" w:hanging="357"/>
        <w:contextualSpacing/>
        <w:jc w:val="both"/>
        <w:rPr>
          <w:rFonts w:ascii="Calibri" w:eastAsia="Calibri" w:hAnsi="Calibri" w:cs="Calibri"/>
          <w:sz w:val="20"/>
          <w:szCs w:val="20"/>
          <w:lang w:eastAsia="pl-PL"/>
        </w:rPr>
      </w:pPr>
      <w:r w:rsidRPr="00E9443C">
        <w:rPr>
          <w:rFonts w:ascii="Calibri" w:eastAsia="Calibri" w:hAnsi="Calibri" w:cs="Calibri"/>
          <w:sz w:val="20"/>
          <w:szCs w:val="20"/>
          <w:lang w:eastAsia="pl-PL"/>
        </w:rPr>
        <w:t>Izolację: żłobkową, główną,</w:t>
      </w:r>
    </w:p>
    <w:p w:rsidR="00F316B2" w:rsidRPr="00E9443C" w:rsidRDefault="00F316B2" w:rsidP="00F316B2">
      <w:pPr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spacing w:before="120" w:after="200" w:line="276" w:lineRule="auto"/>
        <w:ind w:left="993" w:hanging="357"/>
        <w:contextualSpacing/>
        <w:jc w:val="both"/>
        <w:rPr>
          <w:rFonts w:ascii="Calibri" w:eastAsia="Calibri" w:hAnsi="Calibri" w:cs="Calibri"/>
          <w:sz w:val="20"/>
          <w:szCs w:val="20"/>
          <w:lang w:eastAsia="pl-PL"/>
        </w:rPr>
      </w:pPr>
      <w:r w:rsidRPr="00E9443C">
        <w:rPr>
          <w:rFonts w:ascii="Calibri" w:eastAsia="Calibri" w:hAnsi="Calibri" w:cs="Calibri"/>
          <w:sz w:val="20"/>
          <w:szCs w:val="20"/>
          <w:lang w:eastAsia="pl-PL"/>
        </w:rPr>
        <w:t>Kliny izolacyjne,</w:t>
      </w:r>
    </w:p>
    <w:p w:rsidR="00F316B2" w:rsidRPr="00E9443C" w:rsidRDefault="00F316B2" w:rsidP="00F316B2">
      <w:pPr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spacing w:before="120" w:after="200" w:line="276" w:lineRule="auto"/>
        <w:ind w:left="993" w:hanging="357"/>
        <w:contextualSpacing/>
        <w:jc w:val="both"/>
        <w:rPr>
          <w:rFonts w:ascii="Calibri" w:eastAsia="Calibri" w:hAnsi="Calibri" w:cs="Calibri"/>
          <w:sz w:val="20"/>
          <w:szCs w:val="20"/>
          <w:lang w:eastAsia="pl-PL"/>
        </w:rPr>
      </w:pPr>
      <w:r w:rsidRPr="00E9443C">
        <w:rPr>
          <w:rFonts w:ascii="Calibri" w:eastAsia="Calibri" w:hAnsi="Calibri" w:cs="Calibri"/>
          <w:sz w:val="20"/>
          <w:szCs w:val="20"/>
          <w:lang w:eastAsia="pl-PL"/>
        </w:rPr>
        <w:t>Żywicę (lakier) do impregnacji,</w:t>
      </w:r>
    </w:p>
    <w:p w:rsidR="00F316B2" w:rsidRPr="00E9443C" w:rsidRDefault="00F316B2" w:rsidP="00F316B2">
      <w:pPr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spacing w:before="120" w:after="200" w:line="276" w:lineRule="auto"/>
        <w:ind w:left="993" w:hanging="357"/>
        <w:contextualSpacing/>
        <w:jc w:val="both"/>
        <w:rPr>
          <w:rFonts w:ascii="Calibri" w:eastAsia="Calibri" w:hAnsi="Calibri" w:cs="Calibri"/>
          <w:sz w:val="20"/>
          <w:szCs w:val="20"/>
          <w:lang w:eastAsia="pl-PL"/>
        </w:rPr>
      </w:pPr>
      <w:r w:rsidRPr="00E9443C">
        <w:rPr>
          <w:rFonts w:ascii="Calibri" w:eastAsia="Calibri" w:hAnsi="Calibri" w:cs="Calibri"/>
          <w:sz w:val="20"/>
          <w:szCs w:val="20"/>
          <w:lang w:eastAsia="pl-PL"/>
        </w:rPr>
        <w:t>Masy uszczelniające jeżeli były zastosowane,</w:t>
      </w:r>
    </w:p>
    <w:p w:rsidR="00F316B2" w:rsidRPr="00E9443C" w:rsidRDefault="00F316B2" w:rsidP="00F316B2">
      <w:pPr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spacing w:before="120" w:after="200" w:line="276" w:lineRule="auto"/>
        <w:ind w:left="993" w:hanging="357"/>
        <w:contextualSpacing/>
        <w:jc w:val="both"/>
        <w:rPr>
          <w:rFonts w:ascii="Calibri" w:eastAsia="Calibri" w:hAnsi="Calibri" w:cs="Calibri"/>
          <w:sz w:val="20"/>
          <w:szCs w:val="20"/>
          <w:lang w:eastAsia="pl-PL"/>
        </w:rPr>
      </w:pPr>
      <w:r w:rsidRPr="00E9443C">
        <w:rPr>
          <w:rFonts w:ascii="Calibri" w:eastAsia="Calibri" w:hAnsi="Calibri" w:cs="Calibri"/>
          <w:sz w:val="20"/>
          <w:szCs w:val="20"/>
          <w:lang w:eastAsia="pl-PL"/>
        </w:rPr>
        <w:t xml:space="preserve">Smar do łożysk. </w:t>
      </w:r>
    </w:p>
    <w:p w:rsidR="00F316B2" w:rsidRPr="00E9443C" w:rsidRDefault="00F316B2" w:rsidP="00F316B2">
      <w:pPr>
        <w:suppressAutoHyphens w:val="0"/>
        <w:spacing w:before="120"/>
        <w:ind w:left="637"/>
        <w:contextualSpacing/>
        <w:jc w:val="both"/>
        <w:rPr>
          <w:rFonts w:ascii="Calibri" w:eastAsia="Calibri" w:hAnsi="Calibri"/>
          <w:sz w:val="20"/>
          <w:lang w:eastAsia="en-US"/>
        </w:rPr>
      </w:pPr>
    </w:p>
    <w:p w:rsidR="00F316B2" w:rsidRPr="00E9443C" w:rsidRDefault="00F316B2" w:rsidP="00F316B2">
      <w:pPr>
        <w:numPr>
          <w:ilvl w:val="1"/>
          <w:numId w:val="7"/>
        </w:numPr>
        <w:suppressAutoHyphens w:val="0"/>
        <w:spacing w:before="120" w:after="200" w:line="276" w:lineRule="auto"/>
        <w:ind w:hanging="502"/>
        <w:contextualSpacing/>
        <w:jc w:val="both"/>
        <w:rPr>
          <w:rFonts w:ascii="Calibri" w:eastAsia="Calibri" w:hAnsi="Calibri"/>
          <w:sz w:val="20"/>
          <w:lang w:eastAsia="en-US"/>
        </w:rPr>
      </w:pPr>
      <w:r w:rsidRPr="00E9443C">
        <w:rPr>
          <w:rFonts w:ascii="Calibri" w:eastAsia="Calibri" w:hAnsi="Calibri" w:cs="Calibri"/>
          <w:sz w:val="20"/>
          <w:szCs w:val="20"/>
          <w:lang w:eastAsia="en-US"/>
        </w:rPr>
        <w:t xml:space="preserve">Wypełniona Karta Podzespołu Pojazdu trakcyjnego (tzw. karta sztywna): krótki opis wykonanej naprawy lub zabiegów profilaktycznych; wykaz wymienionych części na nowe </w:t>
      </w:r>
      <w:r w:rsidRPr="00E9443C">
        <w:rPr>
          <w:rFonts w:ascii="Calibri" w:eastAsia="Calibri" w:hAnsi="Calibri"/>
          <w:sz w:val="20"/>
          <w:lang w:eastAsia="en-US"/>
        </w:rPr>
        <w:t>– każdorazowo z każdą dostawą</w:t>
      </w:r>
      <w:r w:rsidRPr="00E9443C">
        <w:rPr>
          <w:rFonts w:ascii="Calibri" w:eastAsia="Calibri" w:hAnsi="Calibri" w:cs="Calibri"/>
          <w:sz w:val="20"/>
          <w:szCs w:val="20"/>
          <w:lang w:eastAsia="en-US"/>
        </w:rPr>
        <w:t xml:space="preserve">.  </w:t>
      </w:r>
    </w:p>
    <w:p w:rsidR="00F316B2" w:rsidRPr="00E9443C" w:rsidRDefault="00F316B2" w:rsidP="00F316B2">
      <w:pPr>
        <w:numPr>
          <w:ilvl w:val="1"/>
          <w:numId w:val="7"/>
        </w:numPr>
        <w:suppressAutoHyphens w:val="0"/>
        <w:spacing w:before="120" w:after="200" w:line="276" w:lineRule="auto"/>
        <w:ind w:left="709" w:hanging="425"/>
        <w:contextualSpacing/>
        <w:jc w:val="both"/>
        <w:rPr>
          <w:rFonts w:ascii="Calibri" w:eastAsia="Calibri" w:hAnsi="Calibri"/>
          <w:sz w:val="20"/>
          <w:lang w:eastAsia="en-US"/>
        </w:rPr>
      </w:pPr>
      <w:r w:rsidRPr="00E9443C">
        <w:rPr>
          <w:rFonts w:ascii="Calibri" w:eastAsia="Calibri" w:hAnsi="Calibri" w:cs="Calibri"/>
          <w:sz w:val="20"/>
          <w:szCs w:val="20"/>
          <w:lang w:eastAsia="en-US"/>
        </w:rPr>
        <w:t xml:space="preserve">Dokumenty dotyczące zastosowanych łożysk </w:t>
      </w:r>
      <w:r w:rsidRPr="00E9443C">
        <w:rPr>
          <w:rFonts w:ascii="Calibri" w:eastAsia="Calibri" w:hAnsi="Calibri"/>
          <w:sz w:val="20"/>
          <w:lang w:eastAsia="en-US"/>
        </w:rPr>
        <w:t>– każdorazowo z każdą dostawą</w:t>
      </w:r>
      <w:r w:rsidRPr="00E9443C">
        <w:rPr>
          <w:rFonts w:ascii="Calibri" w:eastAsia="Calibri" w:hAnsi="Calibri" w:cs="Calibri"/>
          <w:sz w:val="20"/>
          <w:szCs w:val="20"/>
          <w:lang w:eastAsia="en-US"/>
        </w:rPr>
        <w:t xml:space="preserve"> silników po naprawie.</w:t>
      </w:r>
    </w:p>
    <w:p w:rsidR="00F316B2" w:rsidRDefault="00F316B2" w:rsidP="00F316B2">
      <w:pPr>
        <w:numPr>
          <w:ilvl w:val="1"/>
          <w:numId w:val="7"/>
        </w:numPr>
        <w:suppressAutoHyphens w:val="0"/>
        <w:spacing w:after="200" w:line="276" w:lineRule="auto"/>
        <w:ind w:hanging="502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sz w:val="20"/>
          <w:szCs w:val="20"/>
          <w:lang w:eastAsia="pl-PL"/>
        </w:rPr>
        <w:t>Świadectwo 3.2 wg dla silnika zespołu napędowego PN-EN 10204:2006, potwierdzone p</w:t>
      </w: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rzez Komisarza Odbiorczego POLREGIO S.A. Świadectwa odbioru 3.2 z podpisem Komisarza Odbiorczego POLREGIO S.A. wraz  z </w:t>
      </w:r>
      <w:r>
        <w:rPr>
          <w:rFonts w:ascii="Calibri" w:hAnsi="Calibri" w:cs="Calibri"/>
          <w:color w:val="000000"/>
          <w:sz w:val="20"/>
          <w:szCs w:val="20"/>
          <w:lang w:eastAsia="pl-PL"/>
        </w:rPr>
        <w:t xml:space="preserve"> pełnym </w:t>
      </w: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wykazem numerycznym zastosowanych w naprawie nowych łożysk tocznych. Atesty jakości, protokoły z badań, karty pomiarowe geometrii i wymiarów łożysk tocznych, protokoły badań nieniszczących łożysk zgodnie z PN-EN 12080:2017-10  – w przypadku gdy zostały zastosowane nowe łożyska toczne.</w:t>
      </w:r>
    </w:p>
    <w:p w:rsidR="00F316B2" w:rsidRPr="00E9443C" w:rsidRDefault="00F316B2" w:rsidP="00F316B2">
      <w:pPr>
        <w:suppressAutoHyphens w:val="0"/>
        <w:spacing w:after="200" w:line="276" w:lineRule="auto"/>
        <w:ind w:left="786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</w:p>
    <w:p w:rsidR="00F316B2" w:rsidRPr="00E9443C" w:rsidRDefault="00F316B2" w:rsidP="00F316B2">
      <w:pPr>
        <w:numPr>
          <w:ilvl w:val="0"/>
          <w:numId w:val="13"/>
        </w:numPr>
        <w:suppressAutoHyphens w:val="0"/>
        <w:spacing w:after="200" w:line="276" w:lineRule="auto"/>
        <w:jc w:val="both"/>
        <w:textAlignment w:val="baseline"/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  <w:t>Zobowiązania wykonawcy:</w:t>
      </w:r>
    </w:p>
    <w:p w:rsidR="00F316B2" w:rsidRPr="00E9443C" w:rsidRDefault="00F316B2" w:rsidP="00F316B2">
      <w:pPr>
        <w:numPr>
          <w:ilvl w:val="1"/>
          <w:numId w:val="3"/>
        </w:numPr>
        <w:suppressAutoHyphens w:val="0"/>
        <w:spacing w:after="200" w:line="276" w:lineRule="auto"/>
        <w:ind w:hanging="578"/>
        <w:contextualSpacing/>
        <w:jc w:val="both"/>
        <w:textAlignment w:val="baseline"/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Wykonawca gwarantuje wysoką jakość dostarczanego przedmiotu zamówienia zgodnie z odpowiednimi normami polskimi oraz obowiązującymi u Zamawiającego przepisami.</w:t>
      </w:r>
    </w:p>
    <w:p w:rsidR="00F316B2" w:rsidRPr="00E9443C" w:rsidRDefault="00F316B2" w:rsidP="00F316B2">
      <w:pPr>
        <w:numPr>
          <w:ilvl w:val="1"/>
          <w:numId w:val="3"/>
        </w:numPr>
        <w:suppressAutoHyphens w:val="0"/>
        <w:spacing w:after="200" w:line="276" w:lineRule="auto"/>
        <w:ind w:hanging="578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Wykonawca zobowiązany jest do wystawienia świadectwa odbioru 3.2 zgodnego z normą PN-EN 10204:2006 sporządzonego przez pracownika komórki kontroli jakości Wykonawcy, niezależnej od wydziału produkcyjnego. </w:t>
      </w:r>
    </w:p>
    <w:p w:rsidR="00F316B2" w:rsidRPr="00E9443C" w:rsidRDefault="00F316B2" w:rsidP="00F316B2">
      <w:pPr>
        <w:numPr>
          <w:ilvl w:val="1"/>
          <w:numId w:val="3"/>
        </w:numPr>
        <w:suppressAutoHyphens w:val="0"/>
        <w:spacing w:after="200" w:line="276" w:lineRule="auto"/>
        <w:ind w:hanging="578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Wykonawca zobowiązany jest do przedstawienia Zamawiającemu aktualnych i zatwierdzonych do stosowania w POLREGIO S.A. warunków technicznych wykonania i odbioru (</w:t>
      </w:r>
      <w:proofErr w:type="spellStart"/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WTWiO</w:t>
      </w:r>
      <w:proofErr w:type="spellEnd"/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) dla przedmiotu umowy. Uzgodnień i zatwierdzeń dokonuje Biuro Taboru, Wydział Technologii i Dokumentacji Taboru POLREGIO S.A., Ul. Kolejowa 1, Warszawa. Jeżeli przedstawione przez Wykonawcę warunki techniczne wykonania i odbioru (</w:t>
      </w:r>
      <w:proofErr w:type="spellStart"/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WTWiO</w:t>
      </w:r>
      <w:proofErr w:type="spellEnd"/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) nie będą wymagały poprawek, Biuro Taboru zobowiązane jest zwrócić uzgodnioną dokumentację w ciągu dwóch tygodni od dnia jej dostarczenia przez Wykonawcę.</w:t>
      </w:r>
    </w:p>
    <w:p w:rsidR="00F316B2" w:rsidRPr="00E9443C" w:rsidRDefault="00F316B2" w:rsidP="00F316B2">
      <w:pPr>
        <w:numPr>
          <w:ilvl w:val="1"/>
          <w:numId w:val="3"/>
        </w:numPr>
        <w:suppressAutoHyphens w:val="0"/>
        <w:spacing w:after="200" w:line="276" w:lineRule="auto"/>
        <w:ind w:hanging="578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Wykonawca przed podpisaniem Umowy zobowiązany jest wykazać dowodnie, że wykona naprawę silnika w klasie izolacji nie niższej niż 220.</w:t>
      </w:r>
    </w:p>
    <w:p w:rsidR="00F316B2" w:rsidRPr="00E9443C" w:rsidRDefault="00F316B2" w:rsidP="00F316B2">
      <w:pPr>
        <w:suppressAutoHyphens w:val="0"/>
        <w:rPr>
          <w:sz w:val="24"/>
          <w:szCs w:val="24"/>
          <w:lang w:eastAsia="pl-PL"/>
        </w:rPr>
      </w:pPr>
    </w:p>
    <w:p w:rsidR="00F316B2" w:rsidRPr="00E9443C" w:rsidRDefault="00F316B2" w:rsidP="00F316B2">
      <w:pPr>
        <w:numPr>
          <w:ilvl w:val="0"/>
          <w:numId w:val="14"/>
        </w:numPr>
        <w:suppressAutoHyphens w:val="0"/>
        <w:spacing w:after="200" w:line="276" w:lineRule="auto"/>
        <w:jc w:val="both"/>
        <w:textAlignment w:val="baseline"/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  <w:t>Warunki dostawy:</w:t>
      </w:r>
    </w:p>
    <w:p w:rsidR="00F316B2" w:rsidRPr="00E9443C" w:rsidRDefault="00F316B2" w:rsidP="00F316B2">
      <w:pPr>
        <w:numPr>
          <w:ilvl w:val="1"/>
          <w:numId w:val="4"/>
        </w:numPr>
        <w:suppressAutoHyphens w:val="0"/>
        <w:spacing w:after="200" w:line="276" w:lineRule="auto"/>
        <w:ind w:hanging="578"/>
        <w:contextualSpacing/>
        <w:jc w:val="both"/>
        <w:textAlignment w:val="baseline"/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Przedmiot zamówienia winien być dostarczony krytymi środkami lokomocji </w:t>
      </w: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br/>
        <w:t>z zabezpieczeniem przed przemieszczeniem ładunku oraz przed uszkodzeniem. Przy transporcie otwór wlotu powietrza należy zakryć wiekiem transportowym. Należy chronić przed uszkodzeniem szczególnie kable wejściowe, czujnik obrotów i jego wyjście, stożkowy koniec wału. Koszt transportu, opakowania (zabezpieczenia) oraz ubezpieczenia przedmiotu dostawy, aż do miejsca dostawy, ponosi Wykonawca wg zapisów Umowy.</w:t>
      </w:r>
    </w:p>
    <w:p w:rsidR="00F316B2" w:rsidRPr="00E9443C" w:rsidRDefault="00F316B2" w:rsidP="00F316B2">
      <w:pPr>
        <w:numPr>
          <w:ilvl w:val="1"/>
          <w:numId w:val="4"/>
        </w:numPr>
        <w:suppressAutoHyphens w:val="0"/>
        <w:spacing w:after="200" w:line="276" w:lineRule="auto"/>
        <w:ind w:hanging="578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Do podnoszenia i transportowania zespołów napędowych na bliskie odległości używać urządzenia dźwigowego zgodnego z przepisami BHP i UDT. Podnoszenie i transportowanie na bliskie odległości, dozwolone jest za pośrednictwem zawiesi zamocowanych do pierścieni ładunkowych lub śrub oczkowych wkręcanych w otwory gwintowane  w korpusie. </w:t>
      </w:r>
    </w:p>
    <w:p w:rsidR="00F316B2" w:rsidRPr="00E9443C" w:rsidRDefault="00F316B2" w:rsidP="00F316B2">
      <w:pPr>
        <w:numPr>
          <w:ilvl w:val="1"/>
          <w:numId w:val="4"/>
        </w:numPr>
        <w:suppressAutoHyphens w:val="0"/>
        <w:spacing w:after="200" w:line="276" w:lineRule="auto"/>
        <w:ind w:hanging="578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lastRenderedPageBreak/>
        <w:t xml:space="preserve">Przy transportowaniu silnika zespołów napędowych należy bezwzględnie unikać silnych wstrząsów </w:t>
      </w: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br/>
        <w:t>i uderzeń. </w:t>
      </w:r>
    </w:p>
    <w:p w:rsidR="00F316B2" w:rsidRPr="00E9443C" w:rsidRDefault="00F316B2" w:rsidP="00F316B2">
      <w:pPr>
        <w:numPr>
          <w:ilvl w:val="1"/>
          <w:numId w:val="4"/>
        </w:numPr>
        <w:suppressAutoHyphens w:val="0"/>
        <w:spacing w:after="200" w:line="276" w:lineRule="auto"/>
        <w:ind w:hanging="578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 xml:space="preserve">Silniki elektryczne z jednym łożyskiem, nie zmontowane z przekładnią, muszą być transportowane </w:t>
      </w: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br/>
        <w:t>w poziomie z zastosowaniem blokady (usztywnienia) osiowej i promieniowej. </w:t>
      </w:r>
    </w:p>
    <w:p w:rsidR="00F316B2" w:rsidRPr="00E9443C" w:rsidRDefault="00F316B2" w:rsidP="00F316B2">
      <w:pPr>
        <w:numPr>
          <w:ilvl w:val="1"/>
          <w:numId w:val="4"/>
        </w:numPr>
        <w:suppressAutoHyphens w:val="0"/>
        <w:spacing w:after="200" w:line="276" w:lineRule="auto"/>
        <w:ind w:hanging="578"/>
        <w:contextualSpacing/>
        <w:jc w:val="both"/>
        <w:textAlignment w:val="baseline"/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Przedmiot zamówienia powinien być przechowywany w pomieszczeniach, w których maksymalna wilgotność względna nie przekracza 80% przy temperaturze 20°C, temperatura nie spada poniżej + 5°C, wolnych od pyłów, gazów, pary żrącej, oraz innych agresywnych wyziewów chemicznych działających niszcząco na izolację i obudowę.</w:t>
      </w:r>
    </w:p>
    <w:p w:rsidR="00F316B2" w:rsidRPr="00E9443C" w:rsidRDefault="00F316B2" w:rsidP="00F316B2">
      <w:pPr>
        <w:suppressAutoHyphens w:val="0"/>
        <w:rPr>
          <w:sz w:val="24"/>
          <w:szCs w:val="24"/>
          <w:lang w:eastAsia="pl-PL"/>
        </w:rPr>
      </w:pPr>
    </w:p>
    <w:p w:rsidR="00F316B2" w:rsidRPr="00E9443C" w:rsidRDefault="00F316B2" w:rsidP="00F316B2">
      <w:pPr>
        <w:numPr>
          <w:ilvl w:val="0"/>
          <w:numId w:val="15"/>
        </w:numPr>
        <w:suppressAutoHyphens w:val="0"/>
        <w:spacing w:after="200" w:line="276" w:lineRule="auto"/>
        <w:jc w:val="both"/>
        <w:textAlignment w:val="baseline"/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</w:pPr>
      <w:r w:rsidRPr="00E9443C"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  <w:t>Gwarancja:</w:t>
      </w:r>
      <w:r w:rsidRPr="00E9443C">
        <w:rPr>
          <w:rFonts w:ascii="Calibri" w:hAnsi="Calibri" w:cs="Calibri"/>
          <w:color w:val="000000"/>
          <w:sz w:val="20"/>
          <w:szCs w:val="20"/>
          <w:lang w:eastAsia="pl-PL"/>
        </w:rPr>
        <w:t> </w:t>
      </w:r>
    </w:p>
    <w:p w:rsidR="00F316B2" w:rsidRPr="00E9443C" w:rsidRDefault="00F316B2" w:rsidP="00F316B2">
      <w:pPr>
        <w:numPr>
          <w:ilvl w:val="1"/>
          <w:numId w:val="5"/>
        </w:numPr>
        <w:suppressAutoHyphens w:val="0"/>
        <w:spacing w:after="200" w:line="276" w:lineRule="auto"/>
        <w:ind w:hanging="571"/>
        <w:contextualSpacing/>
        <w:jc w:val="both"/>
        <w:textAlignment w:val="baseline"/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</w:pPr>
      <w:r w:rsidRPr="00E9443C">
        <w:rPr>
          <w:rFonts w:ascii="Calibri" w:eastAsia="Calibri" w:hAnsi="Calibri"/>
          <w:sz w:val="20"/>
          <w:szCs w:val="20"/>
          <w:lang w:eastAsia="en-US"/>
        </w:rPr>
        <w:t xml:space="preserve">Okres gwarancji: Wykonawca udziela gwarancji na wykonane prace i zastosowane części na okres 12 miesięcy od daty uzyskania świadectwa sprawności technicznej pojazdu, lecz nie dłużej niż 14 miesięcy od odbioru silnika zespołu napędowego po przeglądzie przez Zamawiającego, a na podzespoły przezwojone oraz nowe wirniki </w:t>
      </w:r>
      <w:r>
        <w:rPr>
          <w:rFonts w:ascii="Calibri" w:eastAsia="Calibri" w:hAnsi="Calibri"/>
          <w:sz w:val="20"/>
          <w:szCs w:val="20"/>
          <w:lang w:eastAsia="en-US"/>
        </w:rPr>
        <w:t xml:space="preserve"> i nowe uzwojone stojany </w:t>
      </w:r>
      <w:r w:rsidRPr="00E9443C">
        <w:rPr>
          <w:rFonts w:ascii="Calibri" w:eastAsia="Calibri" w:hAnsi="Calibri"/>
          <w:sz w:val="20"/>
          <w:szCs w:val="20"/>
          <w:lang w:eastAsia="en-US"/>
        </w:rPr>
        <w:t>– 24 miesięcy od daty dostawy</w:t>
      </w:r>
      <w:r w:rsidRPr="00E9443C"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  <w:t>.</w:t>
      </w:r>
      <w:r w:rsidRPr="00E9443C">
        <w:rPr>
          <w:rFonts w:ascii="Calibri" w:eastAsia="Calibri" w:hAnsi="Calibri"/>
          <w:b/>
          <w:sz w:val="20"/>
          <w:szCs w:val="20"/>
          <w:lang w:eastAsia="en-US"/>
        </w:rPr>
        <w:t xml:space="preserve">                                  </w:t>
      </w:r>
    </w:p>
    <w:p w:rsidR="00444BCC" w:rsidRDefault="00444BCC"/>
    <w:sectPr w:rsidR="00444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E5DDD"/>
    <w:multiLevelType w:val="multilevel"/>
    <w:tmpl w:val="3D0ED6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294C3C"/>
    <w:multiLevelType w:val="multilevel"/>
    <w:tmpl w:val="F4E21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072" w:hanging="1440"/>
      </w:pPr>
      <w:rPr>
        <w:rFonts w:hint="default"/>
        <w:b w:val="0"/>
      </w:rPr>
    </w:lvl>
  </w:abstractNum>
  <w:abstractNum w:abstractNumId="2">
    <w:nsid w:val="278F485A"/>
    <w:multiLevelType w:val="hybridMultilevel"/>
    <w:tmpl w:val="8FD6A49C"/>
    <w:lvl w:ilvl="0" w:tplc="205E16F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AD1971"/>
    <w:multiLevelType w:val="multilevel"/>
    <w:tmpl w:val="1FFEDC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7" w:hanging="360"/>
      </w:pPr>
      <w:rPr>
        <w:rFonts w:eastAsia="Calibri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634" w:hanging="720"/>
      </w:pPr>
      <w:rPr>
        <w:rFonts w:eastAsia="Calibri" w:cs="Times New Roman"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911" w:hanging="720"/>
      </w:pPr>
      <w:rPr>
        <w:rFonts w:eastAsia="Calibri" w:cs="Times New Roman"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548" w:hanging="1080"/>
      </w:pPr>
      <w:rPr>
        <w:rFonts w:eastAsia="Calibri" w:cs="Times New Roman"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2825" w:hanging="1080"/>
      </w:pPr>
      <w:rPr>
        <w:rFonts w:eastAsia="Calibri" w:cs="Times New Roman"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102" w:hanging="1080"/>
      </w:pPr>
      <w:rPr>
        <w:rFonts w:eastAsia="Calibri" w:cs="Times New Roman"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739" w:hanging="1440"/>
      </w:pPr>
      <w:rPr>
        <w:rFonts w:eastAsia="Calibri" w:cs="Times New Roman"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016" w:hanging="1440"/>
      </w:pPr>
      <w:rPr>
        <w:rFonts w:eastAsia="Calibri" w:cs="Times New Roman" w:hint="default"/>
        <w:b w:val="0"/>
        <w:color w:val="auto"/>
      </w:rPr>
    </w:lvl>
  </w:abstractNum>
  <w:abstractNum w:abstractNumId="4">
    <w:nsid w:val="3DB4696A"/>
    <w:multiLevelType w:val="multilevel"/>
    <w:tmpl w:val="E6BC38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  <w:b w:val="0"/>
      </w:rPr>
    </w:lvl>
  </w:abstractNum>
  <w:abstractNum w:abstractNumId="5">
    <w:nsid w:val="4CD25EB5"/>
    <w:multiLevelType w:val="multilevel"/>
    <w:tmpl w:val="6CF214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072" w:hanging="1440"/>
      </w:pPr>
      <w:rPr>
        <w:rFonts w:hint="default"/>
        <w:b w:val="0"/>
      </w:rPr>
    </w:lvl>
  </w:abstractNum>
  <w:abstractNum w:abstractNumId="6">
    <w:nsid w:val="566103BB"/>
    <w:multiLevelType w:val="multilevel"/>
    <w:tmpl w:val="55B099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>
    <w:nsid w:val="5ABD5850"/>
    <w:multiLevelType w:val="multilevel"/>
    <w:tmpl w:val="7C1A90F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026293"/>
    <w:multiLevelType w:val="multilevel"/>
    <w:tmpl w:val="68E69F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F603E6A"/>
    <w:multiLevelType w:val="multilevel"/>
    <w:tmpl w:val="82603E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1E31207"/>
    <w:multiLevelType w:val="multilevel"/>
    <w:tmpl w:val="474A2D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2AC1F19"/>
    <w:multiLevelType w:val="hybridMultilevel"/>
    <w:tmpl w:val="BFF0EB5C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3C83D95"/>
    <w:multiLevelType w:val="multilevel"/>
    <w:tmpl w:val="9C7A72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3">
    <w:nsid w:val="6A993FF2"/>
    <w:multiLevelType w:val="multilevel"/>
    <w:tmpl w:val="EFB6E3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5F4394"/>
    <w:multiLevelType w:val="multilevel"/>
    <w:tmpl w:val="937C8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4B044C"/>
    <w:multiLevelType w:val="multilevel"/>
    <w:tmpl w:val="2760DF3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14"/>
  </w:num>
  <w:num w:numId="9">
    <w:abstractNumId w:val="12"/>
  </w:num>
  <w:num w:numId="10">
    <w:abstractNumId w:val="10"/>
  </w:num>
  <w:num w:numId="11">
    <w:abstractNumId w:val="8"/>
    <w:lvlOverride w:ilvl="0">
      <w:lvl w:ilvl="0">
        <w:numFmt w:val="decimal"/>
        <w:lvlText w:val="%1."/>
        <w:lvlJc w:val="left"/>
      </w:lvl>
    </w:lvlOverride>
  </w:num>
  <w:num w:numId="12">
    <w:abstractNumId w:val="13"/>
    <w:lvlOverride w:ilvl="0">
      <w:lvl w:ilvl="0">
        <w:numFmt w:val="decimal"/>
        <w:lvlText w:val="%1."/>
        <w:lvlJc w:val="left"/>
      </w:lvl>
    </w:lvlOverride>
  </w:num>
  <w:num w:numId="13">
    <w:abstractNumId w:val="15"/>
    <w:lvlOverride w:ilvl="0">
      <w:lvl w:ilvl="0">
        <w:numFmt w:val="decimal"/>
        <w:lvlText w:val="%1."/>
        <w:lvlJc w:val="left"/>
      </w:lvl>
    </w:lvlOverride>
  </w:num>
  <w:num w:numId="14">
    <w:abstractNumId w:val="0"/>
    <w:lvlOverride w:ilvl="0">
      <w:lvl w:ilvl="0">
        <w:numFmt w:val="decimal"/>
        <w:lvlText w:val="%1."/>
        <w:lvlJc w:val="left"/>
      </w:lvl>
    </w:lvlOverride>
  </w:num>
  <w:num w:numId="15">
    <w:abstractNumId w:val="7"/>
    <w:lvlOverride w:ilvl="0">
      <w:lvl w:ilvl="0">
        <w:numFmt w:val="decimal"/>
        <w:lvlText w:val="%1."/>
        <w:lvlJc w:val="left"/>
      </w:lvl>
    </w:lvlOverride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6B2"/>
    <w:rsid w:val="000C6B07"/>
    <w:rsid w:val="0014792D"/>
    <w:rsid w:val="001F54AF"/>
    <w:rsid w:val="0022229C"/>
    <w:rsid w:val="00444BCC"/>
    <w:rsid w:val="005E70C1"/>
    <w:rsid w:val="00F3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16B2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sw tekst,CW_Lista,zwykły tekst,List Paragraph1,BulletC,normalny tekst,Obiekt,Odstavec,Punktowanie,List Paragraph,Podsis rysunku,L1,Numerowanie,Normalny PDST,lp1,Preambuła,HŁ_Bullet1,Akapit z listą BS,Bullets,bez formatowania"/>
    <w:basedOn w:val="Normalny"/>
    <w:link w:val="AkapitzlistZnak"/>
    <w:uiPriority w:val="34"/>
    <w:qFormat/>
    <w:rsid w:val="00F316B2"/>
    <w:pPr>
      <w:ind w:left="720"/>
      <w:contextualSpacing/>
    </w:pPr>
  </w:style>
  <w:style w:type="character" w:customStyle="1" w:styleId="AkapitzlistZnak">
    <w:name w:val="Akapit z listą Znak"/>
    <w:aliases w:val="wypunktowanie Znak,sw tekst Znak,CW_Lista Znak,zwykły tekst Znak,List Paragraph1 Znak,BulletC Znak,normalny tekst Znak,Obiekt Znak,Odstavec Znak,Punktowanie Znak,List Paragraph Znak,Podsis rysunku Znak,L1 Znak,Numerowanie Znak"/>
    <w:link w:val="Akapitzlist"/>
    <w:uiPriority w:val="34"/>
    <w:qFormat/>
    <w:locked/>
    <w:rsid w:val="00F316B2"/>
    <w:rPr>
      <w:rFonts w:ascii="Times New Roman" w:eastAsia="Times New Roman" w:hAnsi="Times New Roman" w:cs="Times New Roman"/>
      <w:lang w:eastAsia="zh-CN"/>
    </w:rPr>
  </w:style>
  <w:style w:type="table" w:customStyle="1" w:styleId="Tabela-Siatka16">
    <w:name w:val="Tabela - Siatka16"/>
    <w:basedOn w:val="Standardowy"/>
    <w:next w:val="Tabela-Siatka"/>
    <w:uiPriority w:val="59"/>
    <w:unhideWhenUsed/>
    <w:rsid w:val="00F316B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F31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16B2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sw tekst,CW_Lista,zwykły tekst,List Paragraph1,BulletC,normalny tekst,Obiekt,Odstavec,Punktowanie,List Paragraph,Podsis rysunku,L1,Numerowanie,Normalny PDST,lp1,Preambuła,HŁ_Bullet1,Akapit z listą BS,Bullets,bez formatowania"/>
    <w:basedOn w:val="Normalny"/>
    <w:link w:val="AkapitzlistZnak"/>
    <w:uiPriority w:val="34"/>
    <w:qFormat/>
    <w:rsid w:val="00F316B2"/>
    <w:pPr>
      <w:ind w:left="720"/>
      <w:contextualSpacing/>
    </w:pPr>
  </w:style>
  <w:style w:type="character" w:customStyle="1" w:styleId="AkapitzlistZnak">
    <w:name w:val="Akapit z listą Znak"/>
    <w:aliases w:val="wypunktowanie Znak,sw tekst Znak,CW_Lista Znak,zwykły tekst Znak,List Paragraph1 Znak,BulletC Znak,normalny tekst Znak,Obiekt Znak,Odstavec Znak,Punktowanie Znak,List Paragraph Znak,Podsis rysunku Znak,L1 Znak,Numerowanie Znak"/>
    <w:link w:val="Akapitzlist"/>
    <w:uiPriority w:val="34"/>
    <w:qFormat/>
    <w:locked/>
    <w:rsid w:val="00F316B2"/>
    <w:rPr>
      <w:rFonts w:ascii="Times New Roman" w:eastAsia="Times New Roman" w:hAnsi="Times New Roman" w:cs="Times New Roman"/>
      <w:lang w:eastAsia="zh-CN"/>
    </w:rPr>
  </w:style>
  <w:style w:type="table" w:customStyle="1" w:styleId="Tabela-Siatka16">
    <w:name w:val="Tabela - Siatka16"/>
    <w:basedOn w:val="Standardowy"/>
    <w:next w:val="Tabela-Siatka"/>
    <w:uiPriority w:val="59"/>
    <w:unhideWhenUsed/>
    <w:rsid w:val="00F316B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F31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lep.pkn.pl/?a=show&amp;m=product&amp;pid=568376&amp;page=1" TargetMode="External"/><Relationship Id="rId13" Type="http://schemas.openxmlformats.org/officeDocument/2006/relationships/hyperlink" Target="https://sklep.pkn.pl/?a=show&amp;m=product&amp;pid=568886&amp;page=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klep.pkn.pl/?a=show&amp;m=product&amp;pid=568886&amp;page=1" TargetMode="External"/><Relationship Id="rId12" Type="http://schemas.openxmlformats.org/officeDocument/2006/relationships/hyperlink" Target="https://sklep.pkn.pl/?a=show&amp;m=product&amp;pid=568886&amp;page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klep.pkn.pl/?a=show&amp;m=product&amp;pid=568886&amp;page=1" TargetMode="External"/><Relationship Id="rId11" Type="http://schemas.openxmlformats.org/officeDocument/2006/relationships/hyperlink" Target="https://sklep.pkn.pl/?a=show&amp;m=product&amp;pid=568376&amp;page=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klep.pkn.pl/?a=show&amp;m=product&amp;pid=568376&amp;page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klep.pkn.pl/?a=show&amp;m=product&amp;pid=568376&amp;page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2932</Words>
  <Characters>17597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Sierek</dc:creator>
  <cp:lastModifiedBy>Gabriela Dymek</cp:lastModifiedBy>
  <cp:revision>2</cp:revision>
  <dcterms:created xsi:type="dcterms:W3CDTF">2024-11-12T07:06:00Z</dcterms:created>
  <dcterms:modified xsi:type="dcterms:W3CDTF">2024-11-12T07:06:00Z</dcterms:modified>
</cp:coreProperties>
</file>