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KW- 14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/ZP/2024 na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>„Zakup wraz z dostawą, wniesieniem i montażem depozytor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>a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 xml:space="preserve"> kluczy dla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>KMP Jaworzno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>„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z dnia 13 kwietnia 2022 r. o szczególnych rozwiązaniach 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 o przeciwdziałaniu”.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LibreOffice/7.6.2.1$Windows_X86_64 LibreOffice_project/56f7684011345957bbf33a7ee678afaf4d2ba333</Application>
  <AppVersion>15.0000</AppVersion>
  <Pages>1</Pages>
  <Words>456</Words>
  <Characters>2610</Characters>
  <CharactersWithSpaces>3134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2024-10-31T11:05:25Z</dcterms:modified>
  <cp:revision>100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