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KW- 143/ZP/2024 na </w:t>
      </w:r>
      <w:r>
        <w:rPr>
          <w:rFonts w:cs="Times New Roman" w:ascii="Brygada 1918" w:hAnsi="Brygada 1918"/>
          <w:b/>
          <w:bCs/>
          <w:i w:val="false"/>
          <w:iCs w:val="false"/>
          <w:color w:val="000000"/>
          <w:sz w:val="18"/>
          <w:szCs w:val="18"/>
        </w:rPr>
        <w:t>„Zakup wraz z dostawą, wniesieniem i montażem depozytorów kluczy dla KWP w Katowicach„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LibreOffice/7.6.2.1$Windows_X86_64 LibreOffice_project/56f7684011345957bbf33a7ee678afaf4d2ba333</Application>
  <AppVersion>15.0000</AppVersion>
  <Pages>1</Pages>
  <Words>457</Words>
  <Characters>2614</Characters>
  <CharactersWithSpaces>3139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2024-10-31T11:04:38Z</dcterms:modified>
  <cp:revision>99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