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CA6" w:rsidRDefault="00550CA6" w:rsidP="00B666BE">
      <w:pPr>
        <w:pStyle w:val="Akapitzlist"/>
        <w:spacing w:line="360" w:lineRule="auto"/>
        <w:ind w:left="0"/>
        <w:contextualSpacing/>
        <w:jc w:val="right"/>
        <w:rPr>
          <w:rFonts w:asciiTheme="minorHAnsi" w:eastAsiaTheme="minorEastAsia" w:hAnsiTheme="minorHAnsi" w:cstheme="minorHAnsi"/>
          <w:b/>
          <w:noProof/>
        </w:rPr>
      </w:pPr>
      <w:r w:rsidRPr="00F17DF9">
        <w:rPr>
          <w:rFonts w:asciiTheme="minorHAnsi" w:eastAsiaTheme="minorEastAsia" w:hAnsiTheme="minorHAnsi" w:cstheme="minorHAnsi"/>
          <w:b/>
          <w:noProof/>
        </w:rPr>
        <w:t xml:space="preserve">Załącznik nr </w:t>
      </w:r>
      <w:r w:rsidR="000B75E9">
        <w:rPr>
          <w:rFonts w:asciiTheme="minorHAnsi" w:eastAsiaTheme="minorEastAsia" w:hAnsiTheme="minorHAnsi" w:cstheme="minorHAnsi"/>
          <w:b/>
          <w:noProof/>
        </w:rPr>
        <w:t>2</w:t>
      </w:r>
    </w:p>
    <w:p w:rsidR="00B666BE" w:rsidRPr="00F17DF9" w:rsidRDefault="00B666BE" w:rsidP="00B666BE">
      <w:pPr>
        <w:pStyle w:val="Akapitzlist"/>
        <w:spacing w:line="360" w:lineRule="auto"/>
        <w:ind w:left="0"/>
        <w:contextualSpacing/>
        <w:jc w:val="right"/>
        <w:rPr>
          <w:rFonts w:asciiTheme="minorHAnsi" w:eastAsiaTheme="minorEastAsia" w:hAnsiTheme="minorHAnsi" w:cstheme="minorHAnsi"/>
          <w:b/>
          <w:noProof/>
        </w:rPr>
      </w:pPr>
    </w:p>
    <w:p w:rsidR="00550CA6" w:rsidRPr="00F17DF9" w:rsidRDefault="00550CA6" w:rsidP="00B666BE">
      <w:pPr>
        <w:pStyle w:val="Akapitzlist"/>
        <w:spacing w:line="360" w:lineRule="auto"/>
        <w:ind w:left="0"/>
        <w:contextualSpacing/>
        <w:jc w:val="center"/>
        <w:rPr>
          <w:rFonts w:asciiTheme="minorHAnsi" w:eastAsiaTheme="minorEastAsia" w:hAnsiTheme="minorHAnsi" w:cstheme="minorHAnsi"/>
          <w:b/>
          <w:noProof/>
        </w:rPr>
      </w:pPr>
      <w:r w:rsidRPr="00F17DF9">
        <w:rPr>
          <w:rFonts w:asciiTheme="minorHAnsi" w:eastAsiaTheme="minorEastAsia" w:hAnsiTheme="minorHAnsi" w:cstheme="minorHAnsi"/>
          <w:b/>
          <w:noProof/>
        </w:rPr>
        <w:t>Rozmiar środowiska informatycznego (produkcyjne) Zamawiającego.</w:t>
      </w:r>
    </w:p>
    <w:p w:rsidR="00550CA6" w:rsidRPr="00F17DF9" w:rsidRDefault="00550CA6" w:rsidP="00550CA6">
      <w:pPr>
        <w:pStyle w:val="Akapitzlist"/>
        <w:spacing w:line="360" w:lineRule="auto"/>
        <w:rPr>
          <w:rFonts w:asciiTheme="minorHAnsi" w:hAnsiTheme="minorHAnsi" w:cstheme="minorHAnsi"/>
          <w:color w:val="FF0000"/>
        </w:rPr>
      </w:pP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402"/>
        <w:gridCol w:w="3560"/>
      </w:tblGrid>
      <w:tr w:rsidR="00550CA6" w:rsidRPr="00F17DF9" w:rsidTr="00A95FE0">
        <w:trPr>
          <w:trHeight w:val="227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  <w:b/>
                <w:bCs/>
              </w:rPr>
            </w:pPr>
            <w:r w:rsidRPr="00F17DF9">
              <w:rPr>
                <w:rFonts w:cstheme="minorHAnsi"/>
                <w:b/>
                <w:bCs/>
              </w:rPr>
              <w:t>Obszar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  <w:b/>
                <w:bCs/>
              </w:rPr>
            </w:pPr>
            <w:r w:rsidRPr="00F17DF9">
              <w:rPr>
                <w:rFonts w:cstheme="minorHAnsi"/>
                <w:b/>
                <w:bCs/>
              </w:rPr>
              <w:t>Wolumen</w:t>
            </w:r>
          </w:p>
        </w:tc>
        <w:tc>
          <w:tcPr>
            <w:tcW w:w="3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  <w:b/>
                <w:bCs/>
              </w:rPr>
            </w:pPr>
            <w:r w:rsidRPr="00F17DF9">
              <w:rPr>
                <w:rFonts w:cstheme="minorHAnsi"/>
                <w:b/>
                <w:bCs/>
              </w:rPr>
              <w:t>Uwagi</w:t>
            </w:r>
          </w:p>
        </w:tc>
      </w:tr>
      <w:tr w:rsidR="00550CA6" w:rsidRPr="00F17DF9" w:rsidTr="00A95FE0">
        <w:trPr>
          <w:trHeight w:val="227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Elementy aktywne sieci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  <w:color w:val="1F497D"/>
              </w:rPr>
              <w:t>3</w:t>
            </w:r>
            <w:r w:rsidRPr="00F17DF9">
              <w:rPr>
                <w:rFonts w:cstheme="minorHAnsi"/>
              </w:rPr>
              <w:t>00+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Wykorzystywane marki urządzeń sieciowych: Cisco, Alcatel, Mi</w:t>
            </w:r>
            <w:r w:rsidRPr="00F17DF9">
              <w:rPr>
                <w:rFonts w:cstheme="minorHAnsi"/>
                <w:color w:val="1F497D"/>
              </w:rPr>
              <w:t>k</w:t>
            </w:r>
            <w:r w:rsidRPr="00F17DF9">
              <w:rPr>
                <w:rFonts w:cstheme="minorHAnsi"/>
              </w:rPr>
              <w:t>roti</w:t>
            </w:r>
            <w:r w:rsidRPr="00F17DF9">
              <w:rPr>
                <w:rFonts w:cstheme="minorHAnsi"/>
                <w:color w:val="1F497D"/>
              </w:rPr>
              <w:t>k</w:t>
            </w:r>
            <w:r w:rsidRPr="00F17DF9">
              <w:rPr>
                <w:rFonts w:cstheme="minorHAnsi"/>
              </w:rPr>
              <w:t>, Dell, Fortinet</w:t>
            </w:r>
            <w:r w:rsidRPr="00F17DF9">
              <w:rPr>
                <w:rFonts w:cstheme="minorHAnsi"/>
                <w:color w:val="1F497D"/>
              </w:rPr>
              <w:t xml:space="preserve">, </w:t>
            </w:r>
          </w:p>
        </w:tc>
      </w:tr>
      <w:tr w:rsidR="00550CA6" w:rsidRPr="00F17DF9" w:rsidTr="00A95FE0">
        <w:trPr>
          <w:trHeight w:val="227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Serwery wirtualne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Microsoft – 200+</w:t>
            </w:r>
          </w:p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Linux/Unix/Solaris – 50+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</w:p>
        </w:tc>
      </w:tr>
      <w:tr w:rsidR="00550CA6" w:rsidRPr="00F17DF9" w:rsidTr="00A95FE0">
        <w:trPr>
          <w:trHeight w:val="227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Serwery fizyczne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~75-100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</w:p>
        </w:tc>
      </w:tr>
      <w:tr w:rsidR="00550CA6" w:rsidRPr="00F17DF9" w:rsidTr="00A95FE0">
        <w:trPr>
          <w:trHeight w:val="227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Stacje robocze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Stacje klienckie – 1600+</w:t>
            </w:r>
          </w:p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Thin clients – 300+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w tym thin clients</w:t>
            </w:r>
          </w:p>
        </w:tc>
      </w:tr>
      <w:tr w:rsidR="00550CA6" w:rsidRPr="00F17DF9" w:rsidTr="00A95FE0">
        <w:trPr>
          <w:trHeight w:val="227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Liczba lokalizacji spiętych MPLS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~30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Oddziały i Komory Przeładunkowe.</w:t>
            </w:r>
          </w:p>
        </w:tc>
      </w:tr>
      <w:tr w:rsidR="00550CA6" w:rsidRPr="00F17DF9" w:rsidTr="00A95FE0">
        <w:trPr>
          <w:trHeight w:val="227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Ilość zdarzeń rejestrowanych dziennie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Średnio około 30  GB/dziennie,  szczytowo ponad 48 GB dziennie.</w:t>
            </w:r>
          </w:p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  <w:color w:val="FF0000"/>
              </w:rPr>
            </w:pPr>
          </w:p>
        </w:tc>
      </w:tr>
      <w:tr w:rsidR="00550CA6" w:rsidRPr="00F17DF9" w:rsidTr="00A95FE0">
        <w:trPr>
          <w:trHeight w:val="227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Liczba źródeł do SIEM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Około 400 źródeł dla około 40 indeksów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CA6" w:rsidRPr="00F17DF9" w:rsidRDefault="00550CA6" w:rsidP="00A95FE0">
            <w:pPr>
              <w:pStyle w:val="Nagwek"/>
              <w:spacing w:line="360" w:lineRule="auto"/>
              <w:rPr>
                <w:rFonts w:cstheme="minorHAnsi"/>
              </w:rPr>
            </w:pPr>
            <w:r w:rsidRPr="00F17DF9">
              <w:rPr>
                <w:rFonts w:cstheme="minorHAnsi"/>
              </w:rPr>
              <w:t>Jeśli chodzi o indexy, co do metod to syslog i forwarder</w:t>
            </w:r>
          </w:p>
        </w:tc>
      </w:tr>
    </w:tbl>
    <w:p w:rsidR="00550CA6" w:rsidRPr="00F17DF9" w:rsidRDefault="00550CA6" w:rsidP="00550CA6">
      <w:pPr>
        <w:spacing w:line="240" w:lineRule="auto"/>
        <w:jc w:val="both"/>
        <w:rPr>
          <w:rFonts w:cstheme="minorHAnsi"/>
          <w:color w:val="000000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color w:val="000000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color w:val="000000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color w:val="000000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color w:val="000000"/>
          <w:szCs w:val="24"/>
        </w:rPr>
      </w:pPr>
    </w:p>
    <w:p w:rsidR="00EE690B" w:rsidRDefault="00EE690B">
      <w:pPr>
        <w:rPr>
          <w:rFonts w:cstheme="minorHAnsi"/>
          <w:b/>
          <w:color w:val="000000"/>
          <w:szCs w:val="24"/>
        </w:rPr>
      </w:pPr>
      <w:r>
        <w:rPr>
          <w:rFonts w:cstheme="minorHAnsi"/>
          <w:b/>
          <w:color w:val="000000"/>
          <w:szCs w:val="24"/>
        </w:rPr>
        <w:br w:type="page"/>
      </w:r>
    </w:p>
    <w:p w:rsidR="00550CA6" w:rsidRPr="00F17DF9" w:rsidRDefault="00550CA6" w:rsidP="00B666BE">
      <w:pPr>
        <w:spacing w:line="240" w:lineRule="auto"/>
        <w:jc w:val="right"/>
        <w:rPr>
          <w:rFonts w:cstheme="minorHAnsi"/>
          <w:b/>
          <w:color w:val="000000"/>
          <w:szCs w:val="24"/>
        </w:rPr>
      </w:pPr>
      <w:r w:rsidRPr="00F17DF9">
        <w:rPr>
          <w:rFonts w:cstheme="minorHAnsi"/>
          <w:b/>
          <w:color w:val="000000"/>
          <w:szCs w:val="24"/>
        </w:rPr>
        <w:lastRenderedPageBreak/>
        <w:t xml:space="preserve">Załącznik nr </w:t>
      </w:r>
      <w:r w:rsidR="00481CA5">
        <w:rPr>
          <w:rFonts w:cstheme="minorHAnsi"/>
          <w:b/>
          <w:color w:val="000000"/>
          <w:szCs w:val="24"/>
        </w:rPr>
        <w:t>3</w:t>
      </w:r>
    </w:p>
    <w:p w:rsidR="00B666BE" w:rsidRDefault="00B666BE" w:rsidP="00B666BE">
      <w:pPr>
        <w:spacing w:line="240" w:lineRule="auto"/>
        <w:jc w:val="center"/>
        <w:rPr>
          <w:rFonts w:cstheme="minorHAnsi"/>
          <w:b/>
          <w:sz w:val="20"/>
        </w:rPr>
      </w:pPr>
    </w:p>
    <w:p w:rsidR="00550CA6" w:rsidRDefault="00550CA6" w:rsidP="00B666BE">
      <w:pPr>
        <w:spacing w:line="240" w:lineRule="auto"/>
        <w:jc w:val="center"/>
        <w:rPr>
          <w:rFonts w:cstheme="minorHAnsi"/>
          <w:b/>
          <w:sz w:val="20"/>
        </w:rPr>
      </w:pPr>
      <w:r w:rsidRPr="00EE690B">
        <w:rPr>
          <w:rFonts w:cstheme="minorHAnsi"/>
          <w:b/>
          <w:sz w:val="20"/>
        </w:rPr>
        <w:t>Oświadczenie  spełnienia wymagań dla podmiotu świadczącego usługi w zakresie bezpieczeństwa wynikające z Ustawy z dnia 5 lipca 2018r.  o krajowym systemie cyberbezpieczeństwa oraz Rozporządzenia z dnia 04 grudnia 2019 w sprawie warunków organizacyjnych i technicznych dla podmiotów świadczących usługi z zakresu cyberbezpieczeństwa oraz wewnętrznych struktur organizacyjnych operatorów usług kluczowych odpowiedzialnych za cyberbezpie</w:t>
      </w:r>
      <w:r w:rsidR="00913ED1">
        <w:rPr>
          <w:rFonts w:cstheme="minorHAnsi"/>
          <w:b/>
          <w:sz w:val="20"/>
        </w:rPr>
        <w:t>cze</w:t>
      </w:r>
      <w:r w:rsidRPr="00EE690B">
        <w:rPr>
          <w:rFonts w:cstheme="minorHAnsi"/>
          <w:b/>
          <w:sz w:val="20"/>
        </w:rPr>
        <w:t>ństwo.</w:t>
      </w:r>
    </w:p>
    <w:p w:rsidR="00B666BE" w:rsidRDefault="00B666BE" w:rsidP="00550CA6">
      <w:pPr>
        <w:spacing w:line="240" w:lineRule="auto"/>
        <w:jc w:val="both"/>
        <w:rPr>
          <w:rFonts w:cstheme="minorHAnsi"/>
          <w:b/>
          <w:sz w:val="20"/>
        </w:rPr>
      </w:pPr>
    </w:p>
    <w:p w:rsidR="00B666BE" w:rsidRDefault="00B666BE" w:rsidP="00550CA6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………………………………………………</w:t>
      </w:r>
      <w:bookmarkStart w:id="0" w:name="_GoBack"/>
      <w:bookmarkEnd w:id="0"/>
      <w:r>
        <w:rPr>
          <w:rFonts w:cstheme="minorHAnsi"/>
          <w:b/>
          <w:sz w:val="20"/>
        </w:rPr>
        <w:t>…..</w:t>
      </w:r>
    </w:p>
    <w:p w:rsidR="00B666BE" w:rsidRDefault="00B666BE" w:rsidP="00550CA6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……………………………………………………</w:t>
      </w:r>
    </w:p>
    <w:p w:rsidR="00B666BE" w:rsidRDefault="00B666BE" w:rsidP="00550CA6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(</w:t>
      </w:r>
      <w:r w:rsidR="00913ED1">
        <w:rPr>
          <w:rFonts w:cstheme="minorHAnsi"/>
          <w:b/>
          <w:sz w:val="20"/>
        </w:rPr>
        <w:t>N</w:t>
      </w:r>
      <w:r>
        <w:rPr>
          <w:rFonts w:cstheme="minorHAnsi"/>
          <w:b/>
          <w:sz w:val="20"/>
        </w:rPr>
        <w:t xml:space="preserve">azwa i </w:t>
      </w:r>
      <w:r w:rsidR="00913ED1">
        <w:rPr>
          <w:rFonts w:cstheme="minorHAnsi"/>
          <w:b/>
          <w:sz w:val="20"/>
        </w:rPr>
        <w:t>NIP</w:t>
      </w:r>
      <w:r>
        <w:rPr>
          <w:rFonts w:cstheme="minorHAnsi"/>
          <w:b/>
          <w:sz w:val="20"/>
        </w:rPr>
        <w:t xml:space="preserve"> Oferenta)</w:t>
      </w:r>
    </w:p>
    <w:p w:rsidR="00B666BE" w:rsidRPr="00EE690B" w:rsidRDefault="00B666BE" w:rsidP="00550CA6">
      <w:pPr>
        <w:spacing w:line="240" w:lineRule="auto"/>
        <w:jc w:val="both"/>
        <w:rPr>
          <w:rFonts w:cstheme="minorHAnsi"/>
          <w:b/>
          <w:color w:val="000000"/>
          <w:sz w:val="20"/>
          <w:szCs w:val="24"/>
        </w:rPr>
      </w:pPr>
    </w:p>
    <w:p w:rsidR="00550CA6" w:rsidRPr="00B666BE" w:rsidRDefault="00550CA6" w:rsidP="00550CA6">
      <w:pPr>
        <w:spacing w:line="240" w:lineRule="auto"/>
        <w:jc w:val="both"/>
        <w:rPr>
          <w:rFonts w:cstheme="minorHAnsi"/>
          <w:szCs w:val="24"/>
        </w:rPr>
      </w:pPr>
      <w:r w:rsidRPr="00B666BE">
        <w:rPr>
          <w:rFonts w:cstheme="minorHAnsi"/>
          <w:szCs w:val="24"/>
        </w:rPr>
        <w:t>W związku z prowadzeniem działalności z zakresu usług cyberbezpieczeństwa, niniejszym oświadczamy, że nasze Centrum Operacyjne Bezpieczeństwa (SOC) spełnia wszystkie wymagania określone w ustawie o krajowym systemie cyberbezpieczeństwa z dnia 5 lipca 2018 r. oraz Rozporządzeniu Ministra Cyfryzacji z dnia 4 grudnia 2019 r. w sprawie warunków organizacyjnych i technicznych dla podmiotów świadczących usługi z zakresu cyberbezpieczeństwa oraz wewnętrznych struktur odpowiedzialnych za cyberbezpieczeństwo operatorów usług kluczowych.</w:t>
      </w:r>
    </w:p>
    <w:p w:rsidR="00550CA6" w:rsidRPr="00B666BE" w:rsidRDefault="00550CA6" w:rsidP="00550CA6">
      <w:pPr>
        <w:spacing w:line="240" w:lineRule="auto"/>
        <w:jc w:val="both"/>
        <w:rPr>
          <w:rFonts w:cstheme="minorHAnsi"/>
          <w:szCs w:val="24"/>
        </w:rPr>
      </w:pPr>
      <w:r w:rsidRPr="00B666BE">
        <w:rPr>
          <w:rFonts w:cstheme="minorHAnsi"/>
          <w:szCs w:val="24"/>
        </w:rPr>
        <w:t>Nasze SOC spełnia następujące wymogi prawne:</w:t>
      </w:r>
    </w:p>
    <w:p w:rsidR="00550CA6" w:rsidRPr="00B666BE" w:rsidRDefault="00550CA6" w:rsidP="008B7B70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Zarządzanie bezpieczeństwem informacji: Wdrożyliśmy i aktualizujemy system zarządzania bezpieczeństwem informacji zgodny z normą ISO/IEC 27001, obejmujący co najmniej świadczone przez nas usługi.</w:t>
      </w:r>
    </w:p>
    <w:p w:rsidR="00550CA6" w:rsidRPr="00B666BE" w:rsidRDefault="00550CA6" w:rsidP="008B7B70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Zapewnienie ciągłości działania: Zapewniamy ciągłość działania oraz wsparcie operatorom usług kluczowych w zakresie obsługi incydentów z czasem reakcji adekwatnym do charakteru świadczonych usług.</w:t>
      </w:r>
    </w:p>
    <w:p w:rsidR="00550CA6" w:rsidRPr="00B666BE" w:rsidRDefault="00550CA6" w:rsidP="008B7B70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Polityka działania zgodna z RFC 2350: Posiadamy i udostępniamy w języku polskim i angielskim deklarację polityki działania w zakresie zgodnym z dokumentem RFC 2350, zgodnie z zaleceniami Internet Engineering Task Force (IETF).</w:t>
      </w:r>
    </w:p>
    <w:p w:rsidR="00550CA6" w:rsidRPr="00B666BE" w:rsidRDefault="00550CA6" w:rsidP="008B7B70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 xml:space="preserve">Personel z odpowiednimi kwalifikacjami: </w:t>
      </w:r>
    </w:p>
    <w:p w:rsidR="00550CA6" w:rsidRPr="00B666BE" w:rsidRDefault="00550CA6" w:rsidP="008B7B70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Nasz personel posiada wymagane umiejętności w zakresie:</w:t>
      </w:r>
    </w:p>
    <w:p w:rsidR="00550CA6" w:rsidRPr="00B666BE" w:rsidRDefault="00550CA6" w:rsidP="008B7B70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Identyfikacji zagrożeń w systemach informacyjnych operatorów usług kluczowych,</w:t>
      </w:r>
    </w:p>
    <w:p w:rsidR="00550CA6" w:rsidRPr="00B666BE" w:rsidRDefault="00550CA6" w:rsidP="008B7B70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Analizy szkodliwego oprogramowania i jego wpływu na systemy,</w:t>
      </w:r>
    </w:p>
    <w:p w:rsidR="00550CA6" w:rsidRPr="00B666BE" w:rsidRDefault="00550CA6" w:rsidP="008B7B70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Wykrywania przełamań lub ominięcia zabezpieczeń oraz prowadzenia analizy powłamaniowej,</w:t>
      </w:r>
    </w:p>
    <w:p w:rsidR="00550CA6" w:rsidRPr="00B666BE" w:rsidRDefault="00550CA6" w:rsidP="008B7B70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Zabezpieczania dowodów powłamaniowych i analizowania skutków incydentów.</w:t>
      </w:r>
    </w:p>
    <w:p w:rsidR="00550CA6" w:rsidRPr="00B666BE" w:rsidRDefault="00550CA6" w:rsidP="008B7B70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Zabezpieczenia fizyczne:</w:t>
      </w:r>
    </w:p>
    <w:p w:rsidR="00550CA6" w:rsidRPr="00B666BE" w:rsidRDefault="00550CA6" w:rsidP="00550CA6">
      <w:pPr>
        <w:spacing w:line="240" w:lineRule="auto"/>
        <w:jc w:val="both"/>
        <w:rPr>
          <w:rFonts w:cstheme="minorHAnsi"/>
          <w:szCs w:val="24"/>
        </w:rPr>
      </w:pPr>
      <w:r w:rsidRPr="00B666BE">
        <w:rPr>
          <w:rFonts w:cstheme="minorHAnsi"/>
          <w:szCs w:val="24"/>
        </w:rPr>
        <w:t>Przeprowadziliśmy analizę ryzyka oraz wdrożyliśmy odpowiednie środki techniczne i fizyczne, obejmujące:</w:t>
      </w:r>
    </w:p>
    <w:p w:rsidR="00550CA6" w:rsidRPr="00B666BE" w:rsidRDefault="00550CA6" w:rsidP="008B7B70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Zabezpieczenie pomieszczeń wykorzystywanych do świadczenia usług SOC,</w:t>
      </w:r>
    </w:p>
    <w:p w:rsidR="00550CA6" w:rsidRPr="00B666BE" w:rsidRDefault="00550CA6" w:rsidP="008B7B70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Systemy kontroli dostępu, sygnalizacji pożarowej oraz alarmy chroniące przed nieuprawnionym dostępem.</w:t>
      </w:r>
    </w:p>
    <w:p w:rsidR="00550CA6" w:rsidRPr="00B666BE" w:rsidRDefault="00550CA6" w:rsidP="008B7B70">
      <w:pPr>
        <w:pStyle w:val="Akapitzlist"/>
        <w:numPr>
          <w:ilvl w:val="2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Sprzęt i narzędzia techniczne:</w:t>
      </w:r>
    </w:p>
    <w:p w:rsidR="00550CA6" w:rsidRPr="00B666BE" w:rsidRDefault="00550CA6" w:rsidP="008B7B70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lastRenderedPageBreak/>
        <w:t>Dysponujemy odpowiednim sprzętem komputerowym oraz narzędziami informatycznymi, umożliwiającymi rejestrację incydentów, analizę szkodliwego oprogramowania oraz badanie odporności systemów informacyjnych na zagrożenia.</w:t>
      </w:r>
    </w:p>
    <w:p w:rsidR="00550CA6" w:rsidRPr="00B666BE" w:rsidRDefault="00550CA6" w:rsidP="008B7B70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B666BE">
        <w:rPr>
          <w:rFonts w:asciiTheme="minorHAnsi" w:hAnsiTheme="minorHAnsi" w:cstheme="minorHAnsi"/>
          <w:szCs w:val="24"/>
        </w:rPr>
        <w:t>Zobowiązujemy się do dalszego przestrzegania przepisów prawnych oraz utrzymania zgodności operacyjnej i technicznej z wymogami wynikającymi z ustawy oraz rozporządzenia, oraz z wprowadzanych zmian aby zapewniać najwyższy poziom bezpieczeństwa naszym klientom.</w:t>
      </w:r>
    </w:p>
    <w:p w:rsidR="00B666BE" w:rsidRDefault="00B666BE" w:rsidP="00550CA6">
      <w:pPr>
        <w:spacing w:line="240" w:lineRule="auto"/>
        <w:jc w:val="both"/>
        <w:rPr>
          <w:rStyle w:val="Pogrubienie"/>
          <w:rFonts w:cstheme="minorHAnsi"/>
        </w:rPr>
      </w:pPr>
    </w:p>
    <w:p w:rsidR="00550CA6" w:rsidRPr="00F17DF9" w:rsidRDefault="00550CA6" w:rsidP="00550CA6">
      <w:pPr>
        <w:spacing w:line="240" w:lineRule="auto"/>
        <w:jc w:val="both"/>
        <w:rPr>
          <w:rStyle w:val="Pogrubienie"/>
          <w:rFonts w:cstheme="minorHAnsi"/>
        </w:rPr>
      </w:pPr>
      <w:r w:rsidRPr="00F17DF9">
        <w:rPr>
          <w:rStyle w:val="Pogrubienie"/>
          <w:rFonts w:cstheme="minorHAnsi"/>
        </w:rPr>
        <w:t>Data:</w:t>
      </w:r>
      <w:r w:rsidRPr="00F17DF9">
        <w:rPr>
          <w:rFonts w:cstheme="minorHAnsi"/>
        </w:rPr>
        <w:br/>
      </w:r>
      <w:r w:rsidRPr="00F17DF9">
        <w:rPr>
          <w:rStyle w:val="Pogrubienie"/>
          <w:rFonts w:cstheme="minorHAnsi"/>
        </w:rPr>
        <w:t>Podpis osoby odpowiedzialnej:</w:t>
      </w: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EE690B" w:rsidRDefault="00EE690B">
      <w:pPr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br w:type="page"/>
      </w:r>
    </w:p>
    <w:p w:rsidR="00550CA6" w:rsidRPr="00F17DF9" w:rsidRDefault="00550CA6" w:rsidP="00B666BE">
      <w:pPr>
        <w:spacing w:line="240" w:lineRule="auto"/>
        <w:jc w:val="right"/>
        <w:rPr>
          <w:rFonts w:cstheme="minorHAnsi"/>
          <w:b/>
          <w:szCs w:val="24"/>
        </w:rPr>
      </w:pPr>
      <w:r w:rsidRPr="00F17DF9">
        <w:rPr>
          <w:rFonts w:cstheme="minorHAnsi"/>
          <w:b/>
          <w:szCs w:val="24"/>
        </w:rPr>
        <w:lastRenderedPageBreak/>
        <w:t xml:space="preserve">Załącznik nr </w:t>
      </w:r>
      <w:r w:rsidR="00481CA5">
        <w:rPr>
          <w:rFonts w:cstheme="minorHAnsi"/>
          <w:b/>
          <w:szCs w:val="24"/>
        </w:rPr>
        <w:t>4</w:t>
      </w:r>
    </w:p>
    <w:p w:rsidR="00EE690B" w:rsidRDefault="00EE690B" w:rsidP="00550CA6">
      <w:pPr>
        <w:spacing w:line="360" w:lineRule="auto"/>
        <w:jc w:val="both"/>
        <w:rPr>
          <w:rFonts w:cstheme="minorHAnsi"/>
          <w:b/>
        </w:rPr>
      </w:pPr>
    </w:p>
    <w:p w:rsidR="00550CA6" w:rsidRPr="00F17DF9" w:rsidRDefault="00550CA6" w:rsidP="00B666BE">
      <w:pPr>
        <w:spacing w:line="360" w:lineRule="auto"/>
        <w:jc w:val="center"/>
        <w:rPr>
          <w:rFonts w:cstheme="minorHAnsi"/>
          <w:b/>
        </w:rPr>
      </w:pPr>
      <w:r w:rsidRPr="00F17DF9">
        <w:rPr>
          <w:rFonts w:cstheme="minorHAnsi"/>
          <w:b/>
        </w:rPr>
        <w:t>Potwierdzenie spełnienia warunku – w formie oświadczenia o spełnienia warunku świadczeniu co najmniej 5 pełnowymiarowe usługi SOC  o łącznej wartości minimum 1.500.000,00 zł rocznie.</w:t>
      </w:r>
    </w:p>
    <w:p w:rsidR="00550CA6" w:rsidRDefault="00550CA6" w:rsidP="00550CA6">
      <w:pPr>
        <w:spacing w:line="360" w:lineRule="auto"/>
        <w:jc w:val="both"/>
        <w:rPr>
          <w:rFonts w:cstheme="minorHAnsi"/>
        </w:rPr>
      </w:pPr>
    </w:p>
    <w:p w:rsidR="00B666BE" w:rsidRDefault="00B666BE" w:rsidP="00B666BE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…………………………………………………..</w:t>
      </w:r>
    </w:p>
    <w:p w:rsidR="00B666BE" w:rsidRDefault="00B666BE" w:rsidP="00B666BE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……………………………………………………</w:t>
      </w:r>
    </w:p>
    <w:p w:rsidR="00B666BE" w:rsidRDefault="00B666BE" w:rsidP="00B666BE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(nazwa i nip Oferenta)</w:t>
      </w:r>
    </w:p>
    <w:p w:rsidR="00B666BE" w:rsidRPr="00F17DF9" w:rsidRDefault="00B666BE" w:rsidP="00550CA6">
      <w:pPr>
        <w:spacing w:line="360" w:lineRule="auto"/>
        <w:jc w:val="both"/>
        <w:rPr>
          <w:rFonts w:cstheme="minorHAnsi"/>
        </w:rPr>
      </w:pPr>
    </w:p>
    <w:p w:rsidR="00550CA6" w:rsidRPr="00F17DF9" w:rsidRDefault="00550CA6" w:rsidP="00550CA6">
      <w:pPr>
        <w:spacing w:line="360" w:lineRule="auto"/>
        <w:jc w:val="both"/>
        <w:rPr>
          <w:rFonts w:cstheme="minorHAnsi"/>
        </w:rPr>
      </w:pPr>
      <w:r w:rsidRPr="00F17DF9">
        <w:rPr>
          <w:rFonts w:cstheme="minorHAnsi"/>
        </w:rPr>
        <w:t xml:space="preserve">Niniejszym oświadczamy, że nasza organizacja spełnia warunek świadczenia co najmniej 5 pełnowymiarowych usług SOC (Security Operations Center), których łączna wartość wynosi </w:t>
      </w:r>
      <w:r w:rsidRPr="00F17DF9">
        <w:rPr>
          <w:rStyle w:val="Pogrubienie"/>
          <w:rFonts w:cstheme="minorHAnsi"/>
        </w:rPr>
        <w:t>minimum 1.500.000,00 zł rocznie netto</w:t>
      </w:r>
      <w:r w:rsidRPr="00F17DF9">
        <w:rPr>
          <w:rFonts w:cstheme="minorHAnsi"/>
        </w:rPr>
        <w:t>. Usługi te są realizowane zgodnie z najwyższymi standardami bezpieczeństwa, na rzecz dużych klientów, zapewniając kompleksowe wsparcie w zakresie monitorowania i zarządzania bezpieczeństwem IT.</w:t>
      </w:r>
    </w:p>
    <w:p w:rsidR="00550CA6" w:rsidRPr="00F17DF9" w:rsidRDefault="00550CA6" w:rsidP="00550CA6">
      <w:pPr>
        <w:spacing w:line="360" w:lineRule="auto"/>
        <w:jc w:val="both"/>
        <w:rPr>
          <w:rFonts w:cstheme="minorHAnsi"/>
        </w:rPr>
      </w:pPr>
      <w:r w:rsidRPr="00F17DF9">
        <w:rPr>
          <w:rStyle w:val="Pogrubienie"/>
          <w:rFonts w:cstheme="minorHAnsi"/>
        </w:rPr>
        <w:t>Data:</w:t>
      </w:r>
      <w:r w:rsidRPr="00F17DF9">
        <w:rPr>
          <w:rFonts w:cstheme="minorHAnsi"/>
        </w:rPr>
        <w:br/>
      </w:r>
      <w:r w:rsidRPr="00F17DF9">
        <w:rPr>
          <w:rStyle w:val="Pogrubienie"/>
          <w:rFonts w:cstheme="minorHAnsi"/>
        </w:rPr>
        <w:t>Podpis osoby upoważnionej:</w:t>
      </w: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  <w:szCs w:val="24"/>
        </w:rPr>
      </w:pPr>
    </w:p>
    <w:p w:rsidR="00B666BE" w:rsidRDefault="00B666BE">
      <w:pPr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:rsidR="00550CA6" w:rsidRDefault="00550CA6" w:rsidP="00B666BE">
      <w:pPr>
        <w:spacing w:line="240" w:lineRule="auto"/>
        <w:jc w:val="right"/>
        <w:rPr>
          <w:rFonts w:cstheme="minorHAnsi"/>
          <w:b/>
        </w:rPr>
      </w:pPr>
      <w:r w:rsidRPr="00F17DF9">
        <w:rPr>
          <w:rFonts w:cstheme="minorHAnsi"/>
          <w:b/>
        </w:rPr>
        <w:lastRenderedPageBreak/>
        <w:t xml:space="preserve">Załącznik nr </w:t>
      </w:r>
      <w:r w:rsidR="00481CA5">
        <w:rPr>
          <w:rFonts w:cstheme="minorHAnsi"/>
          <w:b/>
        </w:rPr>
        <w:t>5</w:t>
      </w:r>
    </w:p>
    <w:p w:rsidR="00B666BE" w:rsidRPr="00F17DF9" w:rsidRDefault="00B666BE" w:rsidP="00B666BE">
      <w:pPr>
        <w:spacing w:line="240" w:lineRule="auto"/>
        <w:jc w:val="right"/>
        <w:rPr>
          <w:rFonts w:cstheme="minorHAnsi"/>
          <w:b/>
        </w:rPr>
      </w:pPr>
    </w:p>
    <w:p w:rsidR="00550CA6" w:rsidRDefault="00550CA6" w:rsidP="00B666BE">
      <w:pPr>
        <w:pStyle w:val="Nagwek3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17DF9">
        <w:rPr>
          <w:rFonts w:asciiTheme="minorHAnsi" w:hAnsiTheme="minorHAnsi" w:cstheme="minorHAnsi"/>
          <w:b/>
          <w:color w:val="auto"/>
          <w:sz w:val="22"/>
          <w:szCs w:val="22"/>
        </w:rPr>
        <w:t>Oświadczenie o spełnieniu warunku zatrudnienia analityków bezpieczeństwa</w:t>
      </w:r>
    </w:p>
    <w:p w:rsidR="00B666BE" w:rsidRDefault="00B666BE" w:rsidP="00B666BE"/>
    <w:p w:rsidR="00B666BE" w:rsidRDefault="00B666BE" w:rsidP="00B666BE"/>
    <w:p w:rsidR="00B666BE" w:rsidRDefault="00B666BE" w:rsidP="00B666BE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…………………………………………………..</w:t>
      </w:r>
    </w:p>
    <w:p w:rsidR="00B666BE" w:rsidRDefault="00B666BE" w:rsidP="00B666BE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……………………………………………………</w:t>
      </w:r>
    </w:p>
    <w:p w:rsidR="00B666BE" w:rsidRDefault="00B666BE" w:rsidP="00B666BE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(</w:t>
      </w:r>
      <w:r w:rsidR="00C27537">
        <w:rPr>
          <w:rFonts w:cstheme="minorHAnsi"/>
          <w:b/>
          <w:sz w:val="20"/>
        </w:rPr>
        <w:t>N</w:t>
      </w:r>
      <w:r>
        <w:rPr>
          <w:rFonts w:cstheme="minorHAnsi"/>
          <w:b/>
          <w:sz w:val="20"/>
        </w:rPr>
        <w:t xml:space="preserve">azwa i </w:t>
      </w:r>
      <w:r w:rsidR="00C27537">
        <w:rPr>
          <w:rFonts w:cstheme="minorHAnsi"/>
          <w:b/>
          <w:sz w:val="20"/>
        </w:rPr>
        <w:t>NIP</w:t>
      </w:r>
      <w:r>
        <w:rPr>
          <w:rFonts w:cstheme="minorHAnsi"/>
          <w:b/>
          <w:sz w:val="20"/>
        </w:rPr>
        <w:t xml:space="preserve"> Oferenta)</w:t>
      </w:r>
    </w:p>
    <w:p w:rsidR="00B666BE" w:rsidRPr="00B666BE" w:rsidRDefault="00B666BE" w:rsidP="00B666BE"/>
    <w:p w:rsidR="00550CA6" w:rsidRPr="00F17DF9" w:rsidRDefault="00550CA6" w:rsidP="00550CA6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F17DF9">
        <w:rPr>
          <w:rFonts w:asciiTheme="minorHAnsi" w:hAnsiTheme="minorHAnsi" w:cstheme="minorHAnsi"/>
          <w:sz w:val="22"/>
          <w:szCs w:val="22"/>
        </w:rPr>
        <w:t xml:space="preserve">Niniejszym oświadczamy, że nasza organizacja spełnia warunek zatrudnienia </w:t>
      </w: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>co najmniej 1</w:t>
      </w:r>
      <w:r w:rsidR="00C27537">
        <w:rPr>
          <w:rStyle w:val="Pogrubienie"/>
          <w:rFonts w:asciiTheme="minorHAnsi" w:hAnsiTheme="minorHAnsi" w:cstheme="minorHAnsi"/>
          <w:sz w:val="22"/>
          <w:szCs w:val="22"/>
        </w:rPr>
        <w:t>0</w:t>
      </w: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 xml:space="preserve"> osób</w:t>
      </w:r>
      <w:r w:rsidRPr="00F17DF9">
        <w:rPr>
          <w:rFonts w:asciiTheme="minorHAnsi" w:hAnsiTheme="minorHAnsi" w:cstheme="minorHAnsi"/>
          <w:sz w:val="22"/>
          <w:szCs w:val="22"/>
        </w:rPr>
        <w:t xml:space="preserve"> na stanowiskach analityków bezpieczeństwa I, II oraz III linii wsparcia SOC (Security Operations Center), którzy posiadają specjalistyczną wiedzę i kwalifikacje wymagane do realizacji usług SOC.</w:t>
      </w:r>
    </w:p>
    <w:p w:rsidR="00550CA6" w:rsidRPr="00F17DF9" w:rsidRDefault="00550CA6" w:rsidP="00550CA6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F17DF9">
        <w:rPr>
          <w:rFonts w:asciiTheme="minorHAnsi" w:hAnsiTheme="minorHAnsi" w:cstheme="minorHAnsi"/>
          <w:sz w:val="22"/>
          <w:szCs w:val="22"/>
        </w:rPr>
        <w:t>Oświadczamy, że wszyscy zatrudnieni analitycy spełniają wymogi dotyczące kompetencji oraz posiadają niezbędne certyfikaty wymagane do realizacji swoich obowiązków.</w:t>
      </w:r>
    </w:p>
    <w:p w:rsidR="00550CA6" w:rsidRPr="00F17DF9" w:rsidRDefault="00550CA6" w:rsidP="00550CA6">
      <w:pPr>
        <w:pStyle w:val="Nagwek3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17DF9">
        <w:rPr>
          <w:rFonts w:asciiTheme="minorHAnsi" w:hAnsiTheme="minorHAnsi" w:cstheme="minorHAnsi"/>
          <w:b/>
          <w:color w:val="auto"/>
          <w:sz w:val="22"/>
          <w:szCs w:val="22"/>
        </w:rPr>
        <w:t>Zanonimizowane zestawienie pracowników SOC</w:t>
      </w:r>
    </w:p>
    <w:tbl>
      <w:tblPr>
        <w:tblW w:w="977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2465"/>
        <w:gridCol w:w="4541"/>
        <w:gridCol w:w="2405"/>
      </w:tblGrid>
      <w:tr w:rsidR="00550CA6" w:rsidRPr="00F17DF9" w:rsidTr="00451B2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jc w:val="center"/>
              <w:rPr>
                <w:rFonts w:cstheme="minorHAnsi"/>
                <w:b/>
                <w:bCs/>
              </w:rPr>
            </w:pPr>
            <w:r w:rsidRPr="00F17DF9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jc w:val="center"/>
              <w:rPr>
                <w:rFonts w:cstheme="minorHAnsi"/>
                <w:bCs/>
              </w:rPr>
            </w:pPr>
            <w:r w:rsidRPr="00F17DF9">
              <w:rPr>
                <w:rFonts w:cstheme="minorHAnsi"/>
                <w:bCs/>
              </w:rPr>
              <w:t>Stanowisko, odpowiedzialność, linia wsparcia (I, II, III)</w:t>
            </w:r>
          </w:p>
          <w:p w:rsidR="00550CA6" w:rsidRPr="00F17DF9" w:rsidRDefault="00550CA6" w:rsidP="00A95FE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jc w:val="center"/>
              <w:rPr>
                <w:rFonts w:cstheme="minorHAnsi"/>
                <w:bCs/>
              </w:rPr>
            </w:pPr>
            <w:r w:rsidRPr="00F17DF9">
              <w:rPr>
                <w:rFonts w:cstheme="minorHAnsi"/>
                <w:bCs/>
              </w:rPr>
              <w:t>Doświadczenie zawodowe (lata) ogólnie, u Dostawcy, forma zatrudnienia</w:t>
            </w: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jc w:val="center"/>
              <w:rPr>
                <w:rFonts w:cstheme="minorHAnsi"/>
                <w:bCs/>
              </w:rPr>
            </w:pPr>
            <w:r w:rsidRPr="00F17DF9">
              <w:rPr>
                <w:rFonts w:cstheme="minorHAnsi"/>
                <w:bCs/>
              </w:rPr>
              <w:t>Posiadane certyfikaty</w:t>
            </w: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1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2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3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4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5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6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7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8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lastRenderedPageBreak/>
              <w:t>9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10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11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12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13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14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  <w:tr w:rsidR="00550CA6" w:rsidRPr="00F17DF9" w:rsidTr="00451B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  <w:r w:rsidRPr="00F17DF9">
              <w:rPr>
                <w:rFonts w:cstheme="minorHAnsi"/>
              </w:rPr>
              <w:t>15</w:t>
            </w:r>
          </w:p>
        </w:tc>
        <w:tc>
          <w:tcPr>
            <w:tcW w:w="2435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4511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  <w:tc>
          <w:tcPr>
            <w:tcW w:w="2360" w:type="dxa"/>
            <w:vAlign w:val="center"/>
            <w:hideMark/>
          </w:tcPr>
          <w:p w:rsidR="00550CA6" w:rsidRPr="00F17DF9" w:rsidRDefault="00550CA6" w:rsidP="00A95FE0">
            <w:pPr>
              <w:rPr>
                <w:rFonts w:cstheme="minorHAnsi"/>
              </w:rPr>
            </w:pPr>
          </w:p>
        </w:tc>
      </w:tr>
    </w:tbl>
    <w:p w:rsidR="00550CA6" w:rsidRPr="00F17DF9" w:rsidRDefault="00550CA6" w:rsidP="00550CA6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>Objaśnienia do wypełnienia:</w:t>
      </w:r>
    </w:p>
    <w:p w:rsidR="00550CA6" w:rsidRPr="00F17DF9" w:rsidRDefault="00550CA6" w:rsidP="00550CA6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F17DF9">
        <w:rPr>
          <w:rFonts w:asciiTheme="minorHAnsi" w:hAnsiTheme="minorHAnsi" w:cstheme="minorHAnsi"/>
          <w:sz w:val="22"/>
          <w:szCs w:val="22"/>
        </w:rPr>
        <w:t>Warunek zatrudnienia określający, że wykonawca musi zatrudniać co najmniej 1</w:t>
      </w:r>
      <w:r w:rsidR="00C27537">
        <w:rPr>
          <w:rFonts w:asciiTheme="minorHAnsi" w:hAnsiTheme="minorHAnsi" w:cstheme="minorHAnsi"/>
          <w:sz w:val="22"/>
          <w:szCs w:val="22"/>
        </w:rPr>
        <w:t>0</w:t>
      </w:r>
      <w:r w:rsidRPr="00F17DF9">
        <w:rPr>
          <w:rFonts w:asciiTheme="minorHAnsi" w:hAnsiTheme="minorHAnsi" w:cstheme="minorHAnsi"/>
          <w:sz w:val="22"/>
          <w:szCs w:val="22"/>
        </w:rPr>
        <w:t xml:space="preserve"> osób – analityków bezpieczeństwa I, II i III linii wsparcia SOC, obejmuje zarówno osoby zatrudnione na podstawie </w:t>
      </w: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>umowy o pracę</w:t>
      </w:r>
      <w:r w:rsidRPr="00F17DF9">
        <w:rPr>
          <w:rFonts w:asciiTheme="minorHAnsi" w:hAnsiTheme="minorHAnsi" w:cstheme="minorHAnsi"/>
          <w:sz w:val="22"/>
          <w:szCs w:val="22"/>
        </w:rPr>
        <w:t xml:space="preserve">, jak i osoby współpracujące na podstawie innych form zatrudnienia, takich jak </w:t>
      </w: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>umowy B2B, umowy zlecenie</w:t>
      </w:r>
      <w:r w:rsidRPr="00F17DF9">
        <w:rPr>
          <w:rFonts w:asciiTheme="minorHAnsi" w:hAnsiTheme="minorHAnsi" w:cstheme="minorHAnsi"/>
          <w:sz w:val="22"/>
          <w:szCs w:val="22"/>
        </w:rPr>
        <w:t xml:space="preserve"> czy inne umowy cywilnoprawne.</w:t>
      </w:r>
    </w:p>
    <w:p w:rsidR="00550CA6" w:rsidRPr="00F17DF9" w:rsidRDefault="00550CA6" w:rsidP="00550CA6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F17DF9">
        <w:rPr>
          <w:rFonts w:asciiTheme="minorHAnsi" w:hAnsiTheme="minorHAnsi" w:cstheme="minorHAnsi"/>
          <w:sz w:val="22"/>
          <w:szCs w:val="22"/>
        </w:rPr>
        <w:t>W celu spełnienia tego warunku, do liczby 1</w:t>
      </w:r>
      <w:r w:rsidR="00C27537">
        <w:rPr>
          <w:rFonts w:asciiTheme="minorHAnsi" w:hAnsiTheme="minorHAnsi" w:cstheme="minorHAnsi"/>
          <w:sz w:val="22"/>
          <w:szCs w:val="22"/>
        </w:rPr>
        <w:t>0</w:t>
      </w:r>
      <w:r w:rsidRPr="00F17DF9">
        <w:rPr>
          <w:rFonts w:asciiTheme="minorHAnsi" w:hAnsiTheme="minorHAnsi" w:cstheme="minorHAnsi"/>
          <w:sz w:val="22"/>
          <w:szCs w:val="22"/>
        </w:rPr>
        <w:t xml:space="preserve"> osób mogą być wliczone:</w:t>
      </w:r>
    </w:p>
    <w:p w:rsidR="00550CA6" w:rsidRPr="00F17DF9" w:rsidRDefault="00550CA6" w:rsidP="008B7B70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>Pracownicy etatowi (umowa o pracę)</w:t>
      </w:r>
      <w:r w:rsidRPr="00F17DF9">
        <w:rPr>
          <w:rFonts w:asciiTheme="minorHAnsi" w:hAnsiTheme="minorHAnsi" w:cstheme="minorHAnsi"/>
          <w:sz w:val="22"/>
          <w:szCs w:val="22"/>
        </w:rPr>
        <w:t>:Osoby zatrudnione na pełen etat lub w niepełnym wymiarze czasu pracy, które realizują zadania związane z analizą bezpieczeństwa w ramach struktur SOC, z przypisanymi obowiązkami w zakresie monitorowania zagrożeń, analizą incydentów oraz reagowaniem na zagrożenia.</w:t>
      </w:r>
    </w:p>
    <w:p w:rsidR="00550CA6" w:rsidRPr="00F17DF9" w:rsidRDefault="00550CA6" w:rsidP="008B7B70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>Współpracownicy na zasadach umowy B2B</w:t>
      </w:r>
      <w:r w:rsidRPr="00F17DF9">
        <w:rPr>
          <w:rFonts w:asciiTheme="minorHAnsi" w:hAnsiTheme="minorHAnsi" w:cstheme="minorHAnsi"/>
          <w:sz w:val="22"/>
          <w:szCs w:val="22"/>
        </w:rPr>
        <w:t xml:space="preserve">:Specjaliści świadczący usługi na rzecz SOC w oparciu o </w:t>
      </w: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>kontrakt biznesowy</w:t>
      </w:r>
      <w:r w:rsidRPr="00F17DF9">
        <w:rPr>
          <w:rFonts w:asciiTheme="minorHAnsi" w:hAnsiTheme="minorHAnsi" w:cstheme="minorHAnsi"/>
          <w:sz w:val="22"/>
          <w:szCs w:val="22"/>
        </w:rPr>
        <w:t xml:space="preserve"> (B2B), którzy formalnie prowadzą działalność gospodarczą i realizują zadania w zakresie bezpieczeństwa IT zgodnie z zakresem swoich kompetencji. Zatrudnienie takie ma charakter outsourcingu, ale obejmuje kluczowe działania SOC i jest zgodne z wymaganiami.</w:t>
      </w:r>
    </w:p>
    <w:p w:rsidR="00550CA6" w:rsidRPr="00F17DF9" w:rsidRDefault="00550CA6" w:rsidP="008B7B70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>Osoby pracujące na podstawie umów zlecenia</w:t>
      </w:r>
      <w:r w:rsidRPr="00F17DF9">
        <w:rPr>
          <w:rFonts w:asciiTheme="minorHAnsi" w:hAnsiTheme="minorHAnsi" w:cstheme="minorHAnsi"/>
          <w:sz w:val="22"/>
          <w:szCs w:val="22"/>
        </w:rPr>
        <w:t xml:space="preserve">: W ramach tego warunku mogą być uwzględnieni także </w:t>
      </w:r>
      <w:r w:rsidRPr="00F17DF9">
        <w:rPr>
          <w:rStyle w:val="Pogrubienie"/>
          <w:rFonts w:asciiTheme="minorHAnsi" w:hAnsiTheme="minorHAnsi" w:cstheme="minorHAnsi"/>
          <w:sz w:val="22"/>
          <w:szCs w:val="22"/>
        </w:rPr>
        <w:t>zleceniobiorcy</w:t>
      </w:r>
      <w:r w:rsidRPr="00F17DF9">
        <w:rPr>
          <w:rFonts w:asciiTheme="minorHAnsi" w:hAnsiTheme="minorHAnsi" w:cstheme="minorHAnsi"/>
          <w:sz w:val="22"/>
          <w:szCs w:val="22"/>
        </w:rPr>
        <w:t>, którzy świadczą usługi w formie zleceń lub kontraktów na określony zakres prac związanych z SOC. Zleceniobiorcy wykonują zadania z zakresu monitorowania i analizy zagrożeń zgodnie z ustalonym zakresem obowiązków.</w:t>
      </w:r>
    </w:p>
    <w:p w:rsidR="00550CA6" w:rsidRPr="00F17DF9" w:rsidRDefault="00550CA6" w:rsidP="00550CA6">
      <w:pPr>
        <w:pStyle w:val="Nagwek3"/>
        <w:rPr>
          <w:rFonts w:asciiTheme="minorHAnsi" w:hAnsiTheme="minorHAnsi" w:cstheme="minorHAnsi"/>
          <w:color w:val="auto"/>
          <w:sz w:val="22"/>
          <w:szCs w:val="22"/>
        </w:rPr>
      </w:pPr>
      <w:r w:rsidRPr="00F17DF9">
        <w:rPr>
          <w:rFonts w:asciiTheme="minorHAnsi" w:hAnsiTheme="minorHAnsi" w:cstheme="minorHAnsi"/>
          <w:color w:val="auto"/>
          <w:sz w:val="22"/>
          <w:szCs w:val="22"/>
        </w:rPr>
        <w:lastRenderedPageBreak/>
        <w:t>Kluczowe aspekty:</w:t>
      </w:r>
    </w:p>
    <w:p w:rsidR="00550CA6" w:rsidRPr="00F17DF9" w:rsidRDefault="00550CA6" w:rsidP="008B7B7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theme="minorHAnsi"/>
        </w:rPr>
      </w:pPr>
      <w:r w:rsidRPr="00F17DF9">
        <w:rPr>
          <w:rFonts w:cstheme="minorHAnsi"/>
        </w:rPr>
        <w:t xml:space="preserve">Warunek zatrudnienia obejmuje </w:t>
      </w:r>
      <w:r w:rsidRPr="00F17DF9">
        <w:rPr>
          <w:rStyle w:val="Pogrubienie"/>
          <w:rFonts w:cstheme="minorHAnsi"/>
        </w:rPr>
        <w:t>różnorodne formy współpracy</w:t>
      </w:r>
      <w:r w:rsidRPr="00F17DF9">
        <w:rPr>
          <w:rFonts w:cstheme="minorHAnsi"/>
        </w:rPr>
        <w:t>, nie ograniczając się wyłącznie do umów o pracę.</w:t>
      </w:r>
    </w:p>
    <w:p w:rsidR="00550CA6" w:rsidRPr="00F17DF9" w:rsidRDefault="00550CA6" w:rsidP="008B7B7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theme="minorHAnsi"/>
        </w:rPr>
      </w:pPr>
      <w:r w:rsidRPr="00F17DF9">
        <w:rPr>
          <w:rFonts w:cstheme="minorHAnsi"/>
        </w:rPr>
        <w:t>Ważne jest, aby każda z tych osób spełniała wymagania dotyczące kompetencji, posiadała odpowiednią wiedzę i kwalifikacje, które są zgodne z obowiązkami wynikającymi z pracy na różnych liniach wsparcia SOC.</w:t>
      </w:r>
    </w:p>
    <w:p w:rsidR="00EE690B" w:rsidRDefault="00550CA6" w:rsidP="00EE690B">
      <w:pPr>
        <w:spacing w:line="360" w:lineRule="auto"/>
        <w:jc w:val="both"/>
        <w:rPr>
          <w:rFonts w:cstheme="minorHAnsi"/>
        </w:rPr>
      </w:pPr>
      <w:r w:rsidRPr="00F17DF9">
        <w:rPr>
          <w:rStyle w:val="Pogrubienie"/>
          <w:rFonts w:cstheme="minorHAnsi"/>
        </w:rPr>
        <w:t>Data:</w:t>
      </w:r>
      <w:r w:rsidRPr="00F17DF9">
        <w:rPr>
          <w:rFonts w:cstheme="minorHAnsi"/>
        </w:rPr>
        <w:br/>
      </w:r>
      <w:r w:rsidRPr="00F17DF9">
        <w:rPr>
          <w:rStyle w:val="Pogrubienie"/>
          <w:rFonts w:cstheme="minorHAnsi"/>
        </w:rPr>
        <w:t>Podpis osoby upoważnionej:</w:t>
      </w:r>
    </w:p>
    <w:p w:rsidR="00EE690B" w:rsidRDefault="00EE690B">
      <w:pPr>
        <w:rPr>
          <w:rFonts w:cstheme="minorHAnsi"/>
        </w:rPr>
      </w:pPr>
      <w:r>
        <w:rPr>
          <w:rFonts w:cstheme="minorHAnsi"/>
        </w:rPr>
        <w:br w:type="page"/>
      </w:r>
    </w:p>
    <w:p w:rsidR="00550CA6" w:rsidRPr="00EE690B" w:rsidRDefault="00550CA6" w:rsidP="00B666BE">
      <w:pPr>
        <w:spacing w:line="360" w:lineRule="auto"/>
        <w:jc w:val="right"/>
        <w:rPr>
          <w:rFonts w:cstheme="minorHAnsi"/>
        </w:rPr>
      </w:pPr>
      <w:r w:rsidRPr="00F17DF9">
        <w:rPr>
          <w:rFonts w:cstheme="minorHAnsi"/>
          <w:b/>
        </w:rPr>
        <w:lastRenderedPageBreak/>
        <w:t xml:space="preserve">Załącznik nr </w:t>
      </w:r>
      <w:r w:rsidR="00481CA5">
        <w:rPr>
          <w:rFonts w:cstheme="minorHAnsi"/>
          <w:b/>
        </w:rPr>
        <w:t>6</w:t>
      </w:r>
    </w:p>
    <w:p w:rsidR="00550CA6" w:rsidRPr="00F17DF9" w:rsidRDefault="00550CA6" w:rsidP="00550CA6">
      <w:pPr>
        <w:spacing w:line="240" w:lineRule="auto"/>
        <w:jc w:val="center"/>
        <w:rPr>
          <w:rFonts w:cstheme="minorHAnsi"/>
          <w:b/>
        </w:rPr>
      </w:pPr>
      <w:r w:rsidRPr="00F17DF9">
        <w:rPr>
          <w:rFonts w:cstheme="minorHAnsi"/>
          <w:b/>
        </w:rPr>
        <w:t>Oświadczenie</w:t>
      </w:r>
    </w:p>
    <w:p w:rsidR="00550CA6" w:rsidRDefault="00550CA6" w:rsidP="00550CA6">
      <w:pPr>
        <w:spacing w:line="240" w:lineRule="auto"/>
        <w:jc w:val="both"/>
        <w:rPr>
          <w:rFonts w:cstheme="minorHAnsi"/>
        </w:rPr>
      </w:pPr>
    </w:p>
    <w:p w:rsidR="00B666BE" w:rsidRDefault="00B666BE" w:rsidP="00B666BE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…………………………………………………..</w:t>
      </w:r>
    </w:p>
    <w:p w:rsidR="00B666BE" w:rsidRDefault="00B666BE" w:rsidP="00B666BE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……………………………………………………</w:t>
      </w:r>
    </w:p>
    <w:p w:rsidR="00B666BE" w:rsidRDefault="00B666BE" w:rsidP="00B666BE">
      <w:pPr>
        <w:spacing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(nazwa i nip Oferenta)</w:t>
      </w:r>
    </w:p>
    <w:p w:rsidR="00B666BE" w:rsidRDefault="00B666BE" w:rsidP="00550CA6">
      <w:pPr>
        <w:spacing w:line="240" w:lineRule="auto"/>
        <w:jc w:val="both"/>
        <w:rPr>
          <w:rFonts w:cstheme="minorHAnsi"/>
        </w:rPr>
      </w:pPr>
    </w:p>
    <w:p w:rsidR="00B666BE" w:rsidRPr="00F17DF9" w:rsidRDefault="00B666BE" w:rsidP="00550CA6">
      <w:pPr>
        <w:spacing w:line="240" w:lineRule="auto"/>
        <w:jc w:val="both"/>
        <w:rPr>
          <w:rFonts w:cstheme="minorHAnsi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</w:rPr>
      </w:pPr>
      <w:r w:rsidRPr="00F17DF9">
        <w:rPr>
          <w:rFonts w:cstheme="minorHAnsi"/>
        </w:rPr>
        <w:t>W związku z ze złożoną</w:t>
      </w:r>
      <w:r w:rsidR="00481CA5">
        <w:rPr>
          <w:rFonts w:cstheme="minorHAnsi"/>
        </w:rPr>
        <w:t xml:space="preserve"> ofertą, niniejszym oświadczamy</w:t>
      </w:r>
      <w:r w:rsidRPr="00F17DF9">
        <w:rPr>
          <w:rFonts w:cstheme="minorHAnsi"/>
        </w:rPr>
        <w:t>, że</w:t>
      </w:r>
      <w:r w:rsidR="00B666BE">
        <w:rPr>
          <w:rFonts w:cstheme="minorHAnsi"/>
        </w:rPr>
        <w:t xml:space="preserve"> ofertowany</w:t>
      </w:r>
      <w:r w:rsidRPr="00F17DF9">
        <w:rPr>
          <w:rFonts w:cstheme="minorHAnsi"/>
        </w:rPr>
        <w:t xml:space="preserve"> SOC</w:t>
      </w:r>
      <w:r w:rsidR="00B666BE">
        <w:rPr>
          <w:rFonts w:cstheme="minorHAnsi"/>
        </w:rPr>
        <w:t xml:space="preserve"> </w:t>
      </w:r>
      <w:r w:rsidRPr="00F17DF9">
        <w:rPr>
          <w:rFonts w:cstheme="minorHAnsi"/>
        </w:rPr>
        <w:t xml:space="preserve">zapewnia monitoring oraz wsparcie telefoniczne i e-mailowe  w trybie 24/7/365. </w:t>
      </w:r>
    </w:p>
    <w:p w:rsidR="00550CA6" w:rsidRPr="00F17DF9" w:rsidRDefault="00550CA6" w:rsidP="00550CA6">
      <w:pPr>
        <w:spacing w:line="240" w:lineRule="auto"/>
        <w:jc w:val="both"/>
        <w:rPr>
          <w:rFonts w:cstheme="minorHAnsi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</w:rPr>
      </w:pPr>
      <w:r w:rsidRPr="00F17DF9">
        <w:rPr>
          <w:rFonts w:cstheme="minorHAnsi"/>
        </w:rPr>
        <w:t>Zakres świadczonych usług obejmuje:</w:t>
      </w:r>
    </w:p>
    <w:p w:rsidR="00550CA6" w:rsidRPr="00F17DF9" w:rsidRDefault="00550CA6" w:rsidP="008B7B70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F17DF9">
        <w:rPr>
          <w:rFonts w:asciiTheme="minorHAnsi" w:hAnsiTheme="minorHAnsi" w:cstheme="minorHAnsi"/>
        </w:rPr>
        <w:t>Monitoring bezpieczeństwa – całodobowe, nieprzerwane monitorowanie infrastruktury informatycznej Zamawiającego w celu wykrywania i reagowania na zagrożenia bezpieczeństwa.</w:t>
      </w:r>
    </w:p>
    <w:p w:rsidR="00550CA6" w:rsidRPr="00F17DF9" w:rsidRDefault="00550CA6" w:rsidP="008B7B70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F17DF9">
        <w:rPr>
          <w:rFonts w:asciiTheme="minorHAnsi" w:hAnsiTheme="minorHAnsi" w:cstheme="minorHAnsi"/>
        </w:rPr>
        <w:t>Wsparcie techniczne – całodobowe wsparcie telefoniczne i e-mailowe dla zgłoszeń związanych z incydentami bezpieczeństwa, dostępne przez 24 godziny na dobę, 7 dni w tygodniu, 365 dni w roku.</w:t>
      </w:r>
    </w:p>
    <w:p w:rsidR="00550CA6" w:rsidRPr="00F17DF9" w:rsidRDefault="00550CA6" w:rsidP="00550CA6">
      <w:pPr>
        <w:spacing w:line="240" w:lineRule="auto"/>
        <w:jc w:val="both"/>
        <w:rPr>
          <w:rFonts w:cstheme="minorHAnsi"/>
        </w:rPr>
      </w:pPr>
    </w:p>
    <w:p w:rsidR="00550CA6" w:rsidRPr="00F17DF9" w:rsidRDefault="00550CA6" w:rsidP="00550CA6">
      <w:pPr>
        <w:spacing w:line="240" w:lineRule="auto"/>
        <w:jc w:val="both"/>
        <w:rPr>
          <w:rFonts w:cstheme="minorHAnsi"/>
        </w:rPr>
      </w:pPr>
      <w:r w:rsidRPr="00F17DF9">
        <w:rPr>
          <w:rFonts w:cstheme="minorHAnsi"/>
        </w:rPr>
        <w:t>Potwierdzamy, że nasz zespół Security Operations Center (SOC) jest gotowy do natychmiastowego reagowania na zgłoszenia i incydenty zgodnie z ustalonymi procedurami które będą zawarte w umowie.</w:t>
      </w:r>
    </w:p>
    <w:p w:rsidR="00550CA6" w:rsidRPr="00F17DF9" w:rsidRDefault="00550CA6" w:rsidP="00550CA6">
      <w:pPr>
        <w:spacing w:line="360" w:lineRule="auto"/>
        <w:jc w:val="both"/>
        <w:rPr>
          <w:rFonts w:cstheme="minorHAnsi"/>
        </w:rPr>
      </w:pPr>
      <w:r w:rsidRPr="00F17DF9">
        <w:rPr>
          <w:rStyle w:val="Pogrubienie"/>
          <w:rFonts w:cstheme="minorHAnsi"/>
        </w:rPr>
        <w:t>Data:</w:t>
      </w:r>
      <w:r w:rsidRPr="00F17DF9">
        <w:rPr>
          <w:rFonts w:cstheme="minorHAnsi"/>
        </w:rPr>
        <w:br/>
      </w:r>
      <w:r w:rsidRPr="00F17DF9">
        <w:rPr>
          <w:rStyle w:val="Pogrubienie"/>
          <w:rFonts w:cstheme="minorHAnsi"/>
        </w:rPr>
        <w:t>Podpis osoby upoważnionej:</w:t>
      </w:r>
    </w:p>
    <w:p w:rsidR="00550CA6" w:rsidRPr="00F17DF9" w:rsidRDefault="00550CA6" w:rsidP="00550CA6">
      <w:pPr>
        <w:spacing w:line="240" w:lineRule="auto"/>
        <w:jc w:val="both"/>
        <w:rPr>
          <w:rFonts w:cstheme="minorHAnsi"/>
        </w:rPr>
      </w:pPr>
    </w:p>
    <w:p w:rsidR="00270F46" w:rsidRPr="00F17DF9" w:rsidRDefault="00270F46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B666BE" w:rsidRDefault="00B666BE">
      <w:pPr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:rsidR="00FC397D" w:rsidRPr="00F17DF9" w:rsidRDefault="00FC397D" w:rsidP="00B666BE">
      <w:pPr>
        <w:spacing w:line="240" w:lineRule="auto"/>
        <w:jc w:val="right"/>
        <w:rPr>
          <w:rFonts w:cstheme="minorHAnsi"/>
          <w:b/>
        </w:rPr>
      </w:pPr>
      <w:r w:rsidRPr="00F17DF9">
        <w:rPr>
          <w:rFonts w:cstheme="minorHAnsi"/>
          <w:b/>
        </w:rPr>
        <w:lastRenderedPageBreak/>
        <w:t xml:space="preserve">Załącznik nr </w:t>
      </w:r>
      <w:r w:rsidR="00481CA5">
        <w:rPr>
          <w:rFonts w:cstheme="minorHAnsi"/>
          <w:b/>
        </w:rPr>
        <w:t>7</w:t>
      </w:r>
    </w:p>
    <w:p w:rsidR="00FC397D" w:rsidRDefault="00FC397D" w:rsidP="00B666BE">
      <w:pPr>
        <w:spacing w:line="240" w:lineRule="auto"/>
        <w:jc w:val="center"/>
        <w:rPr>
          <w:rFonts w:cstheme="minorHAnsi"/>
          <w:b/>
        </w:rPr>
      </w:pPr>
      <w:r w:rsidRPr="00F17DF9">
        <w:rPr>
          <w:rFonts w:cstheme="minorHAnsi"/>
          <w:b/>
        </w:rPr>
        <w:t>Podmioty wchodzące do Grupy Kapitałowej Farmacol</w:t>
      </w:r>
      <w:r w:rsidR="00B666BE">
        <w:rPr>
          <w:rFonts w:cstheme="minorHAnsi"/>
          <w:b/>
        </w:rPr>
        <w:t>:</w:t>
      </w:r>
    </w:p>
    <w:p w:rsidR="00B666BE" w:rsidRPr="00F17DF9" w:rsidRDefault="00B666BE" w:rsidP="00FC397D">
      <w:pPr>
        <w:spacing w:line="240" w:lineRule="auto"/>
        <w:jc w:val="both"/>
        <w:rPr>
          <w:rFonts w:cstheme="minorHAnsi"/>
          <w:b/>
        </w:rPr>
      </w:pP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Farmacol-Logistyka Sp. z o.o. – Katowice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Silesian Pharma Sp. z o.o. – Katowice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PZF Cefarm Kielce S.A. – Kielce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PZF Cefarm Warszawa S.A. – Warszawa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PZF Cefarm Szczecin S.A. – Szczecin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Cefarm Białystok S.A. – Białystok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Nasza Apteka Sp. z o.o. – Nowy Sącz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Apteka Tęczowa Sp. z o.o. – Szczecin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Apteka Helios Sp. z o.o. – Szczecin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Firma Zdrowie Sp. z o.o. – Bytom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Kwiaty Polskie Sp. z o.o. – Łódź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Pod Orlikiem Sp. z o.o. – Ustrzyki Dolne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PZF Cefarm Warszawa S.A. Sp. jawna – Brzozów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Apteka Milenium Sp. z o.o. – Brzesko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Pharma Flos Sp. z o.o. – Tychy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Best Farm Sp. z o.o. – Łódź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Farmax Sp. z o.o. – Łódź</w:t>
      </w:r>
    </w:p>
    <w:p w:rsidR="00FC397D" w:rsidRPr="00F17DF9" w:rsidRDefault="00FC397D" w:rsidP="00FC397D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Cs w:val="24"/>
        </w:rPr>
      </w:pPr>
      <w:r w:rsidRPr="00F17DF9">
        <w:rPr>
          <w:rFonts w:asciiTheme="minorHAnsi" w:eastAsia="Times New Roman" w:hAnsiTheme="minorHAnsi" w:cstheme="minorHAnsi"/>
          <w:sz w:val="24"/>
          <w:szCs w:val="24"/>
          <w:lang w:eastAsia="pl-PL"/>
        </w:rPr>
        <w:t>Farmacore Sp. z o.o. – Wrocław</w:t>
      </w: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FC397D" w:rsidRPr="00F17DF9" w:rsidRDefault="00FC397D" w:rsidP="00582139">
      <w:pPr>
        <w:spacing w:line="240" w:lineRule="auto"/>
        <w:jc w:val="both"/>
        <w:rPr>
          <w:rFonts w:cstheme="minorHAnsi"/>
          <w:szCs w:val="24"/>
        </w:rPr>
      </w:pPr>
    </w:p>
    <w:p w:rsidR="00346D56" w:rsidRPr="00F17DF9" w:rsidRDefault="00346D56" w:rsidP="00582139">
      <w:pPr>
        <w:spacing w:line="240" w:lineRule="auto"/>
        <w:jc w:val="both"/>
        <w:rPr>
          <w:rFonts w:cstheme="minorHAnsi"/>
          <w:szCs w:val="24"/>
        </w:rPr>
      </w:pPr>
    </w:p>
    <w:sectPr w:rsidR="00346D56" w:rsidRPr="00F17DF9" w:rsidSect="00073484">
      <w:headerReference w:type="default" r:id="rId9"/>
      <w:footerReference w:type="default" r:id="rId10"/>
      <w:type w:val="continuous"/>
      <w:pgSz w:w="11906" w:h="16838"/>
      <w:pgMar w:top="1701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D30" w:rsidRDefault="00E96D30" w:rsidP="00293D6E">
      <w:pPr>
        <w:spacing w:after="0" w:line="240" w:lineRule="auto"/>
      </w:pPr>
      <w:r>
        <w:separator/>
      </w:r>
    </w:p>
  </w:endnote>
  <w:endnote w:type="continuationSeparator" w:id="0">
    <w:p w:rsidR="00E96D30" w:rsidRDefault="00E96D30" w:rsidP="0029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41D" w:rsidRDefault="006B4D2B" w:rsidP="00AD577A">
    <w:pPr>
      <w:pStyle w:val="Stopka"/>
      <w:tabs>
        <w:tab w:val="clear" w:pos="9072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98D393A" wp14:editId="59D91CB1">
          <wp:simplePos x="0" y="0"/>
          <wp:positionH relativeFrom="page">
            <wp:align>left</wp:align>
          </wp:positionH>
          <wp:positionV relativeFrom="paragraph">
            <wp:posOffset>-799509</wp:posOffset>
          </wp:positionV>
          <wp:extent cx="7538484" cy="1409064"/>
          <wp:effectExtent l="0" t="0" r="5715" b="127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L_papier-firmowy_0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260" cy="14280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07AC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-147215</wp:posOffset>
              </wp:positionV>
              <wp:extent cx="6356592" cy="140462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659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E6831" w:rsidRDefault="000E6831" w:rsidP="000E6831">
                          <w:pPr>
                            <w:spacing w:line="240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Farmacore</w:t>
                          </w:r>
                          <w:r w:rsidR="00000A44">
                            <w:rPr>
                              <w:b/>
                              <w:sz w:val="16"/>
                              <w:szCs w:val="16"/>
                            </w:rPr>
                            <w:t xml:space="preserve"> Sp. z o.o. </w:t>
                          </w:r>
                          <w:r w:rsidR="00F56192">
                            <w:rPr>
                              <w:b/>
                              <w:sz w:val="16"/>
                              <w:szCs w:val="16"/>
                            </w:rPr>
                            <w:t xml:space="preserve">(dawniej: Farmacol Serwis S.A. S.K.A.)  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|</w:t>
                          </w:r>
                          <w:r w:rsidR="00000A44">
                            <w:rPr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>50-422</w:t>
                          </w:r>
                          <w:r w:rsidR="00000A44">
                            <w:rPr>
                              <w:sz w:val="16"/>
                              <w:szCs w:val="16"/>
                            </w:rPr>
                            <w:t xml:space="preserve"> Wrocław, ul. Rakowiecka 65/67 </w:t>
                          </w:r>
                          <w:r>
                            <w:rPr>
                              <w:sz w:val="16"/>
                              <w:szCs w:val="16"/>
                            </w:rPr>
                            <w:t>|</w:t>
                          </w:r>
                          <w:r w:rsidR="00000A44">
                            <w:rPr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>www.farmacol.co</w:t>
                          </w:r>
                          <w:r w:rsidR="00000A44">
                            <w:rPr>
                              <w:sz w:val="16"/>
                              <w:szCs w:val="16"/>
                            </w:rPr>
                            <w:t>m.pl</w:t>
                          </w:r>
                          <w:r w:rsidR="00000A44">
                            <w:rPr>
                              <w:sz w:val="16"/>
                              <w:szCs w:val="16"/>
                            </w:rPr>
                            <w:br/>
                            <w:t>tel. +48 32 20 80 600 |</w:t>
                          </w:r>
                          <w:r w:rsidR="00000A44">
                            <w:rPr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="00000A44">
                            <w:rPr>
                              <w:sz w:val="16"/>
                              <w:szCs w:val="16"/>
                            </w:rPr>
                            <w:t>fax +48 32 20 22 497 |</w:t>
                          </w:r>
                          <w:r w:rsidR="00000A44">
                            <w:rPr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>farmacolitb@farmacol.com.pl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Sąd Rejonowy dla Wrocławia Fabrycznej VI Wydział Gospodarczy KRS nr KRS 0000908523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Kapitał zakładowy w wysokości</w:t>
                          </w:r>
                          <w:r w:rsidR="00AA1310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AA1310" w:rsidRPr="00AA1310">
                            <w:rPr>
                              <w:sz w:val="16"/>
                              <w:szCs w:val="16"/>
                            </w:rPr>
                            <w:t>7 803 700,00</w:t>
                          </w:r>
                          <w:r w:rsidR="00AA1310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000A44">
                            <w:rPr>
                              <w:sz w:val="16"/>
                              <w:szCs w:val="16"/>
                            </w:rPr>
                            <w:t>zł w całości opłacony |</w:t>
                          </w:r>
                          <w:r w:rsidR="00000A44">
                            <w:rPr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="00000A44">
                            <w:rPr>
                              <w:sz w:val="16"/>
                              <w:szCs w:val="16"/>
                            </w:rPr>
                            <w:t>REGON: 022273732 |</w:t>
                          </w:r>
                          <w:r w:rsidR="00000A44">
                            <w:rPr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NIP: 8992747774</w:t>
                          </w:r>
                        </w:p>
                        <w:p w:rsidR="007D07AC" w:rsidRPr="004471D2" w:rsidRDefault="007D07AC" w:rsidP="007D07AC">
                          <w:pPr>
                            <w:spacing w:line="240" w:lineRule="auto"/>
                            <w:jc w:val="both"/>
                            <w:rPr>
                              <w:color w:val="808080" w:themeColor="background1" w:themeShade="80"/>
                              <w:sz w:val="12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-11.6pt;width:500.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" filled="f" stroked="f">
              <v:textbox style="mso-fit-shape-to-text:t">
                <w:txbxContent>
                  <w:p w:rsidR="000E6831" w:rsidRDefault="000E6831" w:rsidP="000E6831">
                    <w:pPr>
                      <w:spacing w:line="240" w:lineRule="auto"/>
                      <w:jc w:val="center"/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b/>
                        <w:sz w:val="16"/>
                        <w:szCs w:val="16"/>
                      </w:rPr>
                      <w:t>Farmacore</w:t>
                    </w:r>
                    <w:proofErr w:type="spellEnd"/>
                    <w:r w:rsidR="00000A44">
                      <w:rPr>
                        <w:b/>
                        <w:sz w:val="16"/>
                        <w:szCs w:val="16"/>
                      </w:rPr>
                      <w:t xml:space="preserve"> Sp. z o.o. </w:t>
                    </w:r>
                    <w:r w:rsidR="00F56192">
                      <w:rPr>
                        <w:b/>
                        <w:sz w:val="16"/>
                        <w:szCs w:val="16"/>
                      </w:rPr>
                      <w:t xml:space="preserve">(dawniej: Farmacol Serwis S.A. S.K.A.)    </w:t>
                    </w:r>
                    <w:r>
                      <w:rPr>
                        <w:sz w:val="16"/>
                        <w:szCs w:val="16"/>
                      </w:rPr>
                      <w:t>|</w:t>
                    </w:r>
                    <w:r w:rsidR="00000A44"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50-422</w:t>
                    </w:r>
                    <w:r w:rsidR="00000A44">
                      <w:rPr>
                        <w:sz w:val="16"/>
                        <w:szCs w:val="16"/>
                      </w:rPr>
                      <w:t xml:space="preserve"> Wrocław, ul. Rakowiecka 65/67 </w:t>
                    </w:r>
                    <w:r>
                      <w:rPr>
                        <w:sz w:val="16"/>
                        <w:szCs w:val="16"/>
                      </w:rPr>
                      <w:t>|</w:t>
                    </w:r>
                    <w:r w:rsidR="00000A44"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www.farmacol.co</w:t>
                    </w:r>
                    <w:r w:rsidR="00000A44">
                      <w:rPr>
                        <w:sz w:val="16"/>
                        <w:szCs w:val="16"/>
                      </w:rPr>
                      <w:t>m.pl</w:t>
                    </w:r>
                    <w:r w:rsidR="00000A44">
                      <w:rPr>
                        <w:sz w:val="16"/>
                        <w:szCs w:val="16"/>
                      </w:rPr>
                      <w:br/>
                      <w:t>tel. +48 32 20 80 600 |</w:t>
                    </w:r>
                    <w:r w:rsidR="00000A44"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="00000A44">
                      <w:rPr>
                        <w:sz w:val="16"/>
                        <w:szCs w:val="16"/>
                      </w:rPr>
                      <w:t>fax +48 32 20 22 497 |</w:t>
                    </w:r>
                    <w:r w:rsidR="00000A44"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farmacolitb@farmacol.com.pl</w:t>
                    </w:r>
                    <w:r>
                      <w:rPr>
                        <w:sz w:val="16"/>
                        <w:szCs w:val="16"/>
                      </w:rPr>
                      <w:br/>
                      <w:t>Sąd Rejonowy dla Wrocławia Fabrycznej VI Wydział Gospodarczy KRS nr KRS 0000908523</w:t>
                    </w:r>
                    <w:r>
                      <w:rPr>
                        <w:sz w:val="16"/>
                        <w:szCs w:val="16"/>
                      </w:rPr>
                      <w:br/>
                      <w:t>Kapitał zakładowy w wysokości</w:t>
                    </w:r>
                    <w:r w:rsidR="00AA1310">
                      <w:rPr>
                        <w:sz w:val="16"/>
                        <w:szCs w:val="16"/>
                      </w:rPr>
                      <w:t xml:space="preserve"> </w:t>
                    </w:r>
                    <w:r w:rsidR="00AA1310" w:rsidRPr="00AA1310">
                      <w:rPr>
                        <w:sz w:val="16"/>
                        <w:szCs w:val="16"/>
                      </w:rPr>
                      <w:t>7 803 700,00</w:t>
                    </w:r>
                    <w:r w:rsidR="00AA1310">
                      <w:rPr>
                        <w:sz w:val="16"/>
                        <w:szCs w:val="16"/>
                      </w:rPr>
                      <w:t xml:space="preserve"> </w:t>
                    </w:r>
                    <w:r w:rsidR="00000A44">
                      <w:rPr>
                        <w:sz w:val="16"/>
                        <w:szCs w:val="16"/>
                      </w:rPr>
                      <w:t>zł w całości opłacony |</w:t>
                    </w:r>
                    <w:r w:rsidR="00000A44"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="00000A44">
                      <w:rPr>
                        <w:sz w:val="16"/>
                        <w:szCs w:val="16"/>
                      </w:rPr>
                      <w:t>REGON: 022273732 |</w:t>
                    </w:r>
                    <w:r w:rsidR="00000A44"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NIP: 8992747774</w:t>
                    </w:r>
                  </w:p>
                  <w:p w:rsidR="007D07AC" w:rsidRPr="004471D2" w:rsidRDefault="007D07AC" w:rsidP="007D07AC">
                    <w:pPr>
                      <w:spacing w:line="240" w:lineRule="auto"/>
                      <w:jc w:val="both"/>
                      <w:rPr>
                        <w:color w:val="808080" w:themeColor="background1" w:themeShade="80"/>
                        <w:sz w:val="12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BC2EF2">
      <w:rPr>
        <w:noProof/>
        <w:lang w:eastAsia="pl-PL"/>
      </w:rPr>
      <w:softHyphen/>
    </w:r>
    <w:r w:rsidR="00BC2EF2">
      <w:rPr>
        <w:noProof/>
        <w:lang w:eastAsia="pl-PL"/>
      </w:rPr>
      <w:softHyphen/>
    </w:r>
    <w:r w:rsidR="00BC2EF2">
      <w:rPr>
        <w:noProof/>
        <w:lang w:eastAsia="pl-PL"/>
      </w:rPr>
      <w:softHyphen/>
    </w:r>
    <w:r w:rsidR="00AD577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D30" w:rsidRDefault="00E96D30" w:rsidP="00293D6E">
      <w:pPr>
        <w:spacing w:after="0" w:line="240" w:lineRule="auto"/>
      </w:pPr>
      <w:r>
        <w:separator/>
      </w:r>
    </w:p>
  </w:footnote>
  <w:footnote w:type="continuationSeparator" w:id="0">
    <w:p w:rsidR="00E96D30" w:rsidRDefault="00E96D30" w:rsidP="00293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D6E" w:rsidRDefault="00293D6E">
    <w:pPr>
      <w:pStyle w:val="Nagwek"/>
      <w:rPr>
        <w:caps/>
      </w:rPr>
    </w:pPr>
    <w:r w:rsidRPr="00BC2EF2">
      <w:rPr>
        <w:caps/>
        <w:noProof/>
        <w:lang w:eastAsia="pl-PL"/>
      </w:rPr>
      <w:drawing>
        <wp:anchor distT="0" distB="0" distL="114300" distR="114300" simplePos="0" relativeHeight="251658240" behindDoc="1" locked="0" layoutInCell="1" allowOverlap="1" wp14:anchorId="5B336B2B" wp14:editId="5EA3498E">
          <wp:simplePos x="0" y="0"/>
          <wp:positionH relativeFrom="column">
            <wp:posOffset>-209445</wp:posOffset>
          </wp:positionH>
          <wp:positionV relativeFrom="paragraph">
            <wp:posOffset>-264795</wp:posOffset>
          </wp:positionV>
          <wp:extent cx="6650251" cy="621966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milczarska\Desktop\!work\01_logos\01_ksiega_znaku FCL\01_dodatki\02_papier firmowy\images\FCL_papier-firmowy_0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50251" cy="621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621B" w:rsidRPr="00BC2EF2" w:rsidRDefault="0081621B">
    <w:pPr>
      <w:pStyle w:val="Nagwek"/>
      <w:rPr>
        <w: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9C1"/>
    <w:multiLevelType w:val="multilevel"/>
    <w:tmpl w:val="87B258CC"/>
    <w:lvl w:ilvl="0">
      <w:start w:val="3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Arial Unicode MS" w:hint="default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1" w15:restartNumberingAfterBreak="0">
    <w:nsid w:val="03092AC3"/>
    <w:multiLevelType w:val="multilevel"/>
    <w:tmpl w:val="3A041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000000" w:themeColor="text1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Arial Unicode MS" w:hAnsi="Arial" w:cs="Arial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AD7A0A"/>
    <w:multiLevelType w:val="multilevel"/>
    <w:tmpl w:val="5A2EF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07FD5"/>
    <w:multiLevelType w:val="hybridMultilevel"/>
    <w:tmpl w:val="AE3EEEE0"/>
    <w:lvl w:ilvl="0" w:tplc="3A12263A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Calibri"/>
        <w:sz w:val="22"/>
      </w:r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FA2C89"/>
    <w:multiLevelType w:val="hybridMultilevel"/>
    <w:tmpl w:val="9E385BD8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 w15:restartNumberingAfterBreak="0">
    <w:nsid w:val="0C5019D1"/>
    <w:multiLevelType w:val="multilevel"/>
    <w:tmpl w:val="4D566AF8"/>
    <w:lvl w:ilvl="0">
      <w:start w:val="1"/>
      <w:numFmt w:val="decimal"/>
      <w:lvlText w:val="%1."/>
      <w:lvlJc w:val="left"/>
      <w:pPr>
        <w:tabs>
          <w:tab w:val="num" w:pos="-1056"/>
        </w:tabs>
        <w:ind w:left="-1056" w:hanging="360"/>
      </w:pPr>
    </w:lvl>
    <w:lvl w:ilvl="1">
      <w:start w:val="1"/>
      <w:numFmt w:val="bullet"/>
      <w:lvlText w:val="o"/>
      <w:lvlJc w:val="left"/>
      <w:pPr>
        <w:tabs>
          <w:tab w:val="num" w:pos="-336"/>
        </w:tabs>
        <w:ind w:left="-336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384"/>
        </w:tabs>
        <w:ind w:left="384" w:hanging="360"/>
      </w:pPr>
    </w:lvl>
    <w:lvl w:ilvl="3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</w:lvl>
    <w:lvl w:ilvl="4">
      <w:start w:val="1"/>
      <w:numFmt w:val="decimal"/>
      <w:lvlText w:val="%5."/>
      <w:lvlJc w:val="left"/>
      <w:pPr>
        <w:tabs>
          <w:tab w:val="num" w:pos="1824"/>
        </w:tabs>
        <w:ind w:left="1824" w:hanging="360"/>
      </w:pPr>
    </w:lvl>
    <w:lvl w:ilvl="5">
      <w:start w:val="1"/>
      <w:numFmt w:val="decimal"/>
      <w:lvlText w:val="%6."/>
      <w:lvlJc w:val="left"/>
      <w:pPr>
        <w:tabs>
          <w:tab w:val="num" w:pos="2544"/>
        </w:tabs>
        <w:ind w:left="2544" w:hanging="360"/>
      </w:pPr>
    </w:lvl>
    <w:lvl w:ilvl="6" w:tentative="1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</w:lvl>
    <w:lvl w:ilvl="7" w:tentative="1">
      <w:start w:val="1"/>
      <w:numFmt w:val="decimal"/>
      <w:lvlText w:val="%8."/>
      <w:lvlJc w:val="left"/>
      <w:pPr>
        <w:tabs>
          <w:tab w:val="num" w:pos="3984"/>
        </w:tabs>
        <w:ind w:left="3984" w:hanging="360"/>
      </w:pPr>
    </w:lvl>
    <w:lvl w:ilvl="8" w:tentative="1">
      <w:start w:val="1"/>
      <w:numFmt w:val="decimal"/>
      <w:lvlText w:val="%9."/>
      <w:lvlJc w:val="left"/>
      <w:pPr>
        <w:tabs>
          <w:tab w:val="num" w:pos="4704"/>
        </w:tabs>
        <w:ind w:left="4704" w:hanging="360"/>
      </w:pPr>
    </w:lvl>
  </w:abstractNum>
  <w:abstractNum w:abstractNumId="6" w15:restartNumberingAfterBreak="0">
    <w:nsid w:val="121A2B33"/>
    <w:multiLevelType w:val="multilevel"/>
    <w:tmpl w:val="87B258CC"/>
    <w:lvl w:ilvl="0">
      <w:start w:val="3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Arial Unicode MS" w:hint="default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7" w15:restartNumberingAfterBreak="0">
    <w:nsid w:val="121E42E2"/>
    <w:multiLevelType w:val="hybridMultilevel"/>
    <w:tmpl w:val="BA62F9CA"/>
    <w:lvl w:ilvl="0" w:tplc="04150017">
      <w:start w:val="1"/>
      <w:numFmt w:val="lowerLetter"/>
      <w:pStyle w:val="Nagwek2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85583"/>
    <w:multiLevelType w:val="hybridMultilevel"/>
    <w:tmpl w:val="70B64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16518"/>
    <w:multiLevelType w:val="hybridMultilevel"/>
    <w:tmpl w:val="2290493A"/>
    <w:lvl w:ilvl="0" w:tplc="0415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15B03AB4"/>
    <w:multiLevelType w:val="multilevel"/>
    <w:tmpl w:val="87B258CC"/>
    <w:lvl w:ilvl="0">
      <w:start w:val="3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Arial Unicode MS" w:hint="default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11" w15:restartNumberingAfterBreak="0">
    <w:nsid w:val="242D0449"/>
    <w:multiLevelType w:val="hybridMultilevel"/>
    <w:tmpl w:val="3874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5259D"/>
    <w:multiLevelType w:val="multilevel"/>
    <w:tmpl w:val="7B4C8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CC3274"/>
    <w:multiLevelType w:val="multilevel"/>
    <w:tmpl w:val="87B258CC"/>
    <w:lvl w:ilvl="0">
      <w:start w:val="3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Arial Unicode MS" w:hint="default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14" w15:restartNumberingAfterBreak="0">
    <w:nsid w:val="2BCF69C7"/>
    <w:multiLevelType w:val="hybridMultilevel"/>
    <w:tmpl w:val="CB96DD96"/>
    <w:lvl w:ilvl="0" w:tplc="80D85A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D58D0"/>
    <w:multiLevelType w:val="hybridMultilevel"/>
    <w:tmpl w:val="CA4C4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3503C"/>
    <w:multiLevelType w:val="hybridMultilevel"/>
    <w:tmpl w:val="AC5CE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2040A"/>
    <w:multiLevelType w:val="multilevel"/>
    <w:tmpl w:val="A00207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7D358B"/>
    <w:multiLevelType w:val="multilevel"/>
    <w:tmpl w:val="C8C607E2"/>
    <w:lvl w:ilvl="0">
      <w:start w:val="3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19" w15:restartNumberingAfterBreak="0">
    <w:nsid w:val="48396A6B"/>
    <w:multiLevelType w:val="hybridMultilevel"/>
    <w:tmpl w:val="2E165BFE"/>
    <w:lvl w:ilvl="0" w:tplc="04150017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29C045D"/>
    <w:multiLevelType w:val="multilevel"/>
    <w:tmpl w:val="004E1F6A"/>
    <w:lvl w:ilvl="0">
      <w:start w:val="3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Arial Unicode MS" w:hint="default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21" w15:restartNumberingAfterBreak="0">
    <w:nsid w:val="56820969"/>
    <w:multiLevelType w:val="hybridMultilevel"/>
    <w:tmpl w:val="505C6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3D5227"/>
    <w:multiLevelType w:val="hybridMultilevel"/>
    <w:tmpl w:val="F5CC5A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432FF"/>
    <w:multiLevelType w:val="hybridMultilevel"/>
    <w:tmpl w:val="F58CC24A"/>
    <w:lvl w:ilvl="0" w:tplc="17F0CDD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073E6"/>
    <w:multiLevelType w:val="hybridMultilevel"/>
    <w:tmpl w:val="33A489B4"/>
    <w:lvl w:ilvl="0" w:tplc="3A12263A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Calibri"/>
        <w:sz w:val="22"/>
      </w:r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7544016"/>
    <w:multiLevelType w:val="hybridMultilevel"/>
    <w:tmpl w:val="97424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3112CE"/>
    <w:multiLevelType w:val="hybridMultilevel"/>
    <w:tmpl w:val="2B12D1F8"/>
    <w:lvl w:ilvl="0" w:tplc="0415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707878F6"/>
    <w:multiLevelType w:val="hybridMultilevel"/>
    <w:tmpl w:val="8FD21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767C23"/>
    <w:multiLevelType w:val="hybridMultilevel"/>
    <w:tmpl w:val="4B9CFE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D5687"/>
    <w:multiLevelType w:val="multilevel"/>
    <w:tmpl w:val="A00207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3"/>
  </w:num>
  <w:num w:numId="3">
    <w:abstractNumId w:val="7"/>
  </w:num>
  <w:num w:numId="4">
    <w:abstractNumId w:val="24"/>
  </w:num>
  <w:num w:numId="5">
    <w:abstractNumId w:val="3"/>
  </w:num>
  <w:num w:numId="6">
    <w:abstractNumId w:val="19"/>
  </w:num>
  <w:num w:numId="7">
    <w:abstractNumId w:val="5"/>
  </w:num>
  <w:num w:numId="8">
    <w:abstractNumId w:val="25"/>
  </w:num>
  <w:num w:numId="9">
    <w:abstractNumId w:val="27"/>
  </w:num>
  <w:num w:numId="10">
    <w:abstractNumId w:val="8"/>
  </w:num>
  <w:num w:numId="11">
    <w:abstractNumId w:val="12"/>
  </w:num>
  <w:num w:numId="12">
    <w:abstractNumId w:val="2"/>
  </w:num>
  <w:num w:numId="13">
    <w:abstractNumId w:val="29"/>
  </w:num>
  <w:num w:numId="14">
    <w:abstractNumId w:val="14"/>
  </w:num>
  <w:num w:numId="15">
    <w:abstractNumId w:val="17"/>
  </w:num>
  <w:num w:numId="16">
    <w:abstractNumId w:val="16"/>
  </w:num>
  <w:num w:numId="17">
    <w:abstractNumId w:val="4"/>
  </w:num>
  <w:num w:numId="18">
    <w:abstractNumId w:val="26"/>
  </w:num>
  <w:num w:numId="19">
    <w:abstractNumId w:val="22"/>
  </w:num>
  <w:num w:numId="20">
    <w:abstractNumId w:val="9"/>
  </w:num>
  <w:num w:numId="21">
    <w:abstractNumId w:val="28"/>
  </w:num>
  <w:num w:numId="22">
    <w:abstractNumId w:val="11"/>
  </w:num>
  <w:num w:numId="23">
    <w:abstractNumId w:val="21"/>
  </w:num>
  <w:num w:numId="24">
    <w:abstractNumId w:val="15"/>
  </w:num>
  <w:num w:numId="25">
    <w:abstractNumId w:val="18"/>
  </w:num>
  <w:num w:numId="26">
    <w:abstractNumId w:val="13"/>
  </w:num>
  <w:num w:numId="27">
    <w:abstractNumId w:val="6"/>
  </w:num>
  <w:num w:numId="28">
    <w:abstractNumId w:val="0"/>
  </w:num>
  <w:num w:numId="29">
    <w:abstractNumId w:val="10"/>
  </w:num>
  <w:num w:numId="30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6E"/>
    <w:rsid w:val="00000A44"/>
    <w:rsid w:val="00050D68"/>
    <w:rsid w:val="00055643"/>
    <w:rsid w:val="00060D8F"/>
    <w:rsid w:val="00073484"/>
    <w:rsid w:val="00080422"/>
    <w:rsid w:val="000B75E9"/>
    <w:rsid w:val="000D133E"/>
    <w:rsid w:val="000E6831"/>
    <w:rsid w:val="001106D1"/>
    <w:rsid w:val="00135DA0"/>
    <w:rsid w:val="0014215D"/>
    <w:rsid w:val="00153A37"/>
    <w:rsid w:val="00155186"/>
    <w:rsid w:val="001662D2"/>
    <w:rsid w:val="001736B1"/>
    <w:rsid w:val="00196A33"/>
    <w:rsid w:val="001B6EF2"/>
    <w:rsid w:val="001C059D"/>
    <w:rsid w:val="001F176C"/>
    <w:rsid w:val="001F27EC"/>
    <w:rsid w:val="001F3097"/>
    <w:rsid w:val="00204DC7"/>
    <w:rsid w:val="00205A55"/>
    <w:rsid w:val="0022262E"/>
    <w:rsid w:val="00270F46"/>
    <w:rsid w:val="002856C3"/>
    <w:rsid w:val="00293D6E"/>
    <w:rsid w:val="00296018"/>
    <w:rsid w:val="002A455B"/>
    <w:rsid w:val="002B3DA8"/>
    <w:rsid w:val="002B6D6F"/>
    <w:rsid w:val="002D71AE"/>
    <w:rsid w:val="002E074A"/>
    <w:rsid w:val="002F7D6F"/>
    <w:rsid w:val="00346A10"/>
    <w:rsid w:val="00346D56"/>
    <w:rsid w:val="0035434D"/>
    <w:rsid w:val="00362530"/>
    <w:rsid w:val="003C456B"/>
    <w:rsid w:val="003C765F"/>
    <w:rsid w:val="004401AA"/>
    <w:rsid w:val="004471D2"/>
    <w:rsid w:val="00451B24"/>
    <w:rsid w:val="00454263"/>
    <w:rsid w:val="00464568"/>
    <w:rsid w:val="00481CA5"/>
    <w:rsid w:val="00485AE3"/>
    <w:rsid w:val="004925AC"/>
    <w:rsid w:val="004A423A"/>
    <w:rsid w:val="004C5477"/>
    <w:rsid w:val="004C6E88"/>
    <w:rsid w:val="004E6D54"/>
    <w:rsid w:val="004F4F2F"/>
    <w:rsid w:val="004F7224"/>
    <w:rsid w:val="00542609"/>
    <w:rsid w:val="00547FA6"/>
    <w:rsid w:val="00550CA6"/>
    <w:rsid w:val="005716FA"/>
    <w:rsid w:val="00582139"/>
    <w:rsid w:val="00584592"/>
    <w:rsid w:val="005860D8"/>
    <w:rsid w:val="00591442"/>
    <w:rsid w:val="0059431C"/>
    <w:rsid w:val="005B100E"/>
    <w:rsid w:val="005B23C0"/>
    <w:rsid w:val="005B4234"/>
    <w:rsid w:val="005C1BEF"/>
    <w:rsid w:val="005C7310"/>
    <w:rsid w:val="005E3C84"/>
    <w:rsid w:val="005F03C7"/>
    <w:rsid w:val="005F1829"/>
    <w:rsid w:val="005F6219"/>
    <w:rsid w:val="00601922"/>
    <w:rsid w:val="0060309F"/>
    <w:rsid w:val="00613909"/>
    <w:rsid w:val="006149C1"/>
    <w:rsid w:val="00625FAF"/>
    <w:rsid w:val="006445D0"/>
    <w:rsid w:val="00647E00"/>
    <w:rsid w:val="00655729"/>
    <w:rsid w:val="00660415"/>
    <w:rsid w:val="00670AE7"/>
    <w:rsid w:val="00687024"/>
    <w:rsid w:val="006A4BB4"/>
    <w:rsid w:val="006B0031"/>
    <w:rsid w:val="006B4D2B"/>
    <w:rsid w:val="006C14CC"/>
    <w:rsid w:val="006C270E"/>
    <w:rsid w:val="006C7685"/>
    <w:rsid w:val="006D0E8C"/>
    <w:rsid w:val="006D38B6"/>
    <w:rsid w:val="006D4C9A"/>
    <w:rsid w:val="0071060F"/>
    <w:rsid w:val="00727086"/>
    <w:rsid w:val="00730187"/>
    <w:rsid w:val="00745F0E"/>
    <w:rsid w:val="00751AA7"/>
    <w:rsid w:val="00765A8C"/>
    <w:rsid w:val="0077580C"/>
    <w:rsid w:val="00776E34"/>
    <w:rsid w:val="0079084B"/>
    <w:rsid w:val="007936B3"/>
    <w:rsid w:val="00794174"/>
    <w:rsid w:val="007A6875"/>
    <w:rsid w:val="007D07AC"/>
    <w:rsid w:val="007D32CA"/>
    <w:rsid w:val="008050BA"/>
    <w:rsid w:val="00813ABB"/>
    <w:rsid w:val="0081621B"/>
    <w:rsid w:val="00852068"/>
    <w:rsid w:val="0088334C"/>
    <w:rsid w:val="008836DB"/>
    <w:rsid w:val="008A0E66"/>
    <w:rsid w:val="008B617D"/>
    <w:rsid w:val="008B7B70"/>
    <w:rsid w:val="00913ED1"/>
    <w:rsid w:val="009204D3"/>
    <w:rsid w:val="00930999"/>
    <w:rsid w:val="009521B9"/>
    <w:rsid w:val="009552B6"/>
    <w:rsid w:val="009566D5"/>
    <w:rsid w:val="009826E1"/>
    <w:rsid w:val="0098513C"/>
    <w:rsid w:val="00996408"/>
    <w:rsid w:val="009D0CFA"/>
    <w:rsid w:val="009E374E"/>
    <w:rsid w:val="009E741D"/>
    <w:rsid w:val="00A14A47"/>
    <w:rsid w:val="00A35C5B"/>
    <w:rsid w:val="00A504B8"/>
    <w:rsid w:val="00A51700"/>
    <w:rsid w:val="00A57A27"/>
    <w:rsid w:val="00A8020A"/>
    <w:rsid w:val="00A97453"/>
    <w:rsid w:val="00AA1310"/>
    <w:rsid w:val="00AD577A"/>
    <w:rsid w:val="00AE4491"/>
    <w:rsid w:val="00AE70FA"/>
    <w:rsid w:val="00AE7B54"/>
    <w:rsid w:val="00B01104"/>
    <w:rsid w:val="00B16F10"/>
    <w:rsid w:val="00B3413B"/>
    <w:rsid w:val="00B42CE6"/>
    <w:rsid w:val="00B516C3"/>
    <w:rsid w:val="00B54ADD"/>
    <w:rsid w:val="00B666BE"/>
    <w:rsid w:val="00B71B82"/>
    <w:rsid w:val="00B96729"/>
    <w:rsid w:val="00B9730A"/>
    <w:rsid w:val="00BC2EF2"/>
    <w:rsid w:val="00BC452C"/>
    <w:rsid w:val="00BC6875"/>
    <w:rsid w:val="00C27537"/>
    <w:rsid w:val="00C3264F"/>
    <w:rsid w:val="00C341FF"/>
    <w:rsid w:val="00C57031"/>
    <w:rsid w:val="00C97CD1"/>
    <w:rsid w:val="00CF4AFF"/>
    <w:rsid w:val="00D00B45"/>
    <w:rsid w:val="00D1333F"/>
    <w:rsid w:val="00D4516B"/>
    <w:rsid w:val="00D6423F"/>
    <w:rsid w:val="00D64F2E"/>
    <w:rsid w:val="00D66653"/>
    <w:rsid w:val="00DA49D4"/>
    <w:rsid w:val="00DB16F2"/>
    <w:rsid w:val="00DC36A1"/>
    <w:rsid w:val="00E3381D"/>
    <w:rsid w:val="00E338EA"/>
    <w:rsid w:val="00E61307"/>
    <w:rsid w:val="00E71EE0"/>
    <w:rsid w:val="00E96D30"/>
    <w:rsid w:val="00EB5AA3"/>
    <w:rsid w:val="00EC150B"/>
    <w:rsid w:val="00EE3398"/>
    <w:rsid w:val="00EE3816"/>
    <w:rsid w:val="00EE690B"/>
    <w:rsid w:val="00EF533D"/>
    <w:rsid w:val="00EF6CAF"/>
    <w:rsid w:val="00F17DF9"/>
    <w:rsid w:val="00F3745B"/>
    <w:rsid w:val="00F56192"/>
    <w:rsid w:val="00F80743"/>
    <w:rsid w:val="00F82810"/>
    <w:rsid w:val="00FA6CA0"/>
    <w:rsid w:val="00FA766D"/>
    <w:rsid w:val="00FC397D"/>
    <w:rsid w:val="00FC4235"/>
    <w:rsid w:val="00FF138B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308ED"/>
  <w15:docId w15:val="{EA36B83A-0B21-4040-B51B-D9D8FAA6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4EAC"/>
    <w:pPr>
      <w:keepNext/>
      <w:keepLines/>
      <w:numPr>
        <w:numId w:val="2"/>
      </w:numPr>
      <w:spacing w:before="480" w:after="240"/>
      <w:outlineLvl w:val="0"/>
    </w:pPr>
    <w:rPr>
      <w:rFonts w:ascii="Arial" w:eastAsiaTheme="majorEastAsia" w:hAnsi="Arial" w:cstheme="majorBidi"/>
      <w:b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4EAC"/>
    <w:pPr>
      <w:keepNext/>
      <w:keepLines/>
      <w:numPr>
        <w:numId w:val="3"/>
      </w:numPr>
      <w:spacing w:before="40" w:line="240" w:lineRule="auto"/>
      <w:outlineLvl w:val="1"/>
    </w:pPr>
    <w:rPr>
      <w:rFonts w:ascii="Arial" w:eastAsiaTheme="majorEastAsia" w:hAnsi="Arial" w:cstheme="majorBidi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0C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D6E"/>
  </w:style>
  <w:style w:type="paragraph" w:styleId="Stopka">
    <w:name w:val="footer"/>
    <w:basedOn w:val="Normalny"/>
    <w:link w:val="StopkaZnak"/>
    <w:uiPriority w:val="99"/>
    <w:unhideWhenUsed/>
    <w:rsid w:val="0029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6E"/>
  </w:style>
  <w:style w:type="paragraph" w:styleId="Tekstdymka">
    <w:name w:val="Balloon Text"/>
    <w:basedOn w:val="Normalny"/>
    <w:link w:val="TekstdymkaZnak"/>
    <w:uiPriority w:val="99"/>
    <w:semiHidden/>
    <w:unhideWhenUsed/>
    <w:rsid w:val="0029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D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9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D07A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F4EAC"/>
    <w:rPr>
      <w:rFonts w:ascii="Arial" w:eastAsiaTheme="majorEastAsia" w:hAnsi="Arial" w:cstheme="majorBidi"/>
      <w:b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F4EAC"/>
    <w:rPr>
      <w:rFonts w:ascii="Arial" w:eastAsiaTheme="majorEastAsia" w:hAnsi="Arial" w:cstheme="majorBidi"/>
      <w:szCs w:val="26"/>
      <w:lang w:eastAsia="pl-PL"/>
    </w:rPr>
  </w:style>
  <w:style w:type="paragraph" w:styleId="Akapitzlist">
    <w:name w:val="List Paragraph"/>
    <w:aliases w:val="maz_wyliczenie,opis dzialania,K-P_odwolanie,A_wyliczenie,Akapit z listą 1,Table of contents numbered,Akapit z listą5,Nagłowek 3,Numerowanie,L1,Preambuła,Akapit z listą BS,Kolorowa lista — akcent 11,Dot pt,F5 List Paragraph,Recommendation"/>
    <w:basedOn w:val="Normalny"/>
    <w:link w:val="AkapitzlistZnak"/>
    <w:uiPriority w:val="34"/>
    <w:qFormat/>
    <w:rsid w:val="00FF4EAC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FF4EAC"/>
    <w:rPr>
      <w:b/>
      <w:bCs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agłowek 3 Znak,Numerowanie Znak,L1 Znak,Preambuła Znak,Akapit z listą BS Znak"/>
    <w:basedOn w:val="Domylnaczcionkaakapitu"/>
    <w:link w:val="Akapitzlist"/>
    <w:uiPriority w:val="34"/>
    <w:qFormat/>
    <w:locked/>
    <w:rsid w:val="00270F46"/>
    <w:rPr>
      <w:rFonts w:ascii="Calibri" w:eastAsia="Calibri" w:hAnsi="Calibri" w:cs="Times New Roman"/>
    </w:rPr>
  </w:style>
  <w:style w:type="paragraph" w:customStyle="1" w:styleId="Default">
    <w:name w:val="Default"/>
    <w:basedOn w:val="Normalny"/>
    <w:uiPriority w:val="99"/>
    <w:rsid w:val="00270F46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22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0C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CA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6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9c39c22-36fd-4b95-8cce-5c4290defd0d" origin="userSelected">
  <element uid="1a327165-c05f-4b82-897e-98b220f6b620" value=""/>
  <element uid="8e27a091-cb9b-4b6e-997a-740a27c5dfef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FE664-96CB-4CFC-B3E9-368317764A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3D1BA6-9021-4543-B69A-E2D881626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1238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FARMACOL</Company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Milczarska</dc:creator>
  <cp:lastModifiedBy>Grzegorz Brzęczek</cp:lastModifiedBy>
  <cp:revision>7</cp:revision>
  <cp:lastPrinted>2021-12-30T09:13:00Z</cp:lastPrinted>
  <dcterms:created xsi:type="dcterms:W3CDTF">2024-09-23T07:51:00Z</dcterms:created>
  <dcterms:modified xsi:type="dcterms:W3CDTF">2024-10-01T06:03:00Z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bbe5e55f-e7ec-45fa-aa34-60943a8d9823</vt:lpwstr>
  </property>
  <property fmtid="{D5CDD505-2E9C-101B-9397-08002B2CF9AE}" pid="3" name="bjSaver">
    <vt:lpwstr>272jmlzwPMK/wbul6X3dxN0m2giuqqkT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policy="e9c39c22-36fd-4b95-8cce-5c4290defd0d" origin="userSelected" xmlns="http://www.boldonj</vt:lpwstr>
  </property>
  <property fmtid="{D5CDD505-2E9C-101B-9397-08002B2CF9AE}" pid="6" name="bjDocumentLabelXML-0">
    <vt:lpwstr>ames.com/2008/01/sie/internal/label"&gt;&lt;element uid="1a327165-c05f-4b82-897e-98b220f6b620" value="" /&gt;&lt;element uid="8e27a091-cb9b-4b6e-997a-740a27c5dfef" value="" /&gt;&lt;/sisl&gt;</vt:lpwstr>
  </property>
  <property fmtid="{D5CDD505-2E9C-101B-9397-08002B2CF9AE}" pid="7" name="bjDocumentSecurityLabel">
    <vt:lpwstr>BIZNESOWE/ZEWNĘTRZNE</vt:lpwstr>
  </property>
</Properties>
</file>