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8F774" w14:textId="77777777" w:rsidR="00F26D41" w:rsidRDefault="00F26D41" w:rsidP="00BE19ED">
      <w:pPr>
        <w:spacing w:after="0"/>
        <w:rPr>
          <w:i/>
          <w:color w:val="FF0000"/>
        </w:rPr>
      </w:pPr>
      <w:bookmarkStart w:id="0" w:name="_GoBack"/>
      <w:bookmarkEnd w:id="0"/>
    </w:p>
    <w:p w14:paraId="6E96C7D4" w14:textId="77777777" w:rsidR="00EE5E33" w:rsidRPr="00BE11CB" w:rsidRDefault="00EE5E33" w:rsidP="00EE5E33">
      <w:pPr>
        <w:spacing w:after="0"/>
        <w:jc w:val="right"/>
        <w:rPr>
          <w:i/>
          <w:color w:val="FF0000"/>
        </w:rPr>
      </w:pPr>
      <w:r w:rsidRPr="00BE11CB">
        <w:rPr>
          <w:i/>
          <w:color w:val="FF0000"/>
        </w:rPr>
        <w:lastRenderedPageBreak/>
        <w:t>Załącznik nr 1</w:t>
      </w:r>
    </w:p>
    <w:p w14:paraId="297CF6E5" w14:textId="77777777" w:rsidR="00EE5E33" w:rsidRPr="00BE11CB" w:rsidRDefault="00EE5E33" w:rsidP="00EE5E33">
      <w:pPr>
        <w:spacing w:after="0"/>
        <w:jc w:val="right"/>
      </w:pPr>
    </w:p>
    <w:p w14:paraId="3A1871CE" w14:textId="77777777" w:rsidR="00EE5E33" w:rsidRPr="00BE11CB" w:rsidRDefault="00EE5E33" w:rsidP="00EE5E33">
      <w:pPr>
        <w:spacing w:after="0"/>
        <w:jc w:val="right"/>
      </w:pPr>
    </w:p>
    <w:p w14:paraId="56D2B1AB" w14:textId="77777777" w:rsidR="00EE5E33" w:rsidRPr="00BE11CB" w:rsidRDefault="00EE5E33" w:rsidP="00EE5E33">
      <w:pPr>
        <w:spacing w:after="0"/>
        <w:jc w:val="right"/>
      </w:pPr>
      <w:r w:rsidRPr="00BE11CB">
        <w:t>………………………………</w:t>
      </w:r>
    </w:p>
    <w:p w14:paraId="6BF6D20C" w14:textId="77777777" w:rsidR="00EE5E33" w:rsidRPr="00BE11CB" w:rsidRDefault="00EE5E33" w:rsidP="00EE5E33">
      <w:pPr>
        <w:spacing w:after="0"/>
        <w:jc w:val="right"/>
      </w:pPr>
      <w:r w:rsidRPr="00BE11CB">
        <w:t>(miejscowość i data)</w:t>
      </w:r>
    </w:p>
    <w:p w14:paraId="76E509E5" w14:textId="77777777" w:rsidR="00EE5E33" w:rsidRPr="00BE11CB" w:rsidRDefault="00EE5E33" w:rsidP="00EE5E33">
      <w:pPr>
        <w:spacing w:after="0"/>
      </w:pPr>
      <w:r w:rsidRPr="00BE11CB">
        <w:t>…………………………………</w:t>
      </w:r>
    </w:p>
    <w:p w14:paraId="4BB999FD" w14:textId="77777777" w:rsidR="00EE5E33" w:rsidRPr="00BE11CB" w:rsidRDefault="00EE5E33" w:rsidP="00EE5E33">
      <w:pPr>
        <w:spacing w:after="0"/>
      </w:pPr>
      <w:r w:rsidRPr="00BE11CB">
        <w:t>…………………………………</w:t>
      </w:r>
    </w:p>
    <w:p w14:paraId="2A556C3B" w14:textId="77777777" w:rsidR="00EE5E33" w:rsidRPr="00BE11CB" w:rsidRDefault="00EE5E33" w:rsidP="00EE5E33">
      <w:pPr>
        <w:spacing w:after="0"/>
        <w:rPr>
          <w:color w:val="FF0000"/>
          <w:sz w:val="16"/>
          <w:szCs w:val="16"/>
        </w:rPr>
      </w:pPr>
      <w:r w:rsidRPr="00BE11CB">
        <w:rPr>
          <w:color w:val="FF0000"/>
          <w:sz w:val="16"/>
          <w:szCs w:val="16"/>
        </w:rPr>
        <w:t xml:space="preserve">            (dane oferenta)</w:t>
      </w:r>
    </w:p>
    <w:p w14:paraId="2A25EDCC" w14:textId="77777777" w:rsidR="00EE5E33" w:rsidRPr="00BE11CB" w:rsidRDefault="00EE5E33" w:rsidP="00EE5E33">
      <w:pPr>
        <w:spacing w:after="0"/>
        <w:rPr>
          <w:color w:val="FF0000"/>
          <w:sz w:val="16"/>
          <w:szCs w:val="16"/>
        </w:rPr>
      </w:pPr>
    </w:p>
    <w:p w14:paraId="0C208733" w14:textId="77777777" w:rsidR="00EE5E33" w:rsidRPr="00BE11CB" w:rsidRDefault="00EE5E33" w:rsidP="00EE5E33">
      <w:pPr>
        <w:spacing w:after="0"/>
        <w:ind w:left="6372"/>
        <w:rPr>
          <w:b/>
        </w:rPr>
      </w:pPr>
      <w:r w:rsidRPr="00BE11CB">
        <w:rPr>
          <w:b/>
        </w:rPr>
        <w:t>Urząd Dozoru Technicznego</w:t>
      </w:r>
    </w:p>
    <w:p w14:paraId="56EF6C11" w14:textId="77777777" w:rsidR="00EE5E33" w:rsidRPr="00BE11CB" w:rsidRDefault="00EE5E33" w:rsidP="00EE5E33">
      <w:pPr>
        <w:spacing w:after="0"/>
        <w:ind w:left="5664" w:firstLine="708"/>
        <w:rPr>
          <w:b/>
        </w:rPr>
      </w:pPr>
      <w:r w:rsidRPr="00BE11CB">
        <w:rPr>
          <w:b/>
        </w:rPr>
        <w:t xml:space="preserve">ul. </w:t>
      </w:r>
      <w:proofErr w:type="spellStart"/>
      <w:r w:rsidRPr="00BE11CB">
        <w:rPr>
          <w:b/>
        </w:rPr>
        <w:t>Szczęśliwicka</w:t>
      </w:r>
      <w:proofErr w:type="spellEnd"/>
      <w:r w:rsidRPr="00BE11CB">
        <w:rPr>
          <w:b/>
        </w:rPr>
        <w:t xml:space="preserve"> 34</w:t>
      </w:r>
    </w:p>
    <w:p w14:paraId="3A11BF63" w14:textId="77777777" w:rsidR="00EE5E33" w:rsidRPr="00BE11CB" w:rsidRDefault="00EE5E33" w:rsidP="00EE5E33">
      <w:pPr>
        <w:spacing w:after="0"/>
        <w:ind w:left="5664" w:firstLine="708"/>
        <w:rPr>
          <w:b/>
        </w:rPr>
      </w:pPr>
      <w:r w:rsidRPr="00BE11CB">
        <w:rPr>
          <w:b/>
        </w:rPr>
        <w:t>02-353 Warszawa</w:t>
      </w:r>
    </w:p>
    <w:p w14:paraId="55E8126E" w14:textId="77777777" w:rsidR="00EE5E33" w:rsidRPr="00BE11CB" w:rsidRDefault="00EE5E33" w:rsidP="00EE5E33">
      <w:pPr>
        <w:jc w:val="center"/>
        <w:rPr>
          <w:b/>
          <w:bCs/>
        </w:rPr>
      </w:pPr>
    </w:p>
    <w:p w14:paraId="4317DB28" w14:textId="77777777" w:rsidR="00EE5E33" w:rsidRPr="00BE11CB" w:rsidRDefault="00EE5E33" w:rsidP="00EE5E33">
      <w:pPr>
        <w:jc w:val="center"/>
        <w:rPr>
          <w:b/>
          <w:bCs/>
        </w:rPr>
      </w:pPr>
      <w:r w:rsidRPr="00BE11CB">
        <w:rPr>
          <w:b/>
          <w:bCs/>
        </w:rPr>
        <w:t>Oferta na przeprowadzenie szkolenia zamkniętego dla Urzędu Dozoru Technicznego</w:t>
      </w:r>
    </w:p>
    <w:p w14:paraId="053F552B" w14:textId="1CCA288F" w:rsidR="001E4D6D" w:rsidRPr="007B5B15" w:rsidRDefault="00EE5E33" w:rsidP="001E4D6D">
      <w:pPr>
        <w:jc w:val="both"/>
      </w:pPr>
      <w:r w:rsidRPr="00BE11CB">
        <w:t xml:space="preserve">Oferujemy realizację dla Urzędu Dozoru Technicznego </w:t>
      </w:r>
      <w:r w:rsidR="00CC78C2" w:rsidRPr="00BE11CB">
        <w:t xml:space="preserve">szkolenia zamkniętego </w:t>
      </w:r>
      <w:r w:rsidR="00614E5F" w:rsidRPr="00BE11CB">
        <w:t xml:space="preserve">pt. </w:t>
      </w:r>
      <w:r w:rsidR="001E4D6D" w:rsidRPr="009B3F79">
        <w:rPr>
          <w:b/>
        </w:rPr>
        <w:t>„</w:t>
      </w:r>
      <w:r w:rsidR="00600BA6" w:rsidRPr="008A0E83">
        <w:rPr>
          <w:b/>
        </w:rPr>
        <w:t>Bezpieczeństwo pracy w strefach zagrożenia wybuchem</w:t>
      </w:r>
      <w:r w:rsidR="001E4D6D" w:rsidRPr="00017E07">
        <w:rPr>
          <w:b/>
        </w:rPr>
        <w:t>”</w:t>
      </w:r>
      <w:r w:rsidR="001E4D6D">
        <w:rPr>
          <w:b/>
        </w:rPr>
        <w:t>.</w:t>
      </w:r>
    </w:p>
    <w:p w14:paraId="69B2F89C" w14:textId="77777777" w:rsidR="00EE5E33" w:rsidRPr="00BE11CB" w:rsidRDefault="00EE5E33" w:rsidP="001E4D6D">
      <w:pPr>
        <w:jc w:val="both"/>
      </w:pPr>
      <w:r w:rsidRPr="00BE11CB">
        <w:t>zgodnie z wyceną znajdującą się w poniższej tabeli.</w:t>
      </w:r>
    </w:p>
    <w:p w14:paraId="11F85609" w14:textId="77777777" w:rsidR="00614E5F" w:rsidRPr="00BE11CB" w:rsidRDefault="00614E5F" w:rsidP="00614E5F">
      <w:pPr>
        <w:shd w:val="clear" w:color="auto" w:fill="FFFFFF"/>
        <w:spacing w:after="150" w:line="240" w:lineRule="auto"/>
        <w:jc w:val="both"/>
        <w:rPr>
          <w:rFonts w:eastAsia="Times New Roman" w:cs="Helvetica"/>
          <w:lang w:eastAsia="pl-PL"/>
        </w:rPr>
      </w:pPr>
      <w:r w:rsidRPr="00BE11CB">
        <w:rPr>
          <w:rFonts w:eastAsia="Times New Roman" w:cs="Helvetica"/>
          <w:lang w:eastAsia="pl-PL"/>
        </w:rPr>
        <w:t>Oferta zawiera:</w:t>
      </w:r>
    </w:p>
    <w:p w14:paraId="7F09572E" w14:textId="77777777" w:rsidR="00795EF9" w:rsidRPr="00BE11CB" w:rsidRDefault="00795EF9" w:rsidP="00EA3DC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BE11CB">
        <w:t>opis firmy szkoleniowej;</w:t>
      </w:r>
    </w:p>
    <w:p w14:paraId="24627D98" w14:textId="77777777" w:rsidR="00795EF9" w:rsidRPr="00BE11CB" w:rsidRDefault="00795EF9" w:rsidP="00EA3DC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BE11CB">
        <w:t>doświadczanie firmy w prowadzeniu szkoleń o podobnej tematyce;</w:t>
      </w:r>
    </w:p>
    <w:p w14:paraId="7178E9B0" w14:textId="77777777" w:rsidR="00795EF9" w:rsidRPr="00BE11CB" w:rsidRDefault="00795EF9" w:rsidP="00EA3DC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BE11CB">
        <w:t>sylwetkę trenera dedykowanego do przeprowadzenia szkolenia;</w:t>
      </w:r>
    </w:p>
    <w:p w14:paraId="46A9EAFD" w14:textId="77777777" w:rsidR="00795EF9" w:rsidRPr="00BE11CB" w:rsidRDefault="00795EF9" w:rsidP="00EA3DC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BE11CB">
        <w:t>propozycję  programu szkolenia w oparciu o zawarte w ogłoszeniu założenia;</w:t>
      </w:r>
    </w:p>
    <w:p w14:paraId="7FA8D508" w14:textId="77777777" w:rsidR="00795EF9" w:rsidRPr="00BE11CB" w:rsidRDefault="00795EF9" w:rsidP="00EA3DC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BE11CB">
        <w:t>w cenie oferty proszę ująć materiały szkoleniowe, ankiety, raport z ankiet oraz certyfikat ukończenia szkolenia.</w:t>
      </w:r>
    </w:p>
    <w:p w14:paraId="0B018E0B" w14:textId="77777777" w:rsidR="00795EF9" w:rsidRPr="00BE11CB" w:rsidRDefault="00795EF9" w:rsidP="00EA3DC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BE11CB">
        <w:t>PROSZĘ PRZEDSTAWIĆ OFERTĘ NA SZKOLENIE PROWADZONE W WERSJI:</w:t>
      </w:r>
    </w:p>
    <w:p w14:paraId="55B2F278" w14:textId="77777777" w:rsidR="00795EF9" w:rsidRPr="00BE11CB" w:rsidRDefault="00795EF9" w:rsidP="00EA3DC3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BE11CB">
        <w:rPr>
          <w:b/>
        </w:rPr>
        <w:t xml:space="preserve">ONLINE </w:t>
      </w:r>
    </w:p>
    <w:p w14:paraId="4D0CC175" w14:textId="77777777" w:rsidR="00795EF9" w:rsidRPr="00BE11CB" w:rsidRDefault="00795EF9" w:rsidP="000017C2">
      <w:pPr>
        <w:spacing w:after="0" w:line="240" w:lineRule="auto"/>
        <w:ind w:left="710"/>
        <w:jc w:val="both"/>
      </w:pPr>
      <w:r w:rsidRPr="000017C2">
        <w:rPr>
          <w:b/>
        </w:rPr>
        <w:t xml:space="preserve"> </w:t>
      </w:r>
    </w:p>
    <w:p w14:paraId="24FD618A" w14:textId="77777777" w:rsidR="00600BA6" w:rsidRPr="00077D37" w:rsidRDefault="00600BA6" w:rsidP="00600B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077D37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I. OPIS PRZEDMIOTU ZAMÓWIENIA</w:t>
      </w:r>
    </w:p>
    <w:p w14:paraId="2793A461" w14:textId="77777777" w:rsidR="00600BA6" w:rsidRPr="006F17F7" w:rsidRDefault="00600BA6" w:rsidP="00600BA6">
      <w:pPr>
        <w:jc w:val="both"/>
        <w:rPr>
          <w:rFonts w:cs="Calibri,Bold"/>
          <w:b/>
          <w:bCs/>
          <w:u w:val="single"/>
        </w:rPr>
      </w:pPr>
      <w:r w:rsidRPr="006F17F7">
        <w:rPr>
          <w:rFonts w:cs="Calibri,Bold"/>
          <w:b/>
          <w:bCs/>
          <w:u w:val="single"/>
        </w:rPr>
        <w:t>Grupa docelowa:</w:t>
      </w:r>
    </w:p>
    <w:p w14:paraId="6615EE62" w14:textId="77777777" w:rsidR="00600BA6" w:rsidRDefault="00600BA6" w:rsidP="00600BA6">
      <w:pPr>
        <w:jc w:val="both"/>
        <w:rPr>
          <w:rFonts w:cs="Calibri,Bold"/>
          <w:bCs/>
        </w:rPr>
      </w:pPr>
      <w:r>
        <w:rPr>
          <w:rFonts w:cs="Calibri,Bold"/>
          <w:bCs/>
        </w:rPr>
        <w:t>Pracownicy Urzędu Dozoru Technicznego.</w:t>
      </w:r>
    </w:p>
    <w:p w14:paraId="72671AF0" w14:textId="77777777" w:rsidR="00600BA6" w:rsidRPr="00131953" w:rsidRDefault="00600BA6" w:rsidP="00600BA6">
      <w:pPr>
        <w:spacing w:before="120"/>
        <w:jc w:val="both"/>
        <w:rPr>
          <w:rFonts w:cs="Calibri,Bold"/>
          <w:b/>
          <w:bCs/>
          <w:u w:val="single"/>
        </w:rPr>
      </w:pPr>
      <w:r w:rsidRPr="00131953">
        <w:rPr>
          <w:rFonts w:cs="Calibri,Bold"/>
          <w:b/>
          <w:bCs/>
          <w:u w:val="single"/>
        </w:rPr>
        <w:t>Zakres tematyczny:</w:t>
      </w:r>
    </w:p>
    <w:p w14:paraId="78815442" w14:textId="77777777" w:rsidR="00600BA6" w:rsidRDefault="00600BA6" w:rsidP="00600BA6">
      <w:pPr>
        <w:pStyle w:val="Default"/>
        <w:jc w:val="both"/>
        <w:rPr>
          <w:sz w:val="22"/>
          <w:szCs w:val="20"/>
        </w:rPr>
      </w:pPr>
      <w:r w:rsidRPr="00233C5F">
        <w:rPr>
          <w:rFonts w:ascii="Cambria Math" w:hAnsi="Cambria Math" w:cs="Cambria Math"/>
          <w:sz w:val="22"/>
          <w:szCs w:val="20"/>
        </w:rPr>
        <w:t>⎯</w:t>
      </w:r>
      <w:r>
        <w:rPr>
          <w:sz w:val="22"/>
          <w:szCs w:val="20"/>
        </w:rPr>
        <w:t xml:space="preserve"> </w:t>
      </w:r>
      <w:r w:rsidRPr="00233C5F">
        <w:rPr>
          <w:sz w:val="22"/>
          <w:szCs w:val="20"/>
        </w:rPr>
        <w:t xml:space="preserve">Podstawowe pojęcia i definicje związane z atmosferami wybuchowymi oraz ich praktyczne </w:t>
      </w:r>
      <w:r>
        <w:rPr>
          <w:sz w:val="22"/>
          <w:szCs w:val="20"/>
        </w:rPr>
        <w:t xml:space="preserve">  </w:t>
      </w:r>
      <w:r w:rsidRPr="00233C5F">
        <w:rPr>
          <w:sz w:val="22"/>
          <w:szCs w:val="20"/>
        </w:rPr>
        <w:t>wykorzystanie,</w:t>
      </w:r>
    </w:p>
    <w:p w14:paraId="148A578C" w14:textId="77777777" w:rsidR="00600BA6" w:rsidRPr="00233C5F" w:rsidRDefault="00600BA6" w:rsidP="00600BA6">
      <w:pPr>
        <w:pStyle w:val="Default"/>
        <w:jc w:val="both"/>
        <w:rPr>
          <w:sz w:val="22"/>
          <w:szCs w:val="20"/>
        </w:rPr>
      </w:pPr>
    </w:p>
    <w:p w14:paraId="1A4D5B2C" w14:textId="77777777" w:rsidR="00600BA6" w:rsidRDefault="00600BA6" w:rsidP="00600BA6">
      <w:pPr>
        <w:pStyle w:val="Default"/>
        <w:jc w:val="both"/>
        <w:rPr>
          <w:sz w:val="22"/>
          <w:szCs w:val="20"/>
        </w:rPr>
      </w:pPr>
      <w:r w:rsidRPr="00233C5F">
        <w:rPr>
          <w:rFonts w:ascii="Cambria Math" w:hAnsi="Cambria Math" w:cs="Cambria Math"/>
          <w:sz w:val="22"/>
          <w:szCs w:val="20"/>
        </w:rPr>
        <w:t>⎯</w:t>
      </w:r>
      <w:r>
        <w:rPr>
          <w:sz w:val="22"/>
          <w:szCs w:val="20"/>
        </w:rPr>
        <w:t xml:space="preserve"> </w:t>
      </w:r>
      <w:r w:rsidRPr="00233C5F">
        <w:rPr>
          <w:sz w:val="22"/>
          <w:szCs w:val="20"/>
        </w:rPr>
        <w:t>Dyrektywy ATEX oraz przepisy prawne związane z atmosferami wybuchowymi,</w:t>
      </w:r>
    </w:p>
    <w:p w14:paraId="24AF5B23" w14:textId="77777777" w:rsidR="00600BA6" w:rsidRPr="00233C5F" w:rsidRDefault="00600BA6" w:rsidP="00600BA6">
      <w:pPr>
        <w:pStyle w:val="Default"/>
        <w:jc w:val="both"/>
        <w:rPr>
          <w:sz w:val="22"/>
          <w:szCs w:val="20"/>
        </w:rPr>
      </w:pPr>
    </w:p>
    <w:p w14:paraId="7648115F" w14:textId="77777777" w:rsidR="00600BA6" w:rsidRDefault="00600BA6" w:rsidP="00600BA6">
      <w:pPr>
        <w:pStyle w:val="Default"/>
        <w:jc w:val="both"/>
        <w:rPr>
          <w:sz w:val="22"/>
          <w:szCs w:val="20"/>
        </w:rPr>
      </w:pPr>
      <w:r w:rsidRPr="00233C5F">
        <w:rPr>
          <w:rFonts w:ascii="Cambria Math" w:hAnsi="Cambria Math" w:cs="Cambria Math"/>
          <w:sz w:val="22"/>
          <w:szCs w:val="20"/>
        </w:rPr>
        <w:t>⎯</w:t>
      </w:r>
      <w:r>
        <w:rPr>
          <w:sz w:val="22"/>
          <w:szCs w:val="20"/>
        </w:rPr>
        <w:t xml:space="preserve"> </w:t>
      </w:r>
      <w:r w:rsidRPr="00233C5F">
        <w:rPr>
          <w:sz w:val="22"/>
          <w:szCs w:val="20"/>
        </w:rPr>
        <w:t>Omówienie Oceny Zagrożenia Wybuchem (OZW) oraz Dokumentu Zabezpieczenia Przed Wybuchem (DZPW) wraz z Oceną Ryzyka Wybuchu (ORW),</w:t>
      </w:r>
    </w:p>
    <w:p w14:paraId="45CF6A8A" w14:textId="77777777" w:rsidR="00600BA6" w:rsidRPr="00233C5F" w:rsidRDefault="00600BA6" w:rsidP="00600BA6">
      <w:pPr>
        <w:pStyle w:val="Default"/>
        <w:jc w:val="both"/>
        <w:rPr>
          <w:sz w:val="22"/>
          <w:szCs w:val="20"/>
        </w:rPr>
      </w:pPr>
    </w:p>
    <w:p w14:paraId="413701E1" w14:textId="77777777" w:rsidR="00600BA6" w:rsidRDefault="00600BA6" w:rsidP="00600BA6">
      <w:pPr>
        <w:pStyle w:val="Default"/>
        <w:jc w:val="both"/>
        <w:rPr>
          <w:sz w:val="22"/>
          <w:szCs w:val="20"/>
        </w:rPr>
      </w:pPr>
      <w:r w:rsidRPr="00233C5F">
        <w:rPr>
          <w:rFonts w:ascii="Cambria Math" w:hAnsi="Cambria Math" w:cs="Cambria Math"/>
          <w:sz w:val="22"/>
          <w:szCs w:val="20"/>
        </w:rPr>
        <w:t>⎯</w:t>
      </w:r>
      <w:r>
        <w:rPr>
          <w:sz w:val="22"/>
          <w:szCs w:val="20"/>
        </w:rPr>
        <w:t xml:space="preserve"> </w:t>
      </w:r>
      <w:r w:rsidRPr="00233C5F">
        <w:rPr>
          <w:sz w:val="22"/>
          <w:szCs w:val="20"/>
        </w:rPr>
        <w:t>Zasady klasyfikacji stref zagrożenia wybuchem w teorii i praktyce,</w:t>
      </w:r>
    </w:p>
    <w:p w14:paraId="764FF518" w14:textId="77777777" w:rsidR="00600BA6" w:rsidRPr="00233C5F" w:rsidRDefault="00600BA6" w:rsidP="00600BA6">
      <w:pPr>
        <w:pStyle w:val="Default"/>
        <w:jc w:val="both"/>
        <w:rPr>
          <w:sz w:val="22"/>
          <w:szCs w:val="20"/>
        </w:rPr>
      </w:pPr>
    </w:p>
    <w:p w14:paraId="747A8A2F" w14:textId="77777777" w:rsidR="00600BA6" w:rsidRDefault="00600BA6" w:rsidP="00600BA6">
      <w:pPr>
        <w:pStyle w:val="Default"/>
        <w:jc w:val="both"/>
        <w:rPr>
          <w:sz w:val="22"/>
          <w:szCs w:val="20"/>
        </w:rPr>
      </w:pPr>
      <w:r w:rsidRPr="00233C5F">
        <w:rPr>
          <w:rFonts w:ascii="Cambria Math" w:hAnsi="Cambria Math" w:cs="Cambria Math"/>
          <w:sz w:val="22"/>
          <w:szCs w:val="20"/>
        </w:rPr>
        <w:t>⎯</w:t>
      </w:r>
      <w:r>
        <w:rPr>
          <w:sz w:val="22"/>
          <w:szCs w:val="20"/>
        </w:rPr>
        <w:t xml:space="preserve"> </w:t>
      </w:r>
      <w:r w:rsidRPr="00233C5F">
        <w:rPr>
          <w:sz w:val="22"/>
          <w:szCs w:val="20"/>
        </w:rPr>
        <w:t>Wymagania dla urządzeń elektrycznych i nieelektrycznych w strefach zagrożenia wybuchem oraz systemów ograniczających szkodliwy efekt wybuchu,</w:t>
      </w:r>
    </w:p>
    <w:p w14:paraId="1C141FA4" w14:textId="77777777" w:rsidR="00600BA6" w:rsidRPr="00233C5F" w:rsidRDefault="00600BA6" w:rsidP="00600BA6">
      <w:pPr>
        <w:pStyle w:val="Default"/>
        <w:jc w:val="both"/>
        <w:rPr>
          <w:sz w:val="22"/>
          <w:szCs w:val="20"/>
        </w:rPr>
      </w:pPr>
    </w:p>
    <w:p w14:paraId="4B0EA614" w14:textId="77777777" w:rsidR="00600BA6" w:rsidRDefault="00600BA6" w:rsidP="00600BA6">
      <w:pPr>
        <w:pStyle w:val="Default"/>
        <w:jc w:val="both"/>
        <w:rPr>
          <w:sz w:val="22"/>
          <w:szCs w:val="20"/>
        </w:rPr>
      </w:pPr>
      <w:r w:rsidRPr="00233C5F">
        <w:rPr>
          <w:rFonts w:ascii="Cambria Math" w:hAnsi="Cambria Math" w:cs="Cambria Math"/>
          <w:sz w:val="22"/>
          <w:szCs w:val="20"/>
        </w:rPr>
        <w:t>⎯</w:t>
      </w:r>
      <w:r>
        <w:rPr>
          <w:sz w:val="22"/>
          <w:szCs w:val="20"/>
        </w:rPr>
        <w:t xml:space="preserve"> </w:t>
      </w:r>
      <w:r w:rsidRPr="00233C5F">
        <w:rPr>
          <w:sz w:val="22"/>
          <w:szCs w:val="20"/>
        </w:rPr>
        <w:t>Organizacja pracy w strefach zagrożenia wybuchem, dobór sprzętu i środków ochronnych. Analiza wypadków</w:t>
      </w:r>
      <w:r>
        <w:rPr>
          <w:sz w:val="22"/>
          <w:szCs w:val="20"/>
        </w:rPr>
        <w:t>.</w:t>
      </w:r>
    </w:p>
    <w:p w14:paraId="0C061C65" w14:textId="77777777" w:rsidR="00600BA6" w:rsidRPr="000D0624" w:rsidRDefault="00600BA6" w:rsidP="00600BA6">
      <w:pPr>
        <w:pStyle w:val="Default"/>
        <w:jc w:val="both"/>
        <w:rPr>
          <w:sz w:val="22"/>
          <w:szCs w:val="20"/>
        </w:rPr>
      </w:pPr>
    </w:p>
    <w:p w14:paraId="617BFAF9" w14:textId="77777777" w:rsidR="00600BA6" w:rsidRPr="004D7F25" w:rsidRDefault="00600BA6" w:rsidP="00600BA6">
      <w:pPr>
        <w:pStyle w:val="Default"/>
        <w:jc w:val="both"/>
        <w:rPr>
          <w:sz w:val="22"/>
          <w:szCs w:val="20"/>
          <w:u w:val="single"/>
        </w:rPr>
      </w:pPr>
      <w:r w:rsidRPr="004D7F25">
        <w:rPr>
          <w:sz w:val="22"/>
          <w:szCs w:val="20"/>
          <w:u w:val="single"/>
        </w:rPr>
        <w:t xml:space="preserve">Po wyborze wykonawcy program szkolenia zostanie zweryfikowany i uszczegółowiony, aby jak najlepiej dopasować go do potrzeb pracowników Urzędu Dozoru Technicznego. </w:t>
      </w:r>
    </w:p>
    <w:p w14:paraId="6C5809B5" w14:textId="77777777" w:rsidR="00600BA6" w:rsidRDefault="00600BA6" w:rsidP="00600BA6">
      <w:pPr>
        <w:spacing w:after="0" w:line="240" w:lineRule="auto"/>
        <w:rPr>
          <w:rFonts w:ascii="Helvetica" w:eastAsia="Times New Roman" w:hAnsi="Helvetica" w:cs="Helvetica"/>
          <w:color w:val="666666"/>
          <w:sz w:val="21"/>
          <w:szCs w:val="21"/>
          <w:lang w:eastAsia="pl-PL"/>
        </w:rPr>
      </w:pPr>
    </w:p>
    <w:p w14:paraId="08794A23" w14:textId="77777777" w:rsidR="00600BA6" w:rsidRPr="00D40942" w:rsidRDefault="00600BA6" w:rsidP="00600BA6">
      <w:pPr>
        <w:shd w:val="clear" w:color="auto" w:fill="FFFFFF"/>
        <w:spacing w:after="150" w:line="240" w:lineRule="auto"/>
        <w:jc w:val="both"/>
        <w:rPr>
          <w:rFonts w:eastAsia="Times New Roman" w:cs="Helvetica"/>
          <w:b/>
          <w:bCs/>
          <w:lang w:eastAsia="pl-PL"/>
        </w:rPr>
      </w:pPr>
      <w:r w:rsidRPr="00EA41CA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 xml:space="preserve">II. </w:t>
      </w:r>
      <w:r w:rsidRPr="00D40942">
        <w:rPr>
          <w:rFonts w:eastAsia="Times New Roman" w:cs="Helvetica"/>
          <w:b/>
          <w:bCs/>
          <w:lang w:eastAsia="pl-PL"/>
        </w:rPr>
        <w:t xml:space="preserve">WARUNKI WYBORU OFERTY/WYKONAWCY </w:t>
      </w:r>
    </w:p>
    <w:p w14:paraId="301DCB0D" w14:textId="77777777" w:rsidR="00600BA6" w:rsidRDefault="00600BA6" w:rsidP="00E0507C">
      <w:pPr>
        <w:pStyle w:val="Akapitzlist"/>
        <w:numPr>
          <w:ilvl w:val="0"/>
          <w:numId w:val="41"/>
        </w:numPr>
        <w:shd w:val="clear" w:color="auto" w:fill="FFFFFF"/>
        <w:spacing w:after="150" w:line="240" w:lineRule="auto"/>
        <w:jc w:val="both"/>
        <w:rPr>
          <w:rFonts w:eastAsia="Times New Roman" w:cs="Helvetica"/>
          <w:lang w:eastAsia="pl-PL"/>
        </w:rPr>
      </w:pPr>
      <w:r w:rsidRPr="00D40942">
        <w:rPr>
          <w:rFonts w:eastAsia="Times New Roman" w:cs="Helvetica"/>
          <w:lang w:eastAsia="pl-PL"/>
        </w:rPr>
        <w:lastRenderedPageBreak/>
        <w:t xml:space="preserve">Cena - Wartość oferty - waga </w:t>
      </w:r>
      <w:r>
        <w:rPr>
          <w:rFonts w:eastAsia="Times New Roman" w:cs="Helvetica"/>
          <w:lang w:eastAsia="pl-PL"/>
        </w:rPr>
        <w:t>60</w:t>
      </w:r>
      <w:r w:rsidRPr="00D40942">
        <w:rPr>
          <w:rFonts w:eastAsia="Times New Roman" w:cs="Helvetica"/>
          <w:lang w:eastAsia="pl-PL"/>
        </w:rPr>
        <w:t>%</w:t>
      </w:r>
    </w:p>
    <w:p w14:paraId="02037D41" w14:textId="77777777" w:rsidR="00600BA6" w:rsidRPr="00D40942" w:rsidRDefault="00600BA6" w:rsidP="00600BA6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Helvetica"/>
          <w:lang w:eastAsia="pl-PL"/>
        </w:rPr>
      </w:pPr>
    </w:p>
    <w:p w14:paraId="5AE8DDAF" w14:textId="77777777" w:rsidR="00600BA6" w:rsidRDefault="00600BA6" w:rsidP="00E0507C">
      <w:pPr>
        <w:pStyle w:val="Akapitzlist"/>
        <w:numPr>
          <w:ilvl w:val="0"/>
          <w:numId w:val="41"/>
        </w:numPr>
        <w:shd w:val="clear" w:color="auto" w:fill="FFFFFF"/>
        <w:spacing w:after="150" w:line="240" w:lineRule="auto"/>
        <w:jc w:val="both"/>
        <w:rPr>
          <w:rFonts w:eastAsia="Times New Roman" w:cs="Helvetica"/>
          <w:lang w:eastAsia="pl-PL"/>
        </w:rPr>
      </w:pPr>
      <w:r w:rsidRPr="00233C5F">
        <w:rPr>
          <w:rFonts w:eastAsia="Times New Roman" w:cs="Helvetica"/>
          <w:lang w:eastAsia="pl-PL"/>
        </w:rPr>
        <w:t>Doświadczenie trenerów w prowadzeniu szkoleń z zakresu bezpieczeństwa pracy w strefach zagrożenia</w:t>
      </w:r>
      <w:r>
        <w:rPr>
          <w:rFonts w:eastAsia="Times New Roman" w:cs="Helvetica"/>
          <w:lang w:eastAsia="pl-PL"/>
        </w:rPr>
        <w:t xml:space="preserve"> </w:t>
      </w:r>
      <w:r w:rsidRPr="00233C5F">
        <w:rPr>
          <w:rFonts w:eastAsia="Times New Roman" w:cs="Helvetica"/>
          <w:lang w:eastAsia="pl-PL"/>
        </w:rPr>
        <w:t>wybuchem w zakresie Dyrektyw ATEX, Dyrektywy Maszynowej, Dyrektywy Narzędziowej, wiedzy z</w:t>
      </w:r>
      <w:r>
        <w:rPr>
          <w:rFonts w:eastAsia="Times New Roman" w:cs="Helvetica"/>
          <w:lang w:eastAsia="pl-PL"/>
        </w:rPr>
        <w:t xml:space="preserve"> </w:t>
      </w:r>
      <w:r w:rsidRPr="00233C5F">
        <w:rPr>
          <w:rFonts w:eastAsia="Times New Roman" w:cs="Helvetica"/>
          <w:lang w:eastAsia="pl-PL"/>
        </w:rPr>
        <w:t>zakresu BHP (środków ochrony indywidualnej, zbiorowej, metod oceny ryzyka, wiedzy z zakresu</w:t>
      </w:r>
      <w:r>
        <w:rPr>
          <w:rFonts w:eastAsia="Times New Roman" w:cs="Helvetica"/>
          <w:lang w:eastAsia="pl-PL"/>
        </w:rPr>
        <w:t xml:space="preserve"> </w:t>
      </w:r>
      <w:r w:rsidRPr="00233C5F">
        <w:rPr>
          <w:rFonts w:eastAsia="Times New Roman" w:cs="Helvetica"/>
          <w:lang w:eastAsia="pl-PL"/>
        </w:rPr>
        <w:t>bezpieczeństwa pożarowego o sposobach zapobiegania wybuchom i pożarom.</w:t>
      </w:r>
      <w:r>
        <w:rPr>
          <w:rFonts w:eastAsia="Times New Roman" w:cs="Helvetica"/>
          <w:lang w:eastAsia="pl-PL"/>
        </w:rPr>
        <w:t xml:space="preserve"> </w:t>
      </w:r>
      <w:r w:rsidRPr="00233C5F">
        <w:rPr>
          <w:rFonts w:eastAsia="Times New Roman" w:cs="Helvetica"/>
          <w:lang w:eastAsia="pl-PL"/>
        </w:rPr>
        <w:t>Wykonywanie pomiarów termowizyjnych, ochron antyelektrostatycznych, detekcja gazów i kontrola</w:t>
      </w:r>
      <w:r>
        <w:rPr>
          <w:rFonts w:eastAsia="Times New Roman" w:cs="Helvetica"/>
          <w:lang w:eastAsia="pl-PL"/>
        </w:rPr>
        <w:t xml:space="preserve"> </w:t>
      </w:r>
      <w:r w:rsidRPr="00233C5F">
        <w:rPr>
          <w:rFonts w:eastAsia="Times New Roman" w:cs="Helvetica"/>
          <w:lang w:eastAsia="pl-PL"/>
        </w:rPr>
        <w:t>atmosfery w ramach zapobiegania wytwarzania się mieszanin wybuchowych, wykonywanie badań</w:t>
      </w:r>
      <w:r>
        <w:rPr>
          <w:rFonts w:eastAsia="Times New Roman" w:cs="Helvetica"/>
          <w:lang w:eastAsia="pl-PL"/>
        </w:rPr>
        <w:t xml:space="preserve"> </w:t>
      </w:r>
      <w:r w:rsidRPr="00233C5F">
        <w:rPr>
          <w:rFonts w:eastAsia="Times New Roman" w:cs="Helvetica"/>
          <w:lang w:eastAsia="pl-PL"/>
        </w:rPr>
        <w:t>laboratoryjnych, analizy SIL i HAZOP, obliczenia wytrzymałościowe konstrukcji, urządzeń i instalacji</w:t>
      </w:r>
      <w:r>
        <w:rPr>
          <w:rFonts w:eastAsia="Times New Roman" w:cs="Helvetica"/>
          <w:lang w:eastAsia="pl-PL"/>
        </w:rPr>
        <w:t xml:space="preserve"> </w:t>
      </w:r>
      <w:r w:rsidRPr="00233C5F">
        <w:rPr>
          <w:rFonts w:eastAsia="Times New Roman" w:cs="Helvetica"/>
          <w:lang w:eastAsia="pl-PL"/>
        </w:rPr>
        <w:t>ostatnie 2 lata (03.2022-03.2024)</w:t>
      </w:r>
      <w:r>
        <w:rPr>
          <w:rFonts w:eastAsia="Times New Roman" w:cs="Helvetica"/>
          <w:lang w:eastAsia="pl-PL"/>
        </w:rPr>
        <w:t xml:space="preserve"> – 20%</w:t>
      </w:r>
    </w:p>
    <w:p w14:paraId="328D6FD3" w14:textId="77777777" w:rsidR="00600BA6" w:rsidRDefault="00600BA6" w:rsidP="00600BA6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Helvetica"/>
          <w:lang w:eastAsia="pl-PL"/>
        </w:rPr>
      </w:pPr>
    </w:p>
    <w:p w14:paraId="7707B5AF" w14:textId="77777777" w:rsidR="00600BA6" w:rsidRPr="00233C5F" w:rsidRDefault="00600BA6" w:rsidP="00E0507C">
      <w:pPr>
        <w:pStyle w:val="Akapitzlist"/>
        <w:numPr>
          <w:ilvl w:val="0"/>
          <w:numId w:val="41"/>
        </w:numPr>
        <w:shd w:val="clear" w:color="auto" w:fill="FFFFFF"/>
        <w:spacing w:after="150" w:line="240" w:lineRule="auto"/>
        <w:jc w:val="both"/>
        <w:rPr>
          <w:rFonts w:eastAsia="Times New Roman" w:cs="Helvetica"/>
          <w:lang w:eastAsia="pl-PL"/>
        </w:rPr>
      </w:pPr>
      <w:r>
        <w:rPr>
          <w:rFonts w:eastAsia="Times New Roman" w:cs="Helvetica"/>
          <w:lang w:eastAsia="pl-PL"/>
        </w:rPr>
        <w:t>Program szkolenia</w:t>
      </w:r>
      <w:r w:rsidRPr="00233C5F">
        <w:rPr>
          <w:rFonts w:eastAsia="Times New Roman" w:cs="Helvetica"/>
          <w:lang w:eastAsia="pl-PL"/>
        </w:rPr>
        <w:t xml:space="preserve"> – 20%</w:t>
      </w:r>
    </w:p>
    <w:p w14:paraId="7DD1F813" w14:textId="77777777" w:rsidR="00600BA6" w:rsidRDefault="00600BA6" w:rsidP="00600BA6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Helvetica"/>
          <w:lang w:eastAsia="pl-PL"/>
        </w:rPr>
      </w:pPr>
    </w:p>
    <w:p w14:paraId="7B26FAB1" w14:textId="77777777" w:rsidR="00600BA6" w:rsidRPr="00D40942" w:rsidRDefault="00600BA6" w:rsidP="00600BA6">
      <w:pPr>
        <w:shd w:val="clear" w:color="auto" w:fill="FFFFFF"/>
        <w:spacing w:after="150" w:line="240" w:lineRule="auto"/>
        <w:jc w:val="both"/>
        <w:rPr>
          <w:rFonts w:eastAsia="Times New Roman" w:cs="Helvetica"/>
          <w:lang w:eastAsia="pl-PL"/>
        </w:rPr>
      </w:pPr>
      <w:r w:rsidRPr="00D40942">
        <w:rPr>
          <w:rFonts w:eastAsia="Times New Roman" w:cs="Helvetica"/>
          <w:lang w:eastAsia="pl-PL"/>
        </w:rPr>
        <w:t>W celu oceny oferty zostanie powołana dwuosobowa komisja.</w:t>
      </w:r>
    </w:p>
    <w:tbl>
      <w:tblPr>
        <w:tblStyle w:val="Tabela-Siatka"/>
        <w:tblW w:w="8893" w:type="dxa"/>
        <w:tblLook w:val="04A0" w:firstRow="1" w:lastRow="0" w:firstColumn="1" w:lastColumn="0" w:noHBand="0" w:noVBand="1"/>
      </w:tblPr>
      <w:tblGrid>
        <w:gridCol w:w="636"/>
        <w:gridCol w:w="2053"/>
        <w:gridCol w:w="1396"/>
        <w:gridCol w:w="4808"/>
      </w:tblGrid>
      <w:tr w:rsidR="00600BA6" w:rsidRPr="00546010" w14:paraId="71E19A98" w14:textId="77777777" w:rsidTr="0083040C">
        <w:trPr>
          <w:trHeight w:val="647"/>
        </w:trPr>
        <w:tc>
          <w:tcPr>
            <w:tcW w:w="636" w:type="dxa"/>
            <w:hideMark/>
          </w:tcPr>
          <w:p w14:paraId="216C5A01" w14:textId="77777777" w:rsidR="00600BA6" w:rsidRPr="00546010" w:rsidRDefault="00600BA6" w:rsidP="0083040C">
            <w:pPr>
              <w:spacing w:after="120"/>
              <w:jc w:val="both"/>
              <w:rPr>
                <w:rFonts w:eastAsia="Times New Roman" w:cs="Helvetica"/>
                <w:szCs w:val="21"/>
                <w:lang w:eastAsia="pl-PL"/>
              </w:rPr>
            </w:pPr>
            <w:r w:rsidRPr="00546010">
              <w:rPr>
                <w:rFonts w:eastAsia="Times New Roman" w:cs="Helvetica"/>
                <w:b/>
                <w:bCs/>
                <w:szCs w:val="20"/>
                <w:lang w:eastAsia="pl-PL"/>
              </w:rPr>
              <w:t>L.P.</w:t>
            </w:r>
          </w:p>
        </w:tc>
        <w:tc>
          <w:tcPr>
            <w:tcW w:w="2053" w:type="dxa"/>
            <w:hideMark/>
          </w:tcPr>
          <w:p w14:paraId="54C59C06" w14:textId="77777777" w:rsidR="00600BA6" w:rsidRPr="00546010" w:rsidRDefault="00600BA6" w:rsidP="0083040C">
            <w:pPr>
              <w:spacing w:after="120"/>
              <w:rPr>
                <w:rFonts w:eastAsia="Times New Roman" w:cs="Helvetica"/>
                <w:szCs w:val="21"/>
                <w:lang w:eastAsia="pl-PL"/>
              </w:rPr>
            </w:pPr>
            <w:r w:rsidRPr="00546010">
              <w:rPr>
                <w:rFonts w:eastAsia="Times New Roman" w:cs="Helvetica"/>
                <w:b/>
                <w:bCs/>
                <w:szCs w:val="20"/>
                <w:lang w:eastAsia="pl-PL"/>
              </w:rPr>
              <w:t>Kryterium wyboru oferty</w:t>
            </w:r>
          </w:p>
        </w:tc>
        <w:tc>
          <w:tcPr>
            <w:tcW w:w="1396" w:type="dxa"/>
            <w:hideMark/>
          </w:tcPr>
          <w:p w14:paraId="3BFF6CD8" w14:textId="77777777" w:rsidR="00600BA6" w:rsidRPr="00546010" w:rsidRDefault="00600BA6" w:rsidP="0083040C">
            <w:pPr>
              <w:spacing w:after="120"/>
              <w:jc w:val="both"/>
              <w:rPr>
                <w:rFonts w:eastAsia="Times New Roman" w:cs="Helvetica"/>
                <w:szCs w:val="21"/>
                <w:lang w:eastAsia="pl-PL"/>
              </w:rPr>
            </w:pPr>
            <w:r w:rsidRPr="00546010">
              <w:rPr>
                <w:rFonts w:eastAsia="Times New Roman" w:cs="Helvetica"/>
                <w:b/>
                <w:bCs/>
                <w:szCs w:val="20"/>
                <w:lang w:eastAsia="pl-PL"/>
              </w:rPr>
              <w:t>Punktacja</w:t>
            </w:r>
            <w:r>
              <w:rPr>
                <w:rFonts w:eastAsia="Times New Roman" w:cs="Helvetica"/>
                <w:b/>
                <w:bCs/>
                <w:szCs w:val="20"/>
                <w:lang w:eastAsia="pl-PL"/>
              </w:rPr>
              <w:t xml:space="preserve"> </w:t>
            </w:r>
            <w:r w:rsidRPr="00546010">
              <w:rPr>
                <w:rFonts w:eastAsia="Times New Roman" w:cs="Helvetica"/>
                <w:b/>
                <w:bCs/>
                <w:szCs w:val="20"/>
                <w:lang w:eastAsia="pl-PL"/>
              </w:rPr>
              <w:t>% (waga)</w:t>
            </w:r>
          </w:p>
        </w:tc>
        <w:tc>
          <w:tcPr>
            <w:tcW w:w="4808" w:type="dxa"/>
            <w:hideMark/>
          </w:tcPr>
          <w:p w14:paraId="50FF6C11" w14:textId="77777777" w:rsidR="00600BA6" w:rsidRPr="00546010" w:rsidRDefault="00600BA6" w:rsidP="0083040C">
            <w:pPr>
              <w:spacing w:after="120"/>
              <w:jc w:val="both"/>
              <w:rPr>
                <w:rFonts w:eastAsia="Times New Roman" w:cs="Helvetica"/>
                <w:szCs w:val="21"/>
                <w:lang w:eastAsia="pl-PL"/>
              </w:rPr>
            </w:pPr>
            <w:r w:rsidRPr="00546010">
              <w:rPr>
                <w:rFonts w:eastAsia="Times New Roman" w:cs="Helvetica"/>
                <w:b/>
                <w:bCs/>
                <w:szCs w:val="20"/>
                <w:lang w:eastAsia="pl-PL"/>
              </w:rPr>
              <w:t>Zasady punktacji</w:t>
            </w:r>
          </w:p>
        </w:tc>
      </w:tr>
      <w:tr w:rsidR="00600BA6" w:rsidRPr="00546010" w14:paraId="12F8BD11" w14:textId="77777777" w:rsidTr="0083040C">
        <w:trPr>
          <w:trHeight w:val="647"/>
        </w:trPr>
        <w:tc>
          <w:tcPr>
            <w:tcW w:w="636" w:type="dxa"/>
            <w:hideMark/>
          </w:tcPr>
          <w:p w14:paraId="76F4B1ED" w14:textId="77777777" w:rsidR="00600BA6" w:rsidRPr="00546010" w:rsidRDefault="00600BA6" w:rsidP="0083040C">
            <w:pPr>
              <w:spacing w:after="120"/>
              <w:jc w:val="both"/>
              <w:rPr>
                <w:rFonts w:eastAsia="Times New Roman" w:cs="Helvetica"/>
                <w:szCs w:val="21"/>
                <w:lang w:eastAsia="pl-PL"/>
              </w:rPr>
            </w:pPr>
            <w:r w:rsidRPr="00546010">
              <w:rPr>
                <w:rFonts w:eastAsia="Times New Roman" w:cs="Helvetica"/>
                <w:b/>
                <w:bCs/>
                <w:szCs w:val="20"/>
                <w:lang w:eastAsia="pl-PL"/>
              </w:rPr>
              <w:t>1.</w:t>
            </w:r>
          </w:p>
        </w:tc>
        <w:tc>
          <w:tcPr>
            <w:tcW w:w="2053" w:type="dxa"/>
            <w:hideMark/>
          </w:tcPr>
          <w:p w14:paraId="245AC2EA" w14:textId="77777777" w:rsidR="00600BA6" w:rsidRPr="00546010" w:rsidRDefault="00600BA6" w:rsidP="0083040C">
            <w:pPr>
              <w:spacing w:after="120"/>
              <w:rPr>
                <w:rFonts w:eastAsia="Times New Roman" w:cs="Helvetica"/>
                <w:szCs w:val="21"/>
                <w:lang w:eastAsia="pl-PL"/>
              </w:rPr>
            </w:pPr>
            <w:r w:rsidRPr="00546010">
              <w:rPr>
                <w:rFonts w:eastAsia="Times New Roman" w:cs="Helvetica"/>
                <w:b/>
                <w:bCs/>
                <w:szCs w:val="20"/>
                <w:lang w:eastAsia="pl-PL"/>
              </w:rPr>
              <w:t>Cena</w:t>
            </w:r>
          </w:p>
        </w:tc>
        <w:tc>
          <w:tcPr>
            <w:tcW w:w="1396" w:type="dxa"/>
            <w:hideMark/>
          </w:tcPr>
          <w:p w14:paraId="48F4618D" w14:textId="77777777" w:rsidR="00600BA6" w:rsidRPr="00546010" w:rsidRDefault="00600BA6" w:rsidP="0083040C">
            <w:pPr>
              <w:spacing w:after="120"/>
              <w:jc w:val="center"/>
              <w:rPr>
                <w:rFonts w:eastAsia="Times New Roman" w:cs="Helvetica"/>
                <w:szCs w:val="21"/>
                <w:lang w:eastAsia="pl-PL"/>
              </w:rPr>
            </w:pPr>
            <w:r>
              <w:rPr>
                <w:rFonts w:eastAsia="Times New Roman" w:cs="Helvetica"/>
                <w:b/>
                <w:bCs/>
                <w:szCs w:val="21"/>
                <w:lang w:eastAsia="pl-PL"/>
              </w:rPr>
              <w:t>6</w:t>
            </w:r>
            <w:r w:rsidRPr="00546010">
              <w:rPr>
                <w:rFonts w:eastAsia="Times New Roman" w:cs="Helvetica"/>
                <w:b/>
                <w:bCs/>
                <w:szCs w:val="21"/>
                <w:lang w:eastAsia="pl-PL"/>
              </w:rPr>
              <w:t>0%</w:t>
            </w:r>
          </w:p>
        </w:tc>
        <w:tc>
          <w:tcPr>
            <w:tcW w:w="4808" w:type="dxa"/>
            <w:hideMark/>
          </w:tcPr>
          <w:p w14:paraId="624F3031" w14:textId="77777777" w:rsidR="00600BA6" w:rsidRPr="00546010" w:rsidRDefault="00600BA6" w:rsidP="0083040C">
            <w:pPr>
              <w:spacing w:after="120"/>
              <w:jc w:val="both"/>
              <w:rPr>
                <w:rFonts w:eastAsia="Times New Roman" w:cs="Helvetica"/>
                <w:szCs w:val="21"/>
                <w:lang w:eastAsia="pl-PL"/>
              </w:rPr>
            </w:pPr>
            <w:r w:rsidRPr="00546010">
              <w:rPr>
                <w:rFonts w:eastAsia="Times New Roman" w:cs="Helvetica"/>
                <w:szCs w:val="20"/>
                <w:lang w:eastAsia="pl-PL"/>
              </w:rPr>
              <w:t xml:space="preserve">(cena brutto oferty najniższej/ cena brutto oferty badanej) x </w:t>
            </w:r>
            <w:r>
              <w:rPr>
                <w:rFonts w:eastAsia="Times New Roman" w:cs="Helvetica"/>
                <w:szCs w:val="20"/>
                <w:lang w:eastAsia="pl-PL"/>
              </w:rPr>
              <w:t>5</w:t>
            </w:r>
            <w:r w:rsidRPr="00546010">
              <w:rPr>
                <w:rFonts w:eastAsia="Times New Roman" w:cs="Helvetica"/>
                <w:szCs w:val="20"/>
                <w:lang w:eastAsia="pl-PL"/>
              </w:rPr>
              <w:t>0</w:t>
            </w:r>
          </w:p>
        </w:tc>
      </w:tr>
      <w:tr w:rsidR="00600BA6" w:rsidRPr="00546010" w14:paraId="76301B7A" w14:textId="77777777" w:rsidTr="0083040C">
        <w:trPr>
          <w:trHeight w:val="647"/>
        </w:trPr>
        <w:tc>
          <w:tcPr>
            <w:tcW w:w="636" w:type="dxa"/>
            <w:hideMark/>
          </w:tcPr>
          <w:p w14:paraId="6B79F2EA" w14:textId="77777777" w:rsidR="00600BA6" w:rsidRPr="00546010" w:rsidRDefault="00600BA6" w:rsidP="0083040C">
            <w:pPr>
              <w:spacing w:after="120"/>
              <w:jc w:val="both"/>
              <w:rPr>
                <w:rFonts w:eastAsia="Times New Roman" w:cs="Helvetica"/>
                <w:szCs w:val="21"/>
                <w:lang w:eastAsia="pl-PL"/>
              </w:rPr>
            </w:pPr>
            <w:r w:rsidRPr="00546010">
              <w:rPr>
                <w:rFonts w:eastAsia="Times New Roman" w:cs="Helvetica"/>
                <w:b/>
                <w:bCs/>
                <w:szCs w:val="20"/>
                <w:lang w:eastAsia="pl-PL"/>
              </w:rPr>
              <w:t>2.</w:t>
            </w:r>
          </w:p>
        </w:tc>
        <w:tc>
          <w:tcPr>
            <w:tcW w:w="2053" w:type="dxa"/>
            <w:hideMark/>
          </w:tcPr>
          <w:p w14:paraId="4068EE9F" w14:textId="77777777" w:rsidR="00600BA6" w:rsidRPr="00546010" w:rsidRDefault="00600BA6" w:rsidP="0083040C">
            <w:pPr>
              <w:spacing w:after="120"/>
              <w:rPr>
                <w:rFonts w:eastAsia="Times New Roman" w:cs="Helvetica"/>
                <w:szCs w:val="21"/>
                <w:lang w:eastAsia="pl-PL"/>
              </w:rPr>
            </w:pPr>
            <w:r w:rsidRPr="00546010">
              <w:rPr>
                <w:rFonts w:eastAsia="Times New Roman" w:cs="Helvetica"/>
                <w:b/>
                <w:bCs/>
                <w:szCs w:val="20"/>
                <w:lang w:eastAsia="pl-PL"/>
              </w:rPr>
              <w:t>Doświadczenie Trenera</w:t>
            </w:r>
          </w:p>
        </w:tc>
        <w:tc>
          <w:tcPr>
            <w:tcW w:w="1396" w:type="dxa"/>
            <w:hideMark/>
          </w:tcPr>
          <w:p w14:paraId="14972E18" w14:textId="77777777" w:rsidR="00600BA6" w:rsidRPr="00546010" w:rsidRDefault="00600BA6" w:rsidP="0083040C">
            <w:pPr>
              <w:spacing w:after="120"/>
              <w:jc w:val="center"/>
              <w:rPr>
                <w:rFonts w:eastAsia="Times New Roman" w:cs="Helvetica"/>
                <w:szCs w:val="21"/>
                <w:lang w:eastAsia="pl-PL"/>
              </w:rPr>
            </w:pPr>
            <w:r>
              <w:rPr>
                <w:rFonts w:eastAsia="Times New Roman" w:cs="Helvetica"/>
                <w:b/>
                <w:bCs/>
                <w:szCs w:val="21"/>
                <w:lang w:eastAsia="pl-PL"/>
              </w:rPr>
              <w:t>20</w:t>
            </w:r>
            <w:r w:rsidRPr="00546010">
              <w:rPr>
                <w:rFonts w:eastAsia="Times New Roman" w:cs="Helvetica"/>
                <w:b/>
                <w:bCs/>
                <w:szCs w:val="21"/>
                <w:lang w:eastAsia="pl-PL"/>
              </w:rPr>
              <w:t>%</w:t>
            </w:r>
          </w:p>
        </w:tc>
        <w:tc>
          <w:tcPr>
            <w:tcW w:w="4808" w:type="dxa"/>
            <w:hideMark/>
          </w:tcPr>
          <w:p w14:paraId="06D00A84" w14:textId="77777777" w:rsidR="00600BA6" w:rsidRPr="004A536D" w:rsidRDefault="00600BA6" w:rsidP="0083040C">
            <w:pPr>
              <w:shd w:val="clear" w:color="auto" w:fill="FFFFFF"/>
              <w:spacing w:after="150"/>
              <w:jc w:val="both"/>
              <w:rPr>
                <w:rFonts w:eastAsia="Times New Roman" w:cs="Helvetica"/>
                <w:lang w:eastAsia="pl-PL"/>
              </w:rPr>
            </w:pPr>
            <w:r w:rsidRPr="004A536D">
              <w:rPr>
                <w:rFonts w:eastAsia="Times New Roman" w:cs="Helvetica"/>
                <w:lang w:eastAsia="pl-PL"/>
              </w:rPr>
              <w:t>Doświadczenie trenerów w prowadzeniu szkoleń z zakresu bezpieczeństwa pracy w strefach zagrożenia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wybuchem w zakresie Dyrektyw ATEX, Dyrektywy Maszynowej, Dyrektywy Narzędziowej, wiedzy z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zakresu BHP (środków ochrony indywidualnej, zbiorowej, metod oceny ryzyka, wiedzy z zakresu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bezpieczeństwa pożarowego o sposobach zapobiegania wybuchom i pożarom.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Wykonywanie pomiarów termowizyjnych, ochron antyelektrostatycznych, detekcja gazów i kontrola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atmosfery w ramach zapobiegania wytwarzania się mieszanin wybuchowych, wykonywanie badań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laboratoryjnych, analizy SIL i HAZOP, obliczenia wytrzymałościowe konstrukcji, urządzeń i instalacji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ostatnie 2 lata (03.2022-03.2024)</w:t>
            </w:r>
          </w:p>
        </w:tc>
      </w:tr>
      <w:tr w:rsidR="00600BA6" w:rsidRPr="00546010" w14:paraId="31E53046" w14:textId="77777777" w:rsidTr="0083040C">
        <w:trPr>
          <w:trHeight w:val="647"/>
        </w:trPr>
        <w:tc>
          <w:tcPr>
            <w:tcW w:w="636" w:type="dxa"/>
          </w:tcPr>
          <w:p w14:paraId="2E9B19FF" w14:textId="77777777" w:rsidR="00600BA6" w:rsidRPr="00546010" w:rsidRDefault="00600BA6" w:rsidP="0083040C">
            <w:pPr>
              <w:spacing w:after="120"/>
              <w:jc w:val="both"/>
              <w:rPr>
                <w:rFonts w:eastAsia="Times New Roman" w:cs="Helvetica"/>
                <w:b/>
                <w:bCs/>
                <w:szCs w:val="20"/>
                <w:lang w:eastAsia="pl-PL"/>
              </w:rPr>
            </w:pPr>
            <w:r>
              <w:rPr>
                <w:rFonts w:eastAsia="Times New Roman" w:cs="Helvetica"/>
                <w:b/>
                <w:bCs/>
                <w:szCs w:val="20"/>
                <w:lang w:eastAsia="pl-PL"/>
              </w:rPr>
              <w:t>3</w:t>
            </w:r>
            <w:r w:rsidRPr="00546010">
              <w:rPr>
                <w:rFonts w:eastAsia="Times New Roman" w:cs="Helvetica"/>
                <w:b/>
                <w:bCs/>
                <w:szCs w:val="20"/>
                <w:lang w:eastAsia="pl-PL"/>
              </w:rPr>
              <w:t>.</w:t>
            </w:r>
          </w:p>
        </w:tc>
        <w:tc>
          <w:tcPr>
            <w:tcW w:w="2053" w:type="dxa"/>
          </w:tcPr>
          <w:p w14:paraId="0F411D16" w14:textId="77777777" w:rsidR="00600BA6" w:rsidRPr="00546010" w:rsidRDefault="00600BA6" w:rsidP="0083040C">
            <w:pPr>
              <w:spacing w:after="120"/>
              <w:rPr>
                <w:rFonts w:eastAsia="Times New Roman" w:cs="Helvetica"/>
                <w:b/>
                <w:bCs/>
                <w:szCs w:val="20"/>
                <w:lang w:eastAsia="pl-PL"/>
              </w:rPr>
            </w:pPr>
            <w:r>
              <w:rPr>
                <w:rFonts w:eastAsia="Times New Roman" w:cs="Helvetica"/>
                <w:b/>
                <w:bCs/>
                <w:szCs w:val="20"/>
                <w:lang w:eastAsia="pl-PL"/>
              </w:rPr>
              <w:t>Program szkolenia</w:t>
            </w:r>
          </w:p>
        </w:tc>
        <w:tc>
          <w:tcPr>
            <w:tcW w:w="1396" w:type="dxa"/>
          </w:tcPr>
          <w:p w14:paraId="5005997A" w14:textId="77777777" w:rsidR="00600BA6" w:rsidRDefault="00600BA6" w:rsidP="0083040C">
            <w:pPr>
              <w:spacing w:after="120"/>
              <w:jc w:val="center"/>
              <w:rPr>
                <w:rFonts w:eastAsia="Times New Roman" w:cs="Helvetica"/>
                <w:b/>
                <w:bCs/>
                <w:szCs w:val="21"/>
                <w:lang w:eastAsia="pl-PL"/>
              </w:rPr>
            </w:pPr>
            <w:r>
              <w:rPr>
                <w:rFonts w:eastAsia="Times New Roman" w:cs="Helvetica"/>
                <w:b/>
                <w:bCs/>
                <w:szCs w:val="21"/>
                <w:lang w:eastAsia="pl-PL"/>
              </w:rPr>
              <w:t>20</w:t>
            </w:r>
            <w:r w:rsidRPr="00546010">
              <w:rPr>
                <w:rFonts w:eastAsia="Times New Roman" w:cs="Helvetica"/>
                <w:b/>
                <w:bCs/>
                <w:szCs w:val="21"/>
                <w:lang w:eastAsia="pl-PL"/>
              </w:rPr>
              <w:t>%</w:t>
            </w:r>
          </w:p>
        </w:tc>
        <w:tc>
          <w:tcPr>
            <w:tcW w:w="4808" w:type="dxa"/>
          </w:tcPr>
          <w:p w14:paraId="01DDB7EA" w14:textId="77777777" w:rsidR="00600BA6" w:rsidRPr="00546010" w:rsidRDefault="00600BA6" w:rsidP="0083040C">
            <w:pPr>
              <w:spacing w:after="150" w:line="242" w:lineRule="atLeast"/>
              <w:jc w:val="both"/>
              <w:rPr>
                <w:rFonts w:eastAsia="Times New Roman" w:cs="Helvetica"/>
                <w:szCs w:val="20"/>
                <w:lang w:eastAsia="pl-PL"/>
              </w:rPr>
            </w:pPr>
            <w:r>
              <w:rPr>
                <w:szCs w:val="20"/>
              </w:rPr>
              <w:t>Ocena przesłanego programu szkolenia.</w:t>
            </w:r>
          </w:p>
        </w:tc>
      </w:tr>
    </w:tbl>
    <w:p w14:paraId="4079C3F9" w14:textId="77777777" w:rsidR="00600BA6" w:rsidRPr="00A44CD5" w:rsidRDefault="00600BA6" w:rsidP="00600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4CD5">
        <w:rPr>
          <w:rFonts w:ascii="Helvetica" w:eastAsia="Times New Roman" w:hAnsi="Helvetica" w:cs="Helvetica"/>
          <w:color w:val="666666"/>
          <w:sz w:val="21"/>
          <w:szCs w:val="21"/>
          <w:lang w:eastAsia="pl-PL"/>
        </w:rPr>
        <w:br/>
      </w:r>
    </w:p>
    <w:p w14:paraId="1A60106F" w14:textId="77777777" w:rsidR="00600BA6" w:rsidRPr="00F07722" w:rsidRDefault="00600BA6" w:rsidP="00600B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F07722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III. WARUNKI REALIZACJI ZAMÓWIENIA</w:t>
      </w:r>
    </w:p>
    <w:p w14:paraId="72633828" w14:textId="77777777" w:rsidR="00600BA6" w:rsidRPr="00F07722" w:rsidRDefault="00600BA6" w:rsidP="00600BA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F07722">
        <w:rPr>
          <w:rFonts w:cs="Calibri,Bold"/>
          <w:bCs/>
        </w:rPr>
        <w:t>długość szkolenia – 1 d</w:t>
      </w:r>
      <w:r>
        <w:rPr>
          <w:rFonts w:cs="Calibri,Bold"/>
          <w:bCs/>
        </w:rPr>
        <w:t xml:space="preserve">zień </w:t>
      </w:r>
      <w:r w:rsidRPr="00F07722">
        <w:rPr>
          <w:rFonts w:cs="Calibri,Bold"/>
          <w:bCs/>
        </w:rPr>
        <w:t>(</w:t>
      </w:r>
      <w:r>
        <w:rPr>
          <w:rFonts w:cs="Calibri,Bold"/>
          <w:bCs/>
        </w:rPr>
        <w:t>6 godzin zegarowych</w:t>
      </w:r>
      <w:r w:rsidRPr="00F07722">
        <w:rPr>
          <w:rFonts w:cs="Calibri,Bold"/>
          <w:bCs/>
        </w:rPr>
        <w:t xml:space="preserve"> + przerwy</w:t>
      </w:r>
      <w:r>
        <w:rPr>
          <w:rFonts w:cs="Calibri,Bold"/>
          <w:bCs/>
        </w:rPr>
        <w:t xml:space="preserve"> – 07:30-13:30</w:t>
      </w:r>
      <w:r w:rsidRPr="00F07722">
        <w:rPr>
          <w:rFonts w:cs="Calibri,Bold"/>
          <w:bCs/>
        </w:rPr>
        <w:t>);</w:t>
      </w:r>
      <w:r>
        <w:rPr>
          <w:rFonts w:cs="Calibri,Bold"/>
          <w:bCs/>
        </w:rPr>
        <w:t xml:space="preserve"> </w:t>
      </w:r>
    </w:p>
    <w:p w14:paraId="636E3B75" w14:textId="77777777" w:rsidR="00600BA6" w:rsidRPr="00F07722" w:rsidRDefault="00600BA6" w:rsidP="00600BA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F07722">
        <w:rPr>
          <w:rFonts w:cs="Calibri,Bold"/>
          <w:bCs/>
        </w:rPr>
        <w:t xml:space="preserve">liczba grup – </w:t>
      </w:r>
      <w:r>
        <w:rPr>
          <w:rFonts w:cs="Calibri,Bold"/>
          <w:bCs/>
        </w:rPr>
        <w:t>6</w:t>
      </w:r>
      <w:r w:rsidRPr="00F07722">
        <w:rPr>
          <w:rFonts w:cs="Calibri,Bold"/>
          <w:bCs/>
        </w:rPr>
        <w:t xml:space="preserve"> (szkolenie online);</w:t>
      </w:r>
    </w:p>
    <w:p w14:paraId="16EBEB1F" w14:textId="77777777" w:rsidR="00600BA6" w:rsidRPr="00F07722" w:rsidRDefault="00600BA6" w:rsidP="00600BA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F07722">
        <w:rPr>
          <w:rFonts w:cs="Calibri,Bold"/>
          <w:bCs/>
        </w:rPr>
        <w:t xml:space="preserve">liczba uczestników –  maksymalnie </w:t>
      </w:r>
      <w:r>
        <w:rPr>
          <w:rFonts w:cs="Calibri,Bold"/>
          <w:bCs/>
        </w:rPr>
        <w:t xml:space="preserve">241 w </w:t>
      </w:r>
      <w:r w:rsidRPr="00EC7787">
        <w:rPr>
          <w:rFonts w:cs="Calibri,Bold"/>
          <w:bCs/>
        </w:rPr>
        <w:t xml:space="preserve">podziale na </w:t>
      </w:r>
      <w:r>
        <w:rPr>
          <w:rFonts w:cs="Calibri,Bold"/>
          <w:bCs/>
        </w:rPr>
        <w:t>6</w:t>
      </w:r>
      <w:r w:rsidRPr="00EC7787">
        <w:rPr>
          <w:rFonts w:cs="Calibri,Bold"/>
          <w:bCs/>
        </w:rPr>
        <w:t xml:space="preserve"> grup;</w:t>
      </w:r>
    </w:p>
    <w:p w14:paraId="73A7C226" w14:textId="77777777" w:rsidR="00600BA6" w:rsidRPr="00F07722" w:rsidRDefault="00600BA6" w:rsidP="00600BA6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07722">
        <w:rPr>
          <w:rFonts w:eastAsia="Times New Roman" w:cs="Helvetica"/>
          <w:b/>
          <w:lang w:eastAsia="pl-PL"/>
        </w:rPr>
        <w:t xml:space="preserve">Wykonawca zapewni platformę edukacyjną wraz z oprogramowaniem umożliwiającym przeprowadzenie szkolenia on-line z uwzględnieniem interakcji pomiędzy uczestnikami </w:t>
      </w:r>
      <w:r w:rsidRPr="00F07722">
        <w:rPr>
          <w:rFonts w:eastAsia="Times New Roman" w:cs="Helvetica"/>
          <w:b/>
          <w:lang w:eastAsia="pl-PL"/>
        </w:rPr>
        <w:br/>
        <w:t>i prowadzącym</w:t>
      </w:r>
      <w:r w:rsidRPr="00F07722">
        <w:rPr>
          <w:b/>
        </w:rPr>
        <w:t>.</w:t>
      </w:r>
    </w:p>
    <w:p w14:paraId="05D02D5C" w14:textId="4CFD3A66" w:rsidR="00600BA6" w:rsidRPr="00F07722" w:rsidRDefault="00600BA6" w:rsidP="00600BA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F07722">
        <w:rPr>
          <w:rFonts w:cs="Calibri,Bold"/>
          <w:bCs/>
        </w:rPr>
        <w:t xml:space="preserve">Termin realizacji szkolenia: </w:t>
      </w:r>
      <w:r>
        <w:rPr>
          <w:rFonts w:cs="Calibri,Bold"/>
          <w:bCs/>
        </w:rPr>
        <w:t>czerwiec - wrzesień 2024r</w:t>
      </w:r>
      <w:r w:rsidRPr="00F07722">
        <w:rPr>
          <w:rFonts w:cs="Calibri,Bold"/>
          <w:bCs/>
        </w:rPr>
        <w:t>.</w:t>
      </w:r>
      <w:r>
        <w:rPr>
          <w:rFonts w:cs="Calibri,Bold"/>
          <w:bCs/>
        </w:rPr>
        <w:t xml:space="preserve"> (03.06, 11.06, 19.06, 27.06, 06.09 ,09.09).</w:t>
      </w:r>
    </w:p>
    <w:p w14:paraId="1E68D826" w14:textId="77777777" w:rsidR="00600BA6" w:rsidRPr="00F07722" w:rsidRDefault="00600BA6" w:rsidP="00600BA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F07722">
        <w:t>W cenie oferty proszę ująć materiały szkoleniowe, ankiety, raport z ankiet oraz certyfikat ukończenia szkolenia.</w:t>
      </w:r>
    </w:p>
    <w:p w14:paraId="3738E659" w14:textId="77777777" w:rsidR="00600BA6" w:rsidRPr="00F07722" w:rsidRDefault="00600BA6" w:rsidP="00600BA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F07722">
        <w:t>Zlecenie realizowane będzie w formie pisemnej umowy;</w:t>
      </w:r>
    </w:p>
    <w:p w14:paraId="1CE9B52F" w14:textId="77777777" w:rsidR="00600BA6" w:rsidRPr="00096B9D" w:rsidRDefault="00600BA6" w:rsidP="00600BA6">
      <w:pPr>
        <w:pStyle w:val="Akapitzlist"/>
        <w:spacing w:after="0" w:line="240" w:lineRule="auto"/>
        <w:jc w:val="both"/>
      </w:pPr>
    </w:p>
    <w:p w14:paraId="4CD87F2D" w14:textId="77777777" w:rsidR="00600BA6" w:rsidRPr="00096B9D" w:rsidRDefault="00600BA6" w:rsidP="00600B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1"/>
          <w:szCs w:val="21"/>
          <w:lang w:eastAsia="pl-PL"/>
        </w:rPr>
      </w:pPr>
      <w:r w:rsidRPr="00096B9D">
        <w:rPr>
          <w:rFonts w:ascii="Helvetica" w:eastAsia="Times New Roman" w:hAnsi="Helvetica" w:cs="Helvetica"/>
          <w:b/>
          <w:bCs/>
          <w:sz w:val="21"/>
          <w:szCs w:val="21"/>
          <w:lang w:eastAsia="pl-PL"/>
        </w:rPr>
        <w:t>IV. WARUNKI PŁATNOŚĆI</w:t>
      </w:r>
    </w:p>
    <w:p w14:paraId="2893B68B" w14:textId="77777777" w:rsidR="00600BA6" w:rsidRPr="00096B9D" w:rsidRDefault="00600BA6" w:rsidP="00600BA6">
      <w:pPr>
        <w:shd w:val="clear" w:color="auto" w:fill="FFFFFF"/>
        <w:spacing w:after="150" w:line="240" w:lineRule="auto"/>
        <w:ind w:hanging="360"/>
        <w:jc w:val="both"/>
        <w:rPr>
          <w:rFonts w:eastAsia="Times New Roman" w:cs="Helvetica"/>
          <w:lang w:eastAsia="pl-PL"/>
        </w:rPr>
      </w:pPr>
      <w:r w:rsidRPr="00096B9D">
        <w:rPr>
          <w:rFonts w:eastAsia="Times New Roman" w:cs="Helvetica"/>
          <w:lang w:eastAsia="pl-PL"/>
        </w:rPr>
        <w:t>1.</w:t>
      </w:r>
      <w:r w:rsidRPr="00096B9D">
        <w:rPr>
          <w:rFonts w:eastAsia="Times New Roman" w:cs="Times New Roman"/>
          <w:lang w:eastAsia="pl-PL"/>
        </w:rPr>
        <w:t>    </w:t>
      </w:r>
      <w:r w:rsidRPr="00096B9D">
        <w:rPr>
          <w:rFonts w:eastAsia="Times New Roman" w:cs="Helvetica"/>
          <w:lang w:eastAsia="pl-PL"/>
        </w:rPr>
        <w:t>Termin płatności: 21 dni od daty wpływu do UDT wystawionej prawidłowo pod względem formalno-  rachunkowym faktury. UDT nie dokonuje przedpłaty.</w:t>
      </w:r>
    </w:p>
    <w:p w14:paraId="45CEBA21" w14:textId="77777777" w:rsidR="00600BA6" w:rsidRDefault="00600BA6" w:rsidP="00600BA6">
      <w:pPr>
        <w:shd w:val="clear" w:color="auto" w:fill="FFFFFF"/>
        <w:spacing w:after="150" w:line="240" w:lineRule="auto"/>
        <w:ind w:hanging="360"/>
        <w:rPr>
          <w:rFonts w:eastAsia="Times New Roman" w:cs="Helvetica"/>
          <w:lang w:eastAsia="pl-PL"/>
        </w:rPr>
      </w:pPr>
      <w:r w:rsidRPr="00096B9D">
        <w:rPr>
          <w:rFonts w:eastAsia="Times New Roman" w:cs="Helvetica"/>
          <w:lang w:eastAsia="pl-PL"/>
        </w:rPr>
        <w:lastRenderedPageBreak/>
        <w:t>2.</w:t>
      </w:r>
      <w:r w:rsidRPr="00096B9D">
        <w:rPr>
          <w:rFonts w:eastAsia="Times New Roman" w:cs="Times New Roman"/>
          <w:lang w:eastAsia="pl-PL"/>
        </w:rPr>
        <w:t>     </w:t>
      </w:r>
      <w:r w:rsidRPr="00096B9D">
        <w:rPr>
          <w:rFonts w:eastAsia="Times New Roman" w:cs="Helvetica"/>
          <w:lang w:eastAsia="pl-PL"/>
        </w:rPr>
        <w:t>Płatność dokonana zostanie przelewem na konto bankowe Wykonawcy.</w:t>
      </w:r>
    </w:p>
    <w:p w14:paraId="26C75058" w14:textId="77777777" w:rsidR="00600BA6" w:rsidRPr="00096B9D" w:rsidRDefault="00600BA6" w:rsidP="00600BA6">
      <w:pPr>
        <w:shd w:val="clear" w:color="auto" w:fill="FFFFFF"/>
        <w:spacing w:after="150" w:line="240" w:lineRule="auto"/>
        <w:ind w:hanging="360"/>
        <w:rPr>
          <w:rFonts w:eastAsia="Times New Roman" w:cs="Helvetica"/>
          <w:lang w:eastAsia="pl-PL"/>
        </w:rPr>
      </w:pPr>
    </w:p>
    <w:p w14:paraId="4761F6F7" w14:textId="77777777" w:rsidR="00600BA6" w:rsidRPr="00096B9D" w:rsidRDefault="00600BA6" w:rsidP="00600BA6">
      <w:pPr>
        <w:shd w:val="clear" w:color="auto" w:fill="FFFFFF"/>
        <w:spacing w:after="0" w:line="240" w:lineRule="auto"/>
      </w:pPr>
      <w:r w:rsidRPr="00096B9D">
        <w:rPr>
          <w:rFonts w:ascii="Helvetica" w:eastAsia="Times New Roman" w:hAnsi="Helvetica" w:cs="Helvetica"/>
          <w:color w:val="FF0000"/>
          <w:sz w:val="21"/>
          <w:szCs w:val="21"/>
          <w:lang w:eastAsia="pl-PL"/>
        </w:rPr>
        <w:t> </w:t>
      </w:r>
    </w:p>
    <w:tbl>
      <w:tblPr>
        <w:tblStyle w:val="Tabela-Siatka"/>
        <w:tblW w:w="9123" w:type="dxa"/>
        <w:jc w:val="center"/>
        <w:tblLayout w:type="fixed"/>
        <w:tblLook w:val="04A0" w:firstRow="1" w:lastRow="0" w:firstColumn="1" w:lastColumn="0" w:noHBand="0" w:noVBand="1"/>
      </w:tblPr>
      <w:tblGrid>
        <w:gridCol w:w="867"/>
        <w:gridCol w:w="2398"/>
        <w:gridCol w:w="652"/>
        <w:gridCol w:w="1280"/>
        <w:gridCol w:w="1129"/>
        <w:gridCol w:w="1573"/>
        <w:gridCol w:w="1224"/>
      </w:tblGrid>
      <w:tr w:rsidR="00600BA6" w:rsidRPr="00096B9D" w14:paraId="2262601F" w14:textId="77777777" w:rsidTr="0083040C">
        <w:trPr>
          <w:trHeight w:val="835"/>
          <w:jc w:val="center"/>
        </w:trPr>
        <w:tc>
          <w:tcPr>
            <w:tcW w:w="867" w:type="dxa"/>
            <w:noWrap/>
            <w:hideMark/>
          </w:tcPr>
          <w:p w14:paraId="144C4803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D734C3E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sz w:val="18"/>
                <w:szCs w:val="18"/>
              </w:rPr>
              <w:t>Lp.</w:t>
            </w:r>
          </w:p>
        </w:tc>
        <w:tc>
          <w:tcPr>
            <w:tcW w:w="2398" w:type="dxa"/>
            <w:hideMark/>
          </w:tcPr>
          <w:p w14:paraId="5B40C65B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652" w:type="dxa"/>
            <w:hideMark/>
          </w:tcPr>
          <w:p w14:paraId="5F06771C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t>Ilość</w:t>
            </w: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280" w:type="dxa"/>
            <w:hideMark/>
          </w:tcPr>
          <w:p w14:paraId="16145626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t>Cena jednostkowa netto (PLN)</w:t>
            </w: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129" w:type="dxa"/>
            <w:hideMark/>
          </w:tcPr>
          <w:p w14:paraId="2539B5A4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t>Wartość netto (PLN)</w:t>
            </w:r>
          </w:p>
        </w:tc>
        <w:tc>
          <w:tcPr>
            <w:tcW w:w="1573" w:type="dxa"/>
            <w:hideMark/>
          </w:tcPr>
          <w:p w14:paraId="31FA1325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całkowita </w:t>
            </w: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brutto </w:t>
            </w: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z VAT (PLN)</w:t>
            </w:r>
          </w:p>
          <w:p w14:paraId="61BD3F9E" w14:textId="77777777" w:rsidR="00600BA6" w:rsidRPr="00096B9D" w:rsidRDefault="00600BA6" w:rsidP="0083040C">
            <w:pPr>
              <w:tabs>
                <w:tab w:val="left" w:pos="426"/>
              </w:tabs>
              <w:spacing w:line="276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Cs/>
                <w:sz w:val="18"/>
                <w:szCs w:val="18"/>
              </w:rPr>
              <w:t>(Usługa zwolniona z VAT).</w:t>
            </w:r>
          </w:p>
        </w:tc>
        <w:tc>
          <w:tcPr>
            <w:tcW w:w="1224" w:type="dxa"/>
          </w:tcPr>
          <w:p w14:paraId="343E6DAF" w14:textId="29B6308D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t</w:t>
            </w: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t>ermin</w:t>
            </w:r>
          </w:p>
          <w:p w14:paraId="5A02B1E2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bCs/>
                <w:sz w:val="18"/>
                <w:szCs w:val="18"/>
              </w:rPr>
              <w:t>realizacji</w:t>
            </w:r>
          </w:p>
          <w:p w14:paraId="346F06BD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</w:tr>
      <w:tr w:rsidR="00600BA6" w:rsidRPr="00096B9D" w14:paraId="23F901C3" w14:textId="77777777" w:rsidTr="0083040C">
        <w:trPr>
          <w:trHeight w:val="245"/>
          <w:jc w:val="center"/>
        </w:trPr>
        <w:tc>
          <w:tcPr>
            <w:tcW w:w="867" w:type="dxa"/>
            <w:vAlign w:val="center"/>
          </w:tcPr>
          <w:p w14:paraId="330E4879" w14:textId="77777777" w:rsidR="00600BA6" w:rsidRPr="0059768E" w:rsidRDefault="00600BA6" w:rsidP="00E0507C">
            <w:pPr>
              <w:pStyle w:val="Akapitzlist"/>
              <w:numPr>
                <w:ilvl w:val="0"/>
                <w:numId w:val="42"/>
              </w:num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8" w:type="dxa"/>
            <w:vAlign w:val="center"/>
          </w:tcPr>
          <w:p w14:paraId="45FF212C" w14:textId="77777777" w:rsidR="00600BA6" w:rsidRPr="00495872" w:rsidRDefault="00600BA6" w:rsidP="0083040C">
            <w:pPr>
              <w:rPr>
                <w:rFonts w:cs="Tahoma"/>
                <w:sz w:val="18"/>
                <w:szCs w:val="18"/>
              </w:rPr>
            </w:pPr>
            <w:r>
              <w:rPr>
                <w:b/>
              </w:rPr>
              <w:t>„</w:t>
            </w:r>
            <w:r w:rsidRPr="008A0E83">
              <w:rPr>
                <w:b/>
              </w:rPr>
              <w:t>Bezpieczeństwo pracy w strefach zagrożenia wybuchem</w:t>
            </w:r>
            <w:r w:rsidRPr="009949AF">
              <w:rPr>
                <w:b/>
              </w:rPr>
              <w:t>”</w:t>
            </w:r>
            <w:r w:rsidRPr="00C3134A">
              <w:rPr>
                <w:sz w:val="16"/>
                <w:szCs w:val="18"/>
              </w:rPr>
              <w:t>.</w:t>
            </w:r>
            <w:r w:rsidRPr="00C3134A">
              <w:rPr>
                <w:rFonts w:cs="Tahoma"/>
                <w:sz w:val="16"/>
                <w:szCs w:val="18"/>
              </w:rPr>
              <w:t xml:space="preserve">– </w:t>
            </w:r>
            <w:r w:rsidRPr="00495872">
              <w:rPr>
                <w:rFonts w:cs="Tahoma"/>
                <w:sz w:val="18"/>
                <w:szCs w:val="18"/>
              </w:rPr>
              <w:t>wersja online</w:t>
            </w:r>
          </w:p>
        </w:tc>
        <w:tc>
          <w:tcPr>
            <w:tcW w:w="652" w:type="dxa"/>
            <w:vAlign w:val="center"/>
          </w:tcPr>
          <w:p w14:paraId="67A87F4E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sz w:val="18"/>
                <w:szCs w:val="18"/>
              </w:rPr>
              <w:t>6</w:t>
            </w:r>
          </w:p>
        </w:tc>
        <w:tc>
          <w:tcPr>
            <w:tcW w:w="1280" w:type="dxa"/>
            <w:noWrap/>
            <w:vAlign w:val="center"/>
          </w:tcPr>
          <w:p w14:paraId="4628C9DF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29" w:type="dxa"/>
            <w:noWrap/>
            <w:vAlign w:val="center"/>
          </w:tcPr>
          <w:p w14:paraId="25D5577D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73" w:type="dxa"/>
            <w:noWrap/>
            <w:vAlign w:val="center"/>
          </w:tcPr>
          <w:p w14:paraId="048A2A55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4386C324" w14:textId="2B19F25D" w:rsidR="00600BA6" w:rsidRPr="00096B9D" w:rsidRDefault="00600BA6" w:rsidP="0083040C">
            <w:pPr>
              <w:rPr>
                <w:rFonts w:asciiTheme="majorHAnsi" w:hAnsiTheme="majorHAnsi"/>
                <w:sz w:val="18"/>
                <w:szCs w:val="18"/>
              </w:rPr>
            </w:pPr>
            <w:r w:rsidRPr="009949AF">
              <w:rPr>
                <w:rFonts w:cs="Tahoma"/>
                <w:sz w:val="18"/>
                <w:szCs w:val="18"/>
              </w:rPr>
              <w:t>03.06, 11.06, 19.06, 27.06, 06.09 ,09.09.</w:t>
            </w:r>
          </w:p>
        </w:tc>
      </w:tr>
    </w:tbl>
    <w:p w14:paraId="22C56CD5" w14:textId="77777777" w:rsidR="00600BA6" w:rsidRPr="00096B9D" w:rsidRDefault="00600BA6" w:rsidP="00600BA6">
      <w:pPr>
        <w:jc w:val="both"/>
        <w:rPr>
          <w:rFonts w:ascii="Helvetica" w:eastAsia="Times New Roman" w:hAnsi="Helvetica" w:cs="Helvetica"/>
          <w:color w:val="666666"/>
          <w:sz w:val="21"/>
          <w:szCs w:val="21"/>
          <w:lang w:eastAsia="pl-PL"/>
        </w:rPr>
      </w:pPr>
    </w:p>
    <w:tbl>
      <w:tblPr>
        <w:tblStyle w:val="Tabela-Siatka"/>
        <w:tblW w:w="91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03"/>
        <w:gridCol w:w="4720"/>
        <w:gridCol w:w="3082"/>
      </w:tblGrid>
      <w:tr w:rsidR="00600BA6" w:rsidRPr="00096B9D" w14:paraId="145385BC" w14:textId="77777777" w:rsidTr="00600BA6">
        <w:trPr>
          <w:trHeight w:val="217"/>
        </w:trPr>
        <w:tc>
          <w:tcPr>
            <w:tcW w:w="1303" w:type="dxa"/>
          </w:tcPr>
          <w:p w14:paraId="0AECFCCD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sz w:val="18"/>
                <w:szCs w:val="18"/>
              </w:rPr>
              <w:t>Lp.</w:t>
            </w:r>
          </w:p>
        </w:tc>
        <w:tc>
          <w:tcPr>
            <w:tcW w:w="4720" w:type="dxa"/>
          </w:tcPr>
          <w:p w14:paraId="40AAFAA5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sz w:val="18"/>
                <w:szCs w:val="18"/>
              </w:rPr>
              <w:t>Doświadczenie trenera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( imię i Nazwisko )</w:t>
            </w:r>
          </w:p>
        </w:tc>
        <w:tc>
          <w:tcPr>
            <w:tcW w:w="3082" w:type="dxa"/>
          </w:tcPr>
          <w:p w14:paraId="7A5E724A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sz w:val="18"/>
                <w:szCs w:val="18"/>
              </w:rPr>
              <w:t>Liczba szkoleń</w:t>
            </w:r>
          </w:p>
        </w:tc>
      </w:tr>
      <w:tr w:rsidR="00600BA6" w:rsidRPr="00096B9D" w14:paraId="2D7104BE" w14:textId="77777777" w:rsidTr="00600BA6">
        <w:trPr>
          <w:trHeight w:val="217"/>
        </w:trPr>
        <w:tc>
          <w:tcPr>
            <w:tcW w:w="1303" w:type="dxa"/>
          </w:tcPr>
          <w:p w14:paraId="633E32B8" w14:textId="77777777" w:rsidR="00600BA6" w:rsidRPr="00096B9D" w:rsidRDefault="00600BA6" w:rsidP="0083040C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4720" w:type="dxa"/>
          </w:tcPr>
          <w:p w14:paraId="642CAA3D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3082" w:type="dxa"/>
          </w:tcPr>
          <w:p w14:paraId="208BC77F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600BA6" w:rsidRPr="00096B9D" w14:paraId="67AED7A6" w14:textId="77777777" w:rsidTr="00600BA6">
        <w:trPr>
          <w:trHeight w:val="4450"/>
        </w:trPr>
        <w:tc>
          <w:tcPr>
            <w:tcW w:w="1303" w:type="dxa"/>
          </w:tcPr>
          <w:p w14:paraId="63CFA9F0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</w:t>
            </w:r>
            <w:r w:rsidRPr="00096B9D">
              <w:rPr>
                <w:rFonts w:asciiTheme="majorHAnsi" w:hAnsiTheme="majorHAnsi"/>
                <w:b/>
                <w:sz w:val="18"/>
                <w:szCs w:val="18"/>
              </w:rPr>
              <w:t>.</w:t>
            </w:r>
          </w:p>
        </w:tc>
        <w:tc>
          <w:tcPr>
            <w:tcW w:w="4720" w:type="dxa"/>
          </w:tcPr>
          <w:p w14:paraId="30B74FE1" w14:textId="77777777" w:rsidR="00600BA6" w:rsidRPr="00C3134A" w:rsidRDefault="00600BA6" w:rsidP="0083040C">
            <w:pPr>
              <w:shd w:val="clear" w:color="auto" w:fill="FFFFFF"/>
              <w:spacing w:after="150"/>
              <w:jc w:val="both"/>
              <w:rPr>
                <w:rFonts w:eastAsia="Times New Roman" w:cs="Helvetica"/>
                <w:lang w:eastAsia="pl-PL"/>
              </w:rPr>
            </w:pPr>
            <w:r w:rsidRPr="004A536D">
              <w:rPr>
                <w:rFonts w:eastAsia="Times New Roman" w:cs="Helvetica"/>
                <w:lang w:eastAsia="pl-PL"/>
              </w:rPr>
              <w:t>Doświadczenie trenerów w prowadzeniu szkoleń z zakresu bezpieczeństwa pracy w strefach zagrożenia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wybuchem w zakresie Dyrektyw ATEX, Dyrektywy Maszynowej, Dyrektywy Narzędziowej, wiedzy z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zakresu BHP (środków ochrony indywidualnej, zbiorowej, metod oceny ryzyka, wiedzy z zakresu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bezpieczeństwa pożarowego o sposobach zapobiegania wybuchom i pożarom.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Wykonywanie pomiarów termowizyjnych, ochron antyelektrostatycznych, detekcja gazów i kontrola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atmosfery w ramach zapobiegania wytwarzania się mieszanin wybuchowych, wykonywanie badań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laboratoryjnych, analizy SIL i HAZOP, obliczenia wytrzymałościowe konstrukcji, urządzeń i instalacji</w:t>
            </w:r>
            <w:r>
              <w:rPr>
                <w:rFonts w:eastAsia="Times New Roman" w:cs="Helvetica"/>
                <w:lang w:eastAsia="pl-PL"/>
              </w:rPr>
              <w:t xml:space="preserve"> </w:t>
            </w:r>
            <w:r w:rsidRPr="004A536D">
              <w:rPr>
                <w:rFonts w:eastAsia="Times New Roman" w:cs="Helvetica"/>
                <w:lang w:eastAsia="pl-PL"/>
              </w:rPr>
              <w:t>ostatnie 2 lata (03.2022-03.2024)</w:t>
            </w:r>
          </w:p>
        </w:tc>
        <w:tc>
          <w:tcPr>
            <w:tcW w:w="3082" w:type="dxa"/>
          </w:tcPr>
          <w:p w14:paraId="03802F9A" w14:textId="77777777" w:rsidR="00600BA6" w:rsidRPr="00096B9D" w:rsidRDefault="00600BA6" w:rsidP="0083040C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600BA6" w:rsidRPr="00096B9D" w14:paraId="4E36F44B" w14:textId="77777777" w:rsidTr="00600BA6">
        <w:trPr>
          <w:trHeight w:val="217"/>
        </w:trPr>
        <w:tc>
          <w:tcPr>
            <w:tcW w:w="1303" w:type="dxa"/>
          </w:tcPr>
          <w:p w14:paraId="3993D7B1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sz w:val="18"/>
                <w:szCs w:val="18"/>
              </w:rPr>
              <w:t>Termin</w:t>
            </w:r>
          </w:p>
        </w:tc>
        <w:tc>
          <w:tcPr>
            <w:tcW w:w="4720" w:type="dxa"/>
          </w:tcPr>
          <w:p w14:paraId="77C679B7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sz w:val="18"/>
                <w:szCs w:val="18"/>
              </w:rPr>
              <w:t>Temat szkolenia</w:t>
            </w:r>
          </w:p>
        </w:tc>
        <w:tc>
          <w:tcPr>
            <w:tcW w:w="3082" w:type="dxa"/>
          </w:tcPr>
          <w:p w14:paraId="14384836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96B9D">
              <w:rPr>
                <w:rFonts w:asciiTheme="majorHAnsi" w:hAnsiTheme="majorHAnsi"/>
                <w:b/>
                <w:sz w:val="18"/>
                <w:szCs w:val="18"/>
              </w:rPr>
              <w:t>Liczba osób szkolonych</w:t>
            </w:r>
          </w:p>
        </w:tc>
      </w:tr>
      <w:tr w:rsidR="00600BA6" w:rsidRPr="00096B9D" w14:paraId="7974D0CC" w14:textId="77777777" w:rsidTr="00600BA6">
        <w:trPr>
          <w:trHeight w:val="435"/>
        </w:trPr>
        <w:tc>
          <w:tcPr>
            <w:tcW w:w="1303" w:type="dxa"/>
          </w:tcPr>
          <w:p w14:paraId="2D46AF53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C0C0F9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4720" w:type="dxa"/>
          </w:tcPr>
          <w:p w14:paraId="7CB7BE4F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3082" w:type="dxa"/>
          </w:tcPr>
          <w:p w14:paraId="300CE332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600BA6" w:rsidRPr="00096B9D" w14:paraId="5A613B2A" w14:textId="77777777" w:rsidTr="00600BA6">
        <w:trPr>
          <w:trHeight w:val="435"/>
        </w:trPr>
        <w:tc>
          <w:tcPr>
            <w:tcW w:w="1303" w:type="dxa"/>
          </w:tcPr>
          <w:p w14:paraId="117B27EF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CB7BF2F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4720" w:type="dxa"/>
          </w:tcPr>
          <w:p w14:paraId="702E533A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3082" w:type="dxa"/>
          </w:tcPr>
          <w:p w14:paraId="3C3BBA27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600BA6" w:rsidRPr="00096B9D" w14:paraId="53928BE5" w14:textId="77777777" w:rsidTr="00600BA6">
        <w:trPr>
          <w:trHeight w:val="435"/>
        </w:trPr>
        <w:tc>
          <w:tcPr>
            <w:tcW w:w="1303" w:type="dxa"/>
          </w:tcPr>
          <w:p w14:paraId="5F27A1A8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E719D59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4720" w:type="dxa"/>
          </w:tcPr>
          <w:p w14:paraId="37AE27B7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3082" w:type="dxa"/>
          </w:tcPr>
          <w:p w14:paraId="2F365CCA" w14:textId="77777777" w:rsidR="00600BA6" w:rsidRPr="00096B9D" w:rsidRDefault="00600BA6" w:rsidP="0083040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380DBA37" w14:textId="77777777" w:rsidR="00600BA6" w:rsidRPr="00096B9D" w:rsidRDefault="00600BA6" w:rsidP="00600BA6">
      <w:pPr>
        <w:jc w:val="both"/>
        <w:rPr>
          <w:rFonts w:ascii="Helvetica" w:eastAsia="Times New Roman" w:hAnsi="Helvetica" w:cs="Helvetica"/>
          <w:color w:val="666666"/>
          <w:sz w:val="21"/>
          <w:szCs w:val="21"/>
          <w:lang w:eastAsia="pl-PL"/>
        </w:rPr>
      </w:pPr>
    </w:p>
    <w:p w14:paraId="01ADAAA6" w14:textId="77777777" w:rsidR="00600BA6" w:rsidRPr="00096B9D" w:rsidRDefault="00600BA6" w:rsidP="00600BA6">
      <w:r w:rsidRPr="00096B9D">
        <w:t xml:space="preserve">Okres ważności oferty: ………………………….(min </w:t>
      </w:r>
      <w:r>
        <w:t>9</w:t>
      </w:r>
      <w:r w:rsidRPr="00096B9D">
        <w:t>0 dni)</w:t>
      </w:r>
    </w:p>
    <w:p w14:paraId="587729DA" w14:textId="2F56292A" w:rsidR="00A2047B" w:rsidRDefault="00A2047B" w:rsidP="00A2047B">
      <w:pPr>
        <w:spacing w:after="150" w:line="360" w:lineRule="auto"/>
        <w:rPr>
          <w:rFonts w:cs="Arial"/>
          <w:i/>
          <w:color w:val="FF0000"/>
        </w:rPr>
      </w:pPr>
    </w:p>
    <w:p w14:paraId="17760AA0" w14:textId="268251DA" w:rsidR="00600BA6" w:rsidRDefault="00600BA6" w:rsidP="00A2047B">
      <w:pPr>
        <w:spacing w:after="150" w:line="360" w:lineRule="auto"/>
        <w:rPr>
          <w:rFonts w:cs="Arial"/>
          <w:i/>
          <w:color w:val="FF0000"/>
        </w:rPr>
      </w:pPr>
    </w:p>
    <w:p w14:paraId="708AD4BC" w14:textId="19102783" w:rsidR="00600BA6" w:rsidRDefault="00600BA6" w:rsidP="00A2047B">
      <w:pPr>
        <w:spacing w:after="150" w:line="360" w:lineRule="auto"/>
        <w:rPr>
          <w:rFonts w:cs="Arial"/>
          <w:i/>
          <w:color w:val="FF0000"/>
        </w:rPr>
      </w:pPr>
    </w:p>
    <w:p w14:paraId="1BC87FC5" w14:textId="75DA5E5D" w:rsidR="00600BA6" w:rsidRDefault="00600BA6" w:rsidP="00A2047B">
      <w:pPr>
        <w:spacing w:after="150" w:line="360" w:lineRule="auto"/>
        <w:rPr>
          <w:rFonts w:cs="Arial"/>
          <w:i/>
          <w:color w:val="FF0000"/>
        </w:rPr>
      </w:pPr>
    </w:p>
    <w:p w14:paraId="5562FFA8" w14:textId="030C2089" w:rsidR="00600BA6" w:rsidRDefault="00600BA6" w:rsidP="00A2047B">
      <w:pPr>
        <w:spacing w:after="150" w:line="360" w:lineRule="auto"/>
        <w:rPr>
          <w:rFonts w:cs="Arial"/>
          <w:i/>
          <w:color w:val="FF0000"/>
        </w:rPr>
      </w:pPr>
    </w:p>
    <w:p w14:paraId="0348D1A9" w14:textId="77777777" w:rsidR="00E0507C" w:rsidRDefault="00E0507C" w:rsidP="00A2047B">
      <w:pPr>
        <w:spacing w:after="150" w:line="360" w:lineRule="auto"/>
        <w:rPr>
          <w:rFonts w:cs="Arial"/>
          <w:i/>
          <w:color w:val="FF0000"/>
        </w:rPr>
      </w:pPr>
    </w:p>
    <w:p w14:paraId="02AB35FA" w14:textId="77777777" w:rsidR="00600BA6" w:rsidRPr="00A2047B" w:rsidRDefault="00600BA6" w:rsidP="00A2047B">
      <w:pPr>
        <w:spacing w:after="150" w:line="360" w:lineRule="auto"/>
        <w:rPr>
          <w:rFonts w:cs="Arial"/>
          <w:i/>
          <w:color w:val="FF0000"/>
        </w:rPr>
      </w:pPr>
    </w:p>
    <w:p w14:paraId="1E14D93F" w14:textId="77777777" w:rsidR="00BE19ED" w:rsidRDefault="00BE19ED" w:rsidP="00FA1048">
      <w:pPr>
        <w:pStyle w:val="Akapitzlist"/>
        <w:spacing w:after="150" w:line="360" w:lineRule="auto"/>
        <w:ind w:left="709"/>
        <w:rPr>
          <w:rFonts w:cs="Arial"/>
          <w:i/>
          <w:color w:val="FF0000"/>
        </w:rPr>
      </w:pPr>
    </w:p>
    <w:p w14:paraId="502A262B" w14:textId="24FCF444" w:rsidR="00EE5E33" w:rsidRPr="00AE158D" w:rsidRDefault="00EE5E33" w:rsidP="00EE5E33">
      <w:pPr>
        <w:pStyle w:val="Akapitzlist"/>
        <w:spacing w:after="150" w:line="360" w:lineRule="auto"/>
        <w:ind w:left="709"/>
        <w:jc w:val="right"/>
        <w:rPr>
          <w:rFonts w:cs="Arial"/>
          <w:i/>
          <w:color w:val="FF0000"/>
        </w:rPr>
      </w:pPr>
      <w:r w:rsidRPr="00AE158D">
        <w:rPr>
          <w:rFonts w:cs="Arial"/>
          <w:i/>
          <w:color w:val="FF0000"/>
        </w:rPr>
        <w:lastRenderedPageBreak/>
        <w:t>Załącznik nr 2</w:t>
      </w:r>
    </w:p>
    <w:p w14:paraId="7C070D9E" w14:textId="77777777" w:rsidR="00EE5E33" w:rsidRPr="00AE158D" w:rsidRDefault="00EE5E33" w:rsidP="00EE5E33">
      <w:pPr>
        <w:pStyle w:val="Akapitzlist"/>
        <w:spacing w:after="150" w:line="360" w:lineRule="auto"/>
        <w:ind w:left="709"/>
        <w:jc w:val="center"/>
        <w:rPr>
          <w:rFonts w:cs="Arial"/>
        </w:rPr>
      </w:pPr>
    </w:p>
    <w:p w14:paraId="35A269F9" w14:textId="77777777" w:rsidR="00EE5E33" w:rsidRPr="00AE158D" w:rsidRDefault="00EE5E33" w:rsidP="00EE5E33">
      <w:pPr>
        <w:pStyle w:val="Akapitzlist"/>
        <w:spacing w:after="150" w:line="360" w:lineRule="auto"/>
        <w:ind w:left="709"/>
        <w:jc w:val="center"/>
        <w:rPr>
          <w:rFonts w:cs="Arial"/>
        </w:rPr>
      </w:pPr>
      <w:r w:rsidRPr="00AE158D">
        <w:rPr>
          <w:rFonts w:cs="Arial"/>
        </w:rPr>
        <w:t>………………………………………………………………………………………………………………....…………………………….</w:t>
      </w:r>
    </w:p>
    <w:p w14:paraId="32C84DCC" w14:textId="77777777" w:rsidR="00EE5E33" w:rsidRPr="00AE158D" w:rsidRDefault="00EE5E33" w:rsidP="00EE5E33">
      <w:pPr>
        <w:pStyle w:val="Akapitzlist"/>
        <w:spacing w:after="150" w:line="360" w:lineRule="auto"/>
        <w:ind w:left="709"/>
        <w:jc w:val="center"/>
        <w:rPr>
          <w:rFonts w:cs="Arial"/>
        </w:rPr>
      </w:pPr>
      <w:r w:rsidRPr="00AE158D">
        <w:rPr>
          <w:rFonts w:cs="Arial"/>
        </w:rPr>
        <w:t>(przedmiot postępowania )</w:t>
      </w:r>
    </w:p>
    <w:p w14:paraId="495D6ADE" w14:textId="77777777" w:rsidR="00EE5E33" w:rsidRPr="00AE158D" w:rsidRDefault="00EE5E33" w:rsidP="00EE5E33">
      <w:pPr>
        <w:pStyle w:val="Akapitzlist"/>
        <w:spacing w:after="150" w:line="360" w:lineRule="auto"/>
        <w:ind w:left="709"/>
        <w:jc w:val="center"/>
        <w:rPr>
          <w:rFonts w:cs="Arial"/>
          <w:b/>
        </w:rPr>
      </w:pPr>
    </w:p>
    <w:p w14:paraId="1FD9A5BC" w14:textId="77777777" w:rsidR="00EE5E33" w:rsidRPr="00AE158D" w:rsidRDefault="00EE5E33" w:rsidP="00EE5E33">
      <w:pPr>
        <w:pStyle w:val="Akapitzlist"/>
        <w:spacing w:after="150" w:line="360" w:lineRule="auto"/>
        <w:ind w:left="709"/>
        <w:jc w:val="center"/>
        <w:rPr>
          <w:rFonts w:cs="Arial"/>
          <w:b/>
        </w:rPr>
      </w:pPr>
    </w:p>
    <w:p w14:paraId="7BB7E407" w14:textId="77777777" w:rsidR="00EE5E33" w:rsidRPr="00AE158D" w:rsidRDefault="00EE5E33" w:rsidP="00EE5E33">
      <w:pPr>
        <w:pStyle w:val="Akapitzlist"/>
        <w:spacing w:after="150" w:line="360" w:lineRule="auto"/>
        <w:ind w:left="709"/>
        <w:jc w:val="center"/>
        <w:rPr>
          <w:rFonts w:eastAsia="Times New Roman" w:cs="Arial"/>
          <w:b/>
          <w:lang w:eastAsia="pl-PL"/>
        </w:rPr>
      </w:pPr>
      <w:r w:rsidRPr="00AE158D">
        <w:rPr>
          <w:rFonts w:cs="Arial"/>
          <w:b/>
        </w:rPr>
        <w:t>Oświadczenie wykonawcy w zakresie wypełnienia obowiązków informacyjnych przewidzianych w art. 13 lub art. 14 RODO</w:t>
      </w:r>
    </w:p>
    <w:p w14:paraId="58B3CC5D" w14:textId="77777777" w:rsidR="00EE5E33" w:rsidRPr="00AE158D" w:rsidRDefault="00EE5E33" w:rsidP="00EE5E33">
      <w:pPr>
        <w:pStyle w:val="Tekstprzypisudolnego"/>
        <w:ind w:left="927"/>
        <w:rPr>
          <w:rFonts w:cs="Arial"/>
          <w:i/>
          <w:sz w:val="22"/>
          <w:szCs w:val="22"/>
          <w:u w:val="single"/>
        </w:rPr>
      </w:pPr>
    </w:p>
    <w:p w14:paraId="04B3F450" w14:textId="77777777" w:rsidR="00EE5E33" w:rsidRPr="00AE158D" w:rsidRDefault="00EE5E33" w:rsidP="00EE5E33">
      <w:pPr>
        <w:pStyle w:val="Tekstprzypisudolnego"/>
        <w:ind w:left="927"/>
        <w:rPr>
          <w:rFonts w:cs="Arial"/>
          <w:color w:val="000000"/>
          <w:sz w:val="22"/>
          <w:szCs w:val="22"/>
        </w:rPr>
      </w:pPr>
    </w:p>
    <w:p w14:paraId="06B06374" w14:textId="77777777" w:rsidR="00EE5E33" w:rsidRPr="00A353FE" w:rsidRDefault="00EE5E33" w:rsidP="00EE5E33">
      <w:pPr>
        <w:pStyle w:val="NormalnyWeb"/>
        <w:spacing w:line="360" w:lineRule="auto"/>
        <w:ind w:left="927" w:firstLine="489"/>
        <w:jc w:val="both"/>
        <w:rPr>
          <w:rFonts w:asciiTheme="minorHAnsi" w:hAnsiTheme="minorHAnsi" w:cs="Arial"/>
          <w:sz w:val="22"/>
          <w:szCs w:val="22"/>
        </w:rPr>
      </w:pPr>
      <w:r w:rsidRPr="00AE158D">
        <w:rPr>
          <w:rFonts w:asciiTheme="minorHAnsi" w:hAnsiTheme="minorHAnsi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AE158D"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 w:rsidRPr="00AE158D"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 w:rsidRPr="00AE158D">
        <w:rPr>
          <w:rFonts w:asciiTheme="minorHAnsi" w:hAnsiTheme="minorHAnsi" w:cs="Arial"/>
          <w:sz w:val="22"/>
          <w:szCs w:val="22"/>
        </w:rPr>
        <w:t>od których dane osobowe bezpośrednio lub pośrednio pozyskałem</w:t>
      </w:r>
      <w:r w:rsidRPr="00AE158D">
        <w:rPr>
          <w:rFonts w:asciiTheme="minorHAnsi" w:hAnsiTheme="minorHAnsi" w:cs="Arial"/>
          <w:color w:val="000000"/>
          <w:sz w:val="22"/>
          <w:szCs w:val="22"/>
        </w:rPr>
        <w:t xml:space="preserve"> w celu ubiegania się o udzielenie zamówienia publicznego w przedmiotowym postępowaniu</w:t>
      </w:r>
      <w:r w:rsidRPr="00AE158D">
        <w:rPr>
          <w:rFonts w:asciiTheme="minorHAnsi" w:hAnsiTheme="minorHAnsi" w:cs="Arial"/>
          <w:sz w:val="22"/>
          <w:szCs w:val="22"/>
        </w:rPr>
        <w:t>.*</w:t>
      </w:r>
    </w:p>
    <w:p w14:paraId="37E40A12" w14:textId="77777777" w:rsidR="00EE5E33" w:rsidRPr="00A353FE" w:rsidRDefault="00EE5E33" w:rsidP="00EE5E33">
      <w:pPr>
        <w:pStyle w:val="NormalnyWeb"/>
        <w:spacing w:line="360" w:lineRule="auto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42631F78" w14:textId="77777777" w:rsidR="00EE5E33" w:rsidRPr="00A353FE" w:rsidRDefault="00EE5E33" w:rsidP="00EE5E33">
      <w:pPr>
        <w:pStyle w:val="NormalnyWeb"/>
        <w:spacing w:line="360" w:lineRule="auto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6FBB0AA5" w14:textId="77777777" w:rsidR="00EE5E33" w:rsidRPr="00A353FE" w:rsidRDefault="00EE5E33" w:rsidP="00EE5E33">
      <w:pPr>
        <w:pStyle w:val="NormalnyWeb"/>
        <w:spacing w:line="360" w:lineRule="auto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759443CA" w14:textId="77777777" w:rsidR="00EE5E33" w:rsidRPr="00A353FE" w:rsidRDefault="00EE5E33" w:rsidP="00EE5E33">
      <w:pPr>
        <w:pStyle w:val="NormalnyWeb"/>
        <w:spacing w:line="360" w:lineRule="auto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53F9934B" w14:textId="77777777" w:rsidR="00EE5E33" w:rsidRPr="00A353FE" w:rsidRDefault="00EE5E33" w:rsidP="00EE5E33">
      <w:pPr>
        <w:pStyle w:val="NormalnyWeb"/>
        <w:spacing w:line="360" w:lineRule="auto"/>
        <w:ind w:left="5175" w:firstLine="489"/>
        <w:jc w:val="center"/>
        <w:rPr>
          <w:rFonts w:asciiTheme="minorHAnsi" w:hAnsiTheme="minorHAnsi" w:cs="Arial"/>
          <w:b/>
          <w:sz w:val="22"/>
          <w:szCs w:val="22"/>
        </w:rPr>
      </w:pPr>
      <w:r w:rsidRPr="00A353FE">
        <w:rPr>
          <w:rFonts w:asciiTheme="minorHAnsi" w:hAnsiTheme="minorHAnsi" w:cs="Arial"/>
          <w:b/>
          <w:sz w:val="22"/>
          <w:szCs w:val="22"/>
        </w:rPr>
        <w:t>……….…………………………….</w:t>
      </w:r>
    </w:p>
    <w:p w14:paraId="28948847" w14:textId="77777777" w:rsidR="00EE5E33" w:rsidRPr="00A353FE" w:rsidRDefault="00EE5E33" w:rsidP="00EE5E33">
      <w:pPr>
        <w:pStyle w:val="NormalnyWeb"/>
        <w:spacing w:line="360" w:lineRule="auto"/>
        <w:ind w:left="6372"/>
        <w:rPr>
          <w:rFonts w:asciiTheme="minorHAnsi" w:hAnsiTheme="minorHAnsi" w:cs="Arial"/>
          <w:sz w:val="22"/>
          <w:szCs w:val="22"/>
        </w:rPr>
      </w:pPr>
      <w:r w:rsidRPr="00A353FE">
        <w:rPr>
          <w:rFonts w:asciiTheme="minorHAnsi" w:hAnsiTheme="minorHAnsi" w:cs="Arial"/>
          <w:sz w:val="22"/>
          <w:szCs w:val="22"/>
        </w:rPr>
        <w:t xml:space="preserve">       (data i podpis)</w:t>
      </w:r>
    </w:p>
    <w:p w14:paraId="653CD213" w14:textId="77777777" w:rsidR="00EE5E33" w:rsidRPr="00A353FE" w:rsidRDefault="00EE5E33" w:rsidP="00EE5E33">
      <w:pPr>
        <w:pStyle w:val="Akapitzlist"/>
        <w:ind w:left="927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9540B46" w14:textId="77777777" w:rsidR="00EE5E33" w:rsidRPr="00A353FE" w:rsidRDefault="00EE5E33" w:rsidP="00EE5E33">
      <w:pPr>
        <w:pStyle w:val="NormalnyWeb"/>
        <w:spacing w:line="360" w:lineRule="auto"/>
        <w:ind w:left="927"/>
        <w:jc w:val="both"/>
        <w:rPr>
          <w:rFonts w:ascii="Arial" w:hAnsi="Arial" w:cs="Arial"/>
          <w:color w:val="000000"/>
          <w:sz w:val="22"/>
          <w:szCs w:val="22"/>
        </w:rPr>
      </w:pPr>
      <w:r w:rsidRPr="00A353F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58417D9B" w14:textId="77777777" w:rsidR="00EE5E33" w:rsidRPr="00A353FE" w:rsidRDefault="00EE5E33" w:rsidP="00EE5E33">
      <w:pPr>
        <w:pStyle w:val="Tekstprzypisudolnego"/>
        <w:ind w:left="927"/>
        <w:jc w:val="both"/>
        <w:rPr>
          <w:rFonts w:ascii="Arial" w:hAnsi="Arial" w:cs="Arial"/>
          <w:sz w:val="16"/>
          <w:szCs w:val="16"/>
        </w:rPr>
      </w:pPr>
      <w:r w:rsidRPr="00A353FE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A353FE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7C82D7" w14:textId="77777777" w:rsidR="00EE5E33" w:rsidRPr="00A353FE" w:rsidRDefault="00EE5E33" w:rsidP="00EE5E33">
      <w:pPr>
        <w:pStyle w:val="Tekstprzypisudolnego"/>
        <w:ind w:left="927"/>
        <w:jc w:val="both"/>
        <w:rPr>
          <w:sz w:val="16"/>
          <w:szCs w:val="16"/>
        </w:rPr>
      </w:pPr>
    </w:p>
    <w:p w14:paraId="3AB462A6" w14:textId="77777777" w:rsidR="00EE5E33" w:rsidRPr="00645ACE" w:rsidRDefault="00EE5E33" w:rsidP="00645ACE">
      <w:pPr>
        <w:pStyle w:val="NormalnyWeb"/>
        <w:spacing w:line="276" w:lineRule="auto"/>
        <w:ind w:left="927"/>
        <w:jc w:val="both"/>
        <w:rPr>
          <w:rFonts w:ascii="Arial" w:hAnsi="Arial" w:cs="Arial"/>
          <w:sz w:val="16"/>
          <w:szCs w:val="16"/>
        </w:rPr>
      </w:pPr>
      <w:r w:rsidRPr="00A353FE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A353FE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E5E33" w:rsidRPr="00645ACE" w:rsidSect="000D2407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210FC" w14:textId="77777777" w:rsidR="008F2BDA" w:rsidRDefault="008F2BDA" w:rsidP="00C95810">
      <w:pPr>
        <w:spacing w:after="0" w:line="240" w:lineRule="auto"/>
      </w:pPr>
      <w:r>
        <w:separator/>
      </w:r>
    </w:p>
  </w:endnote>
  <w:endnote w:type="continuationSeparator" w:id="0">
    <w:p w14:paraId="3DD7FF58" w14:textId="77777777" w:rsidR="008F2BDA" w:rsidRDefault="008F2BDA" w:rsidP="00C9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0C65" w14:textId="77777777" w:rsidR="008F2BDA" w:rsidRDefault="008F2BDA" w:rsidP="00C95810">
      <w:pPr>
        <w:spacing w:after="0" w:line="240" w:lineRule="auto"/>
      </w:pPr>
      <w:r>
        <w:separator/>
      </w:r>
    </w:p>
  </w:footnote>
  <w:footnote w:type="continuationSeparator" w:id="0">
    <w:p w14:paraId="4ACF6E71" w14:textId="77777777" w:rsidR="008F2BDA" w:rsidRDefault="008F2BDA" w:rsidP="00C9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4B3B"/>
    <w:multiLevelType w:val="hybridMultilevel"/>
    <w:tmpl w:val="5DAC2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FE2"/>
    <w:multiLevelType w:val="hybridMultilevel"/>
    <w:tmpl w:val="3992FD2E"/>
    <w:lvl w:ilvl="0" w:tplc="37EE09E6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E32031"/>
    <w:multiLevelType w:val="hybridMultilevel"/>
    <w:tmpl w:val="4F585B92"/>
    <w:lvl w:ilvl="0" w:tplc="8E3C0172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275A9"/>
    <w:multiLevelType w:val="hybridMultilevel"/>
    <w:tmpl w:val="08642032"/>
    <w:lvl w:ilvl="0" w:tplc="EE024D18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957423"/>
    <w:multiLevelType w:val="hybridMultilevel"/>
    <w:tmpl w:val="813C5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9448E"/>
    <w:multiLevelType w:val="hybridMultilevel"/>
    <w:tmpl w:val="69EE6F32"/>
    <w:lvl w:ilvl="0" w:tplc="E244EA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E1F89"/>
    <w:multiLevelType w:val="hybridMultilevel"/>
    <w:tmpl w:val="51A2462E"/>
    <w:lvl w:ilvl="0" w:tplc="826E245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A74FC8"/>
    <w:multiLevelType w:val="hybridMultilevel"/>
    <w:tmpl w:val="1152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B73BC"/>
    <w:multiLevelType w:val="hybridMultilevel"/>
    <w:tmpl w:val="4F18B00A"/>
    <w:lvl w:ilvl="0" w:tplc="DA4650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CC3C64"/>
    <w:multiLevelType w:val="hybridMultilevel"/>
    <w:tmpl w:val="1152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74B27"/>
    <w:multiLevelType w:val="hybridMultilevel"/>
    <w:tmpl w:val="697C4B44"/>
    <w:lvl w:ilvl="0" w:tplc="2A2E9D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8E7F50"/>
    <w:multiLevelType w:val="hybridMultilevel"/>
    <w:tmpl w:val="5DAC2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04B95"/>
    <w:multiLevelType w:val="hybridMultilevel"/>
    <w:tmpl w:val="AA9C9CA8"/>
    <w:lvl w:ilvl="0" w:tplc="F30835F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5337C6"/>
    <w:multiLevelType w:val="hybridMultilevel"/>
    <w:tmpl w:val="CC4061C8"/>
    <w:lvl w:ilvl="0" w:tplc="1E168DA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A147B9"/>
    <w:multiLevelType w:val="hybridMultilevel"/>
    <w:tmpl w:val="3992FD2E"/>
    <w:lvl w:ilvl="0" w:tplc="37EE09E6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B60586"/>
    <w:multiLevelType w:val="hybridMultilevel"/>
    <w:tmpl w:val="243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73813"/>
    <w:multiLevelType w:val="hybridMultilevel"/>
    <w:tmpl w:val="88742BEE"/>
    <w:lvl w:ilvl="0" w:tplc="5342720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37670E"/>
    <w:multiLevelType w:val="hybridMultilevel"/>
    <w:tmpl w:val="697C4B44"/>
    <w:lvl w:ilvl="0" w:tplc="2A2E9D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D67A6"/>
    <w:multiLevelType w:val="hybridMultilevel"/>
    <w:tmpl w:val="51A2462E"/>
    <w:lvl w:ilvl="0" w:tplc="826E245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B16EAA"/>
    <w:multiLevelType w:val="hybridMultilevel"/>
    <w:tmpl w:val="243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01F6F"/>
    <w:multiLevelType w:val="hybridMultilevel"/>
    <w:tmpl w:val="4F18B00A"/>
    <w:lvl w:ilvl="0" w:tplc="DA4650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DE578C"/>
    <w:multiLevelType w:val="hybridMultilevel"/>
    <w:tmpl w:val="1152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F0475"/>
    <w:multiLevelType w:val="hybridMultilevel"/>
    <w:tmpl w:val="243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02F81"/>
    <w:multiLevelType w:val="hybridMultilevel"/>
    <w:tmpl w:val="88742BEE"/>
    <w:lvl w:ilvl="0" w:tplc="5342720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D22476"/>
    <w:multiLevelType w:val="hybridMultilevel"/>
    <w:tmpl w:val="CC4061C8"/>
    <w:lvl w:ilvl="0" w:tplc="1E168DA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9D7B29"/>
    <w:multiLevelType w:val="hybridMultilevel"/>
    <w:tmpl w:val="243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D0FEB"/>
    <w:multiLevelType w:val="hybridMultilevel"/>
    <w:tmpl w:val="4F585B92"/>
    <w:lvl w:ilvl="0" w:tplc="8E3C0172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C23F8C"/>
    <w:multiLevelType w:val="hybridMultilevel"/>
    <w:tmpl w:val="D9B0CDD2"/>
    <w:lvl w:ilvl="0" w:tplc="687492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CB45C6"/>
    <w:multiLevelType w:val="hybridMultilevel"/>
    <w:tmpl w:val="AA9C9CA8"/>
    <w:lvl w:ilvl="0" w:tplc="F30835F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BC45ED"/>
    <w:multiLevelType w:val="hybridMultilevel"/>
    <w:tmpl w:val="08642032"/>
    <w:lvl w:ilvl="0" w:tplc="EE024D18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136456"/>
    <w:multiLevelType w:val="hybridMultilevel"/>
    <w:tmpl w:val="25A0F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17BF1"/>
    <w:multiLevelType w:val="multilevel"/>
    <w:tmpl w:val="3EB29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86117D"/>
    <w:multiLevelType w:val="hybridMultilevel"/>
    <w:tmpl w:val="69EE6F32"/>
    <w:lvl w:ilvl="0" w:tplc="E244EA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1860B5"/>
    <w:multiLevelType w:val="hybridMultilevel"/>
    <w:tmpl w:val="66F40638"/>
    <w:lvl w:ilvl="0" w:tplc="E2C6592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6B8514CC"/>
    <w:multiLevelType w:val="hybridMultilevel"/>
    <w:tmpl w:val="243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C450E"/>
    <w:multiLevelType w:val="hybridMultilevel"/>
    <w:tmpl w:val="243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859FE"/>
    <w:multiLevelType w:val="hybridMultilevel"/>
    <w:tmpl w:val="46FC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21E1A"/>
    <w:multiLevelType w:val="hybridMultilevel"/>
    <w:tmpl w:val="1152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6670A"/>
    <w:multiLevelType w:val="hybridMultilevel"/>
    <w:tmpl w:val="1152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D029E"/>
    <w:multiLevelType w:val="hybridMultilevel"/>
    <w:tmpl w:val="243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05534"/>
    <w:multiLevelType w:val="hybridMultilevel"/>
    <w:tmpl w:val="1152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211E91"/>
    <w:multiLevelType w:val="hybridMultilevel"/>
    <w:tmpl w:val="243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6"/>
  </w:num>
  <w:num w:numId="3">
    <w:abstractNumId w:val="22"/>
  </w:num>
  <w:num w:numId="4">
    <w:abstractNumId w:val="27"/>
  </w:num>
  <w:num w:numId="5">
    <w:abstractNumId w:val="33"/>
  </w:num>
  <w:num w:numId="6">
    <w:abstractNumId w:val="40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5"/>
  </w:num>
  <w:num w:numId="22">
    <w:abstractNumId w:val="3"/>
  </w:num>
  <w:num w:numId="23">
    <w:abstractNumId w:val="14"/>
  </w:num>
  <w:num w:numId="24">
    <w:abstractNumId w:val="24"/>
  </w:num>
  <w:num w:numId="25">
    <w:abstractNumId w:val="2"/>
  </w:num>
  <w:num w:numId="26">
    <w:abstractNumId w:val="10"/>
  </w:num>
  <w:num w:numId="27">
    <w:abstractNumId w:val="23"/>
  </w:num>
  <w:num w:numId="28">
    <w:abstractNumId w:val="8"/>
  </w:num>
  <w:num w:numId="29">
    <w:abstractNumId w:val="12"/>
  </w:num>
  <w:num w:numId="30">
    <w:abstractNumId w:val="18"/>
  </w:num>
  <w:num w:numId="31">
    <w:abstractNumId w:val="5"/>
  </w:num>
  <w:num w:numId="32">
    <w:abstractNumId w:val="19"/>
  </w:num>
  <w:num w:numId="33">
    <w:abstractNumId w:val="9"/>
  </w:num>
  <w:num w:numId="34">
    <w:abstractNumId w:val="34"/>
  </w:num>
  <w:num w:numId="35">
    <w:abstractNumId w:val="38"/>
  </w:num>
  <w:num w:numId="36">
    <w:abstractNumId w:val="15"/>
  </w:num>
  <w:num w:numId="37">
    <w:abstractNumId w:val="35"/>
  </w:num>
  <w:num w:numId="38">
    <w:abstractNumId w:val="37"/>
  </w:num>
  <w:num w:numId="39">
    <w:abstractNumId w:val="41"/>
  </w:num>
  <w:num w:numId="40">
    <w:abstractNumId w:val="21"/>
  </w:num>
  <w:num w:numId="41">
    <w:abstractNumId w:val="39"/>
  </w:num>
  <w:num w:numId="42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407"/>
    <w:rsid w:val="000017C2"/>
    <w:rsid w:val="0001101F"/>
    <w:rsid w:val="00011A7E"/>
    <w:rsid w:val="000202A3"/>
    <w:rsid w:val="00022421"/>
    <w:rsid w:val="000255BF"/>
    <w:rsid w:val="00025862"/>
    <w:rsid w:val="00026D83"/>
    <w:rsid w:val="000334D4"/>
    <w:rsid w:val="000444C3"/>
    <w:rsid w:val="00050A53"/>
    <w:rsid w:val="00077729"/>
    <w:rsid w:val="00077D37"/>
    <w:rsid w:val="00085D70"/>
    <w:rsid w:val="00096B9D"/>
    <w:rsid w:val="000A4F24"/>
    <w:rsid w:val="000B325B"/>
    <w:rsid w:val="000B68E8"/>
    <w:rsid w:val="000C0964"/>
    <w:rsid w:val="000C195D"/>
    <w:rsid w:val="000C6F9E"/>
    <w:rsid w:val="000D0624"/>
    <w:rsid w:val="000D2407"/>
    <w:rsid w:val="000D74F5"/>
    <w:rsid w:val="000F2BA5"/>
    <w:rsid w:val="000F30D2"/>
    <w:rsid w:val="000F5822"/>
    <w:rsid w:val="00104929"/>
    <w:rsid w:val="001121B3"/>
    <w:rsid w:val="00125410"/>
    <w:rsid w:val="001265B3"/>
    <w:rsid w:val="00130A84"/>
    <w:rsid w:val="001312D9"/>
    <w:rsid w:val="00131953"/>
    <w:rsid w:val="00140FD9"/>
    <w:rsid w:val="00144A0E"/>
    <w:rsid w:val="00156F7C"/>
    <w:rsid w:val="00166BA7"/>
    <w:rsid w:val="00167C68"/>
    <w:rsid w:val="001724D2"/>
    <w:rsid w:val="00173778"/>
    <w:rsid w:val="00185695"/>
    <w:rsid w:val="001858D5"/>
    <w:rsid w:val="0019374A"/>
    <w:rsid w:val="00197125"/>
    <w:rsid w:val="00197585"/>
    <w:rsid w:val="001A2619"/>
    <w:rsid w:val="001A3D3F"/>
    <w:rsid w:val="001A6CE1"/>
    <w:rsid w:val="001A7767"/>
    <w:rsid w:val="001B30B4"/>
    <w:rsid w:val="001C187B"/>
    <w:rsid w:val="001C2D42"/>
    <w:rsid w:val="001C6963"/>
    <w:rsid w:val="001D0D90"/>
    <w:rsid w:val="001D6413"/>
    <w:rsid w:val="001E4D6D"/>
    <w:rsid w:val="001E6AFE"/>
    <w:rsid w:val="001F1989"/>
    <w:rsid w:val="001F4B66"/>
    <w:rsid w:val="00200ABE"/>
    <w:rsid w:val="00203531"/>
    <w:rsid w:val="00207658"/>
    <w:rsid w:val="0021284E"/>
    <w:rsid w:val="00215933"/>
    <w:rsid w:val="00220638"/>
    <w:rsid w:val="00223855"/>
    <w:rsid w:val="0023187B"/>
    <w:rsid w:val="00233C5F"/>
    <w:rsid w:val="00234408"/>
    <w:rsid w:val="002404E3"/>
    <w:rsid w:val="00252C45"/>
    <w:rsid w:val="00271909"/>
    <w:rsid w:val="00274B7A"/>
    <w:rsid w:val="002815BE"/>
    <w:rsid w:val="00281BF2"/>
    <w:rsid w:val="0028584C"/>
    <w:rsid w:val="00290FE1"/>
    <w:rsid w:val="00293080"/>
    <w:rsid w:val="002973D2"/>
    <w:rsid w:val="002B5814"/>
    <w:rsid w:val="002C05A0"/>
    <w:rsid w:val="002C7468"/>
    <w:rsid w:val="002D6A20"/>
    <w:rsid w:val="002E207F"/>
    <w:rsid w:val="002E411B"/>
    <w:rsid w:val="002F03AF"/>
    <w:rsid w:val="002F5A23"/>
    <w:rsid w:val="00307F67"/>
    <w:rsid w:val="003207BF"/>
    <w:rsid w:val="00347465"/>
    <w:rsid w:val="0035175D"/>
    <w:rsid w:val="003548AC"/>
    <w:rsid w:val="0036310F"/>
    <w:rsid w:val="00370E0E"/>
    <w:rsid w:val="00372365"/>
    <w:rsid w:val="00373C1C"/>
    <w:rsid w:val="00374273"/>
    <w:rsid w:val="003873A1"/>
    <w:rsid w:val="003A1D8C"/>
    <w:rsid w:val="003C2D00"/>
    <w:rsid w:val="003C413C"/>
    <w:rsid w:val="003D188B"/>
    <w:rsid w:val="003D772D"/>
    <w:rsid w:val="003E5CA7"/>
    <w:rsid w:val="003E6897"/>
    <w:rsid w:val="003E699C"/>
    <w:rsid w:val="003F0E84"/>
    <w:rsid w:val="003F505D"/>
    <w:rsid w:val="003F607C"/>
    <w:rsid w:val="003F68AA"/>
    <w:rsid w:val="00414B42"/>
    <w:rsid w:val="00433907"/>
    <w:rsid w:val="00436AB9"/>
    <w:rsid w:val="00437E58"/>
    <w:rsid w:val="00442B1A"/>
    <w:rsid w:val="004575E9"/>
    <w:rsid w:val="00460858"/>
    <w:rsid w:val="00466E2F"/>
    <w:rsid w:val="00470423"/>
    <w:rsid w:val="00473818"/>
    <w:rsid w:val="004750B3"/>
    <w:rsid w:val="00483B03"/>
    <w:rsid w:val="00485AD2"/>
    <w:rsid w:val="0049007E"/>
    <w:rsid w:val="00490F1E"/>
    <w:rsid w:val="00495872"/>
    <w:rsid w:val="004A222A"/>
    <w:rsid w:val="004A536D"/>
    <w:rsid w:val="004B4495"/>
    <w:rsid w:val="004C1FAE"/>
    <w:rsid w:val="004C5443"/>
    <w:rsid w:val="004D0C21"/>
    <w:rsid w:val="004D339C"/>
    <w:rsid w:val="004D494A"/>
    <w:rsid w:val="004D7F25"/>
    <w:rsid w:val="004E15F5"/>
    <w:rsid w:val="004E431B"/>
    <w:rsid w:val="004F5B63"/>
    <w:rsid w:val="004F6F3F"/>
    <w:rsid w:val="005074CF"/>
    <w:rsid w:val="005142BE"/>
    <w:rsid w:val="0051568C"/>
    <w:rsid w:val="005200D6"/>
    <w:rsid w:val="005210D4"/>
    <w:rsid w:val="00521649"/>
    <w:rsid w:val="005515D2"/>
    <w:rsid w:val="0055188A"/>
    <w:rsid w:val="00554845"/>
    <w:rsid w:val="005555CB"/>
    <w:rsid w:val="005634CA"/>
    <w:rsid w:val="005642ED"/>
    <w:rsid w:val="00566D1D"/>
    <w:rsid w:val="00576599"/>
    <w:rsid w:val="005770EB"/>
    <w:rsid w:val="0058253E"/>
    <w:rsid w:val="00596083"/>
    <w:rsid w:val="0059676B"/>
    <w:rsid w:val="0059768E"/>
    <w:rsid w:val="005B44B6"/>
    <w:rsid w:val="005D7E78"/>
    <w:rsid w:val="005E5531"/>
    <w:rsid w:val="005F79DC"/>
    <w:rsid w:val="00600BA6"/>
    <w:rsid w:val="00601117"/>
    <w:rsid w:val="00606530"/>
    <w:rsid w:val="00610FD0"/>
    <w:rsid w:val="00614E5F"/>
    <w:rsid w:val="006278C6"/>
    <w:rsid w:val="00630EA9"/>
    <w:rsid w:val="006331C5"/>
    <w:rsid w:val="006357BE"/>
    <w:rsid w:val="00636337"/>
    <w:rsid w:val="0064456C"/>
    <w:rsid w:val="00645ACE"/>
    <w:rsid w:val="0067530D"/>
    <w:rsid w:val="00676368"/>
    <w:rsid w:val="00687336"/>
    <w:rsid w:val="006979F4"/>
    <w:rsid w:val="006B1350"/>
    <w:rsid w:val="006B2B1B"/>
    <w:rsid w:val="006B7795"/>
    <w:rsid w:val="006D4212"/>
    <w:rsid w:val="006D51C5"/>
    <w:rsid w:val="006D5C0C"/>
    <w:rsid w:val="006E022A"/>
    <w:rsid w:val="006E29A0"/>
    <w:rsid w:val="006E3E39"/>
    <w:rsid w:val="006E3F1F"/>
    <w:rsid w:val="006E4407"/>
    <w:rsid w:val="006E6A29"/>
    <w:rsid w:val="007020E7"/>
    <w:rsid w:val="00706B09"/>
    <w:rsid w:val="00724141"/>
    <w:rsid w:val="00726446"/>
    <w:rsid w:val="00732BBB"/>
    <w:rsid w:val="007330E8"/>
    <w:rsid w:val="007413B7"/>
    <w:rsid w:val="007417F5"/>
    <w:rsid w:val="007508AB"/>
    <w:rsid w:val="00751A22"/>
    <w:rsid w:val="00756227"/>
    <w:rsid w:val="00761E7F"/>
    <w:rsid w:val="007734F5"/>
    <w:rsid w:val="00774C6F"/>
    <w:rsid w:val="007809D1"/>
    <w:rsid w:val="007845DC"/>
    <w:rsid w:val="007929AC"/>
    <w:rsid w:val="00795EF9"/>
    <w:rsid w:val="007B0F11"/>
    <w:rsid w:val="007B6055"/>
    <w:rsid w:val="007D1AC4"/>
    <w:rsid w:val="007D4EF4"/>
    <w:rsid w:val="007D6822"/>
    <w:rsid w:val="007F17B7"/>
    <w:rsid w:val="007F555D"/>
    <w:rsid w:val="00801109"/>
    <w:rsid w:val="008128C8"/>
    <w:rsid w:val="00812A8F"/>
    <w:rsid w:val="00812AFA"/>
    <w:rsid w:val="008136B3"/>
    <w:rsid w:val="008168F1"/>
    <w:rsid w:val="00823AE5"/>
    <w:rsid w:val="0083040C"/>
    <w:rsid w:val="00833553"/>
    <w:rsid w:val="0084255A"/>
    <w:rsid w:val="00843DEA"/>
    <w:rsid w:val="00855654"/>
    <w:rsid w:val="00861E7F"/>
    <w:rsid w:val="00880C17"/>
    <w:rsid w:val="00892555"/>
    <w:rsid w:val="008A0E83"/>
    <w:rsid w:val="008A36C6"/>
    <w:rsid w:val="008A59FC"/>
    <w:rsid w:val="008A771D"/>
    <w:rsid w:val="008B2C5B"/>
    <w:rsid w:val="008B4431"/>
    <w:rsid w:val="008C0F1C"/>
    <w:rsid w:val="008C2949"/>
    <w:rsid w:val="008C3184"/>
    <w:rsid w:val="008C6B19"/>
    <w:rsid w:val="008D27F7"/>
    <w:rsid w:val="008D6000"/>
    <w:rsid w:val="008D666B"/>
    <w:rsid w:val="008D6937"/>
    <w:rsid w:val="008D6F20"/>
    <w:rsid w:val="008D736A"/>
    <w:rsid w:val="008E3229"/>
    <w:rsid w:val="008E3855"/>
    <w:rsid w:val="008F2BDA"/>
    <w:rsid w:val="00904095"/>
    <w:rsid w:val="00905E44"/>
    <w:rsid w:val="00906834"/>
    <w:rsid w:val="00916A1D"/>
    <w:rsid w:val="00921B25"/>
    <w:rsid w:val="009342BA"/>
    <w:rsid w:val="009352C0"/>
    <w:rsid w:val="009506F7"/>
    <w:rsid w:val="009531AA"/>
    <w:rsid w:val="00954D86"/>
    <w:rsid w:val="009557B5"/>
    <w:rsid w:val="00957F08"/>
    <w:rsid w:val="0096236D"/>
    <w:rsid w:val="00963229"/>
    <w:rsid w:val="00965B19"/>
    <w:rsid w:val="00983B3B"/>
    <w:rsid w:val="009858F6"/>
    <w:rsid w:val="00987121"/>
    <w:rsid w:val="00991D81"/>
    <w:rsid w:val="00992EBF"/>
    <w:rsid w:val="009949AF"/>
    <w:rsid w:val="009A0191"/>
    <w:rsid w:val="009A688E"/>
    <w:rsid w:val="009B37C3"/>
    <w:rsid w:val="009B7FFE"/>
    <w:rsid w:val="009D1D66"/>
    <w:rsid w:val="009E5602"/>
    <w:rsid w:val="009F741B"/>
    <w:rsid w:val="00A13700"/>
    <w:rsid w:val="00A2047B"/>
    <w:rsid w:val="00A353FE"/>
    <w:rsid w:val="00A41D42"/>
    <w:rsid w:val="00A4245D"/>
    <w:rsid w:val="00A44CD5"/>
    <w:rsid w:val="00A5065A"/>
    <w:rsid w:val="00A5553C"/>
    <w:rsid w:val="00A56832"/>
    <w:rsid w:val="00A63214"/>
    <w:rsid w:val="00A64F91"/>
    <w:rsid w:val="00A662D8"/>
    <w:rsid w:val="00A718EF"/>
    <w:rsid w:val="00A801ED"/>
    <w:rsid w:val="00A9045C"/>
    <w:rsid w:val="00A90DC4"/>
    <w:rsid w:val="00A91CD6"/>
    <w:rsid w:val="00AA1931"/>
    <w:rsid w:val="00AA5162"/>
    <w:rsid w:val="00AB2264"/>
    <w:rsid w:val="00AB47D8"/>
    <w:rsid w:val="00AC0E04"/>
    <w:rsid w:val="00AC1A28"/>
    <w:rsid w:val="00AE158D"/>
    <w:rsid w:val="00AF08D2"/>
    <w:rsid w:val="00AF15D0"/>
    <w:rsid w:val="00AF17C9"/>
    <w:rsid w:val="00B02386"/>
    <w:rsid w:val="00B26A16"/>
    <w:rsid w:val="00B34DBB"/>
    <w:rsid w:val="00B435DC"/>
    <w:rsid w:val="00B435DF"/>
    <w:rsid w:val="00B50F5D"/>
    <w:rsid w:val="00B51387"/>
    <w:rsid w:val="00B62064"/>
    <w:rsid w:val="00B67984"/>
    <w:rsid w:val="00B74961"/>
    <w:rsid w:val="00B83B73"/>
    <w:rsid w:val="00B875ED"/>
    <w:rsid w:val="00B941D7"/>
    <w:rsid w:val="00BA7D62"/>
    <w:rsid w:val="00BB4D27"/>
    <w:rsid w:val="00BC043F"/>
    <w:rsid w:val="00BC327D"/>
    <w:rsid w:val="00BD4537"/>
    <w:rsid w:val="00BE11CB"/>
    <w:rsid w:val="00BE19ED"/>
    <w:rsid w:val="00C12062"/>
    <w:rsid w:val="00C143FE"/>
    <w:rsid w:val="00C14DD5"/>
    <w:rsid w:val="00C1585B"/>
    <w:rsid w:val="00C16FD3"/>
    <w:rsid w:val="00C21DDB"/>
    <w:rsid w:val="00C22870"/>
    <w:rsid w:val="00C2454A"/>
    <w:rsid w:val="00C27DCC"/>
    <w:rsid w:val="00C3134A"/>
    <w:rsid w:val="00C31B33"/>
    <w:rsid w:val="00C4465C"/>
    <w:rsid w:val="00C458B6"/>
    <w:rsid w:val="00C504EB"/>
    <w:rsid w:val="00C64718"/>
    <w:rsid w:val="00C73622"/>
    <w:rsid w:val="00C7576B"/>
    <w:rsid w:val="00C768E1"/>
    <w:rsid w:val="00C80BD5"/>
    <w:rsid w:val="00C8294E"/>
    <w:rsid w:val="00C922A8"/>
    <w:rsid w:val="00C9373F"/>
    <w:rsid w:val="00C95810"/>
    <w:rsid w:val="00CA4E01"/>
    <w:rsid w:val="00CB17ED"/>
    <w:rsid w:val="00CB351F"/>
    <w:rsid w:val="00CC5861"/>
    <w:rsid w:val="00CC78C2"/>
    <w:rsid w:val="00CE2EBE"/>
    <w:rsid w:val="00CE6941"/>
    <w:rsid w:val="00CF7376"/>
    <w:rsid w:val="00D00600"/>
    <w:rsid w:val="00D10270"/>
    <w:rsid w:val="00D1098C"/>
    <w:rsid w:val="00D16F64"/>
    <w:rsid w:val="00D25A30"/>
    <w:rsid w:val="00D32619"/>
    <w:rsid w:val="00D33008"/>
    <w:rsid w:val="00D35886"/>
    <w:rsid w:val="00D358A4"/>
    <w:rsid w:val="00D40942"/>
    <w:rsid w:val="00D45041"/>
    <w:rsid w:val="00D45795"/>
    <w:rsid w:val="00D52CEE"/>
    <w:rsid w:val="00D6251F"/>
    <w:rsid w:val="00D742A4"/>
    <w:rsid w:val="00D774C2"/>
    <w:rsid w:val="00D804C3"/>
    <w:rsid w:val="00D809B8"/>
    <w:rsid w:val="00D82E41"/>
    <w:rsid w:val="00D86159"/>
    <w:rsid w:val="00D93D64"/>
    <w:rsid w:val="00DA6A59"/>
    <w:rsid w:val="00DB7820"/>
    <w:rsid w:val="00DD675F"/>
    <w:rsid w:val="00DE23EB"/>
    <w:rsid w:val="00DF2B75"/>
    <w:rsid w:val="00E00EC6"/>
    <w:rsid w:val="00E0507C"/>
    <w:rsid w:val="00E11AED"/>
    <w:rsid w:val="00E36146"/>
    <w:rsid w:val="00E402CA"/>
    <w:rsid w:val="00E450D2"/>
    <w:rsid w:val="00E46A98"/>
    <w:rsid w:val="00E54D1E"/>
    <w:rsid w:val="00E70A8B"/>
    <w:rsid w:val="00E74E22"/>
    <w:rsid w:val="00E8223D"/>
    <w:rsid w:val="00E83597"/>
    <w:rsid w:val="00E85BD0"/>
    <w:rsid w:val="00E8623F"/>
    <w:rsid w:val="00E93744"/>
    <w:rsid w:val="00E97C1D"/>
    <w:rsid w:val="00EA1D2D"/>
    <w:rsid w:val="00EA3DC3"/>
    <w:rsid w:val="00EA3F36"/>
    <w:rsid w:val="00EA41CA"/>
    <w:rsid w:val="00EB2FDF"/>
    <w:rsid w:val="00EB6243"/>
    <w:rsid w:val="00EB770D"/>
    <w:rsid w:val="00EC0C20"/>
    <w:rsid w:val="00EC6A69"/>
    <w:rsid w:val="00EC7787"/>
    <w:rsid w:val="00ED43D9"/>
    <w:rsid w:val="00EE06B6"/>
    <w:rsid w:val="00EE5E33"/>
    <w:rsid w:val="00EF451A"/>
    <w:rsid w:val="00EF4854"/>
    <w:rsid w:val="00F005AD"/>
    <w:rsid w:val="00F07722"/>
    <w:rsid w:val="00F14B54"/>
    <w:rsid w:val="00F16356"/>
    <w:rsid w:val="00F22F1B"/>
    <w:rsid w:val="00F26D41"/>
    <w:rsid w:val="00F338D0"/>
    <w:rsid w:val="00F3397A"/>
    <w:rsid w:val="00F362D7"/>
    <w:rsid w:val="00F40337"/>
    <w:rsid w:val="00F5024F"/>
    <w:rsid w:val="00F52770"/>
    <w:rsid w:val="00F53D11"/>
    <w:rsid w:val="00F54428"/>
    <w:rsid w:val="00F577BE"/>
    <w:rsid w:val="00F579E7"/>
    <w:rsid w:val="00F618BB"/>
    <w:rsid w:val="00F71613"/>
    <w:rsid w:val="00F8325D"/>
    <w:rsid w:val="00F9076F"/>
    <w:rsid w:val="00F974D5"/>
    <w:rsid w:val="00FA1048"/>
    <w:rsid w:val="00FA5323"/>
    <w:rsid w:val="00FC55FE"/>
    <w:rsid w:val="00FD2D6D"/>
    <w:rsid w:val="00FE4C85"/>
    <w:rsid w:val="00FF05BD"/>
    <w:rsid w:val="00FF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2909B80"/>
  <w15:chartTrackingRefBased/>
  <w15:docId w15:val="{6087DB6F-7ABB-411F-8F27-BAB1DD39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28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siwz,L1,Numerowanie,Podsis rysunku,Akapit z listą numerowaną,Akapit z listą3,Akapit z listą31,Wypunktowanie,List Paragraph,Normal2,Obiekt,List Paragraph1,BulletC,lp1,Preambuła"/>
    <w:basedOn w:val="Normalny"/>
    <w:link w:val="AkapitzlistZnak"/>
    <w:uiPriority w:val="34"/>
    <w:qFormat/>
    <w:rsid w:val="006E44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27F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4D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74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7496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49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4961"/>
    <w:rPr>
      <w:sz w:val="20"/>
      <w:szCs w:val="20"/>
    </w:rPr>
  </w:style>
  <w:style w:type="character" w:customStyle="1" w:styleId="AkapitzlistZnak">
    <w:name w:val="Akapit z listą Znak"/>
    <w:aliases w:val="Akapit z listą siwz Znak,L1 Znak,Numerowanie Znak,Podsis rysunku Znak,Akapit z listą numerowaną Znak,Akapit z listą3 Znak,Akapit z listą31 Znak,Wypunktowanie Znak,List Paragraph Znak,Normal2 Znak,Obiekt Znak,List Paragraph1 Znak"/>
    <w:link w:val="Akapitzlist"/>
    <w:uiPriority w:val="34"/>
    <w:locked/>
    <w:rsid w:val="006B2B1B"/>
  </w:style>
  <w:style w:type="character" w:styleId="Pogrubienie">
    <w:name w:val="Strong"/>
    <w:basedOn w:val="Domylnaczcionkaakapitu"/>
    <w:uiPriority w:val="22"/>
    <w:qFormat/>
    <w:rsid w:val="00A44CD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44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44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4408"/>
    <w:rPr>
      <w:vertAlign w:val="superscript"/>
    </w:rPr>
  </w:style>
  <w:style w:type="paragraph" w:styleId="Tekstpodstawowy3">
    <w:name w:val="Body Text 3"/>
    <w:basedOn w:val="Normalny"/>
    <w:link w:val="Tekstpodstawowy3Znak"/>
    <w:rsid w:val="00077D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77D3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e24kjd">
    <w:name w:val="e24kjd"/>
    <w:basedOn w:val="Domylnaczcionkaakapitu"/>
    <w:rsid w:val="00EF4854"/>
  </w:style>
  <w:style w:type="character" w:styleId="Odwoaniedokomentarza">
    <w:name w:val="annotation reference"/>
    <w:basedOn w:val="Domylnaczcionkaakapitu"/>
    <w:uiPriority w:val="99"/>
    <w:semiHidden/>
    <w:unhideWhenUsed/>
    <w:rsid w:val="00F577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7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7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7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7BE"/>
    <w:rPr>
      <w:b/>
      <w:bCs/>
      <w:sz w:val="20"/>
      <w:szCs w:val="20"/>
    </w:rPr>
  </w:style>
  <w:style w:type="paragraph" w:customStyle="1" w:styleId="Default">
    <w:name w:val="Default"/>
    <w:rsid w:val="004D7F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— sortowanie według nazw" Version="2003"/>
</file>

<file path=customXml/itemProps1.xml><?xml version="1.0" encoding="utf-8"?>
<ds:datastoreItem xmlns:ds="http://schemas.openxmlformats.org/officeDocument/2006/customXml" ds:itemID="{472A737E-9750-4E03-AA26-8618CBB1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Nitecka</dc:creator>
  <cp:keywords/>
  <dc:description/>
  <cp:lastModifiedBy>Dorota Stępień</cp:lastModifiedBy>
  <cp:revision>2</cp:revision>
  <cp:lastPrinted>2024-04-17T08:52:00Z</cp:lastPrinted>
  <dcterms:created xsi:type="dcterms:W3CDTF">2024-04-17T08:55:00Z</dcterms:created>
  <dcterms:modified xsi:type="dcterms:W3CDTF">2024-04-17T08:55:00Z</dcterms:modified>
</cp:coreProperties>
</file>