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6"/>
        </w:numPr>
        <w:shd w:val="clear" w:color="auto" w:fill="FFFFFF"/>
        <w:spacing w:lineRule="atLeast" w:line="311" w:before="150" w:after="120"/>
        <w:ind w:start="284" w:hanging="284"/>
        <w:contextualSpacing/>
        <w:jc w:val="both"/>
        <w:outlineLvl w:val="3"/>
        <w:rPr>
          <w:rFonts w:ascii="Times New Roman" w:hAnsi="Times New Roman"/>
        </w:rPr>
      </w:pPr>
      <w:r>
        <w:rPr>
          <w:rFonts w:eastAsia="Times New Roman" w:cs="Helvetica" w:ascii="Times New Roman" w:hAnsi="Times New Roman"/>
          <w:b/>
          <w:bCs/>
          <w:u w:val="single"/>
          <w:lang w:eastAsia="pl-PL"/>
        </w:rPr>
        <w:t>Nazwa i adres Zamawiającego</w:t>
      </w:r>
    </w:p>
    <w:tbl>
      <w:tblPr>
        <w:tblW w:w="8716" w:type="dxa"/>
        <w:jc w:val="start"/>
        <w:tblInd w:w="484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1633"/>
        <w:gridCol w:w="7082"/>
      </w:tblGrid>
      <w:tr>
        <w:trPr>
          <w:trHeight w:val="882" w:hRule="atLeast"/>
        </w:trPr>
        <w:tc>
          <w:tcPr>
            <w:tcW w:w="1633" w:type="dxa"/>
            <w:tcBorders>
              <w:top w:val="single" w:sz="8" w:space="0" w:color="00000A"/>
              <w:start w:val="single" w:sz="8" w:space="0" w:color="00000A"/>
              <w:bottom w:val="single" w:sz="8" w:space="0" w:color="00000A"/>
              <w:end w:val="single" w:sz="8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11" w:before="120" w:after="150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Zamawiający:</w:t>
            </w:r>
          </w:p>
        </w:tc>
        <w:tc>
          <w:tcPr>
            <w:tcW w:w="7082" w:type="dxa"/>
            <w:tcBorders>
              <w:top w:val="single" w:sz="8" w:space="0" w:color="00000A"/>
              <w:bottom w:val="single" w:sz="8" w:space="0" w:color="00000A"/>
              <w:end w:val="single" w:sz="8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Centrum Usług Społecznych w Starachowicach</w:t>
            </w:r>
          </w:p>
          <w:p>
            <w:pPr>
              <w:pStyle w:val="Normal"/>
              <w:widowControl w:val="false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 xml:space="preserve">Dział: Dzienny Dom Senior+ </w:t>
            </w:r>
          </w:p>
          <w:p>
            <w:pPr>
              <w:pStyle w:val="Normal"/>
              <w:widowControl w:val="false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27-200 Starachowice  ul. Al. Armii Krajowej 28 I p.</w:t>
            </w:r>
          </w:p>
          <w:p>
            <w:pPr>
              <w:pStyle w:val="Normal"/>
              <w:widowControl w:val="false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 xml:space="preserve">Godziny pracy: od poniedziałku do piątku </w:t>
            </w:r>
          </w:p>
          <w:p>
            <w:pPr>
              <w:pStyle w:val="Normal"/>
              <w:widowControl w:val="false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w godzinach od 8:00 do 16:00</w:t>
            </w:r>
          </w:p>
          <w:p>
            <w:pPr>
              <w:pStyle w:val="Normal"/>
              <w:widowControl w:val="false"/>
              <w:spacing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nr tel. 668-216-211</w:t>
            </w:r>
          </w:p>
          <w:p>
            <w:pPr>
              <w:pStyle w:val="Normal"/>
              <w:widowControl w:val="false"/>
              <w:spacing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Adres WWW: cus.starachowice.eu</w:t>
            </w:r>
          </w:p>
          <w:p>
            <w:pPr>
              <w:pStyle w:val="Normal"/>
              <w:widowControl w:val="false"/>
              <w:spacing w:lineRule="atLeast" w:line="311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email : ewa.pochec@cus.starachowice.eu</w:t>
            </w:r>
          </w:p>
        </w:tc>
      </w:tr>
    </w:tbl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0" w:after="150"/>
        <w:ind w:start="0" w:hanging="0"/>
        <w:jc w:val="both"/>
        <w:outlineLvl w:val="4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120" w:after="0"/>
        <w:ind w:start="720" w:hanging="720"/>
        <w:outlineLvl w:val="3"/>
        <w:rPr>
          <w:rFonts w:ascii="Times New Roman" w:hAnsi="Times New Roman"/>
        </w:rPr>
      </w:pPr>
      <w:r>
        <w:rPr>
          <w:rFonts w:eastAsia="Times New Roman" w:cs="Helvetica" w:ascii="Times New Roman" w:hAnsi="Times New Roman"/>
          <w:b/>
          <w:u w:val="single"/>
          <w:lang w:eastAsia="pl-PL"/>
        </w:rPr>
        <w:t>II. Tryb udzielenia zamówienia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120" w:after="120"/>
        <w:ind w:start="0" w:end="-142" w:hanging="0"/>
        <w:jc w:val="both"/>
        <w:outlineLvl w:val="4"/>
        <w:rPr/>
      </w:pPr>
      <w:r>
        <w:rPr>
          <w:rFonts w:eastAsia="Times New Roman" w:cs="Calibri" w:ascii="Times New Roman" w:hAnsi="Times New Roman"/>
          <w:lang w:eastAsia="pl-PL"/>
        </w:rPr>
        <w:t>Postępowanie prowadzone jest na podstawie wewnętrznego Regulaminu, udzielania zamówień, finansowanych ze środków publicznych, których wartość jest mniejsza od kwoty 130 000,00 zł, wprowadzonego Zarządzeniem nr 48/2023 Dyrektora Centrum Usług Społecznych w Starachowicach z dnia 28.12.2023 r. Do postępowania nie mają zastosowania zapisy Ustawy Prawo Zamówień Publicznych.</w:t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tLeast" w:line="311" w:before="120" w:after="0"/>
        <w:ind w:start="709" w:hanging="709"/>
        <w:contextualSpacing/>
        <w:jc w:val="both"/>
        <w:outlineLvl w:val="3"/>
        <w:rPr>
          <w:rFonts w:ascii="Times New Roman" w:hAnsi="Times New Roman"/>
        </w:rPr>
      </w:pPr>
      <w:r>
        <w:rPr>
          <w:rFonts w:eastAsia="Times New Roman" w:cs="Helvetica" w:ascii="Times New Roman" w:hAnsi="Times New Roman"/>
          <w:b/>
          <w:u w:val="single"/>
          <w:lang w:eastAsia="pl-PL"/>
        </w:rPr>
        <w:t>Opis przedmiotu zamówienia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eastAsia="Calibri" w:cs="Times New Roman"/>
          <w:iCs/>
          <w:szCs w:val="24"/>
          <w:lang w:eastAsia="pl-PL"/>
        </w:rPr>
      </w:pPr>
      <w:r>
        <w:rPr>
          <w:rFonts w:eastAsia="Calibri" w:cs="Times New Roman" w:ascii="Times New Roman" w:hAnsi="Times New Roman"/>
          <w:iCs/>
          <w:szCs w:val="24"/>
          <w:lang w:eastAsia="pl-PL"/>
        </w:rPr>
        <w:t>Przedmiotem zamówienia jest świadczenie usługi psychologa dla 40 podopiecznych w Dziennym Domu Senior+.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eastAsia="Calibri" w:cs="Times New Roman" w:ascii="Times New Roman" w:hAnsi="Times New Roman"/>
          <w:iCs/>
          <w:szCs w:val="24"/>
          <w:lang w:eastAsia="pl-PL"/>
        </w:rPr>
        <w:t xml:space="preserve">Usługi psychologa polegać będą na prowadzeniu grupowych spotkań jak i indywidualnych rozmów z podopiecznymi wyżej wymienionym ośrodku wsparcia. 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eastAsia="Calibri" w:cs="Times New Roman" w:ascii="Times New Roman" w:hAnsi="Times New Roman"/>
          <w:iCs/>
          <w:szCs w:val="24"/>
          <w:lang w:eastAsia="pl-PL"/>
        </w:rPr>
        <w:t>Konsultacje psychologa będą opierać się na rozwoju i pogłębianiu zainteresowań, poprawie jakości życia, opóźnieniu procesów zapominania, pomocy w odnajdywaniu pozytywnych aspektów życia codziennego, pomocy w radzeniu sobie z samotnością, stanami depresyjnymi oraz innymi metodami wsparcia wynikającymi z bieżących potrzeb podopiecznych. Co skutkować będzie zminimalizowaniu objawów i/lub skutków demencji oraz stymulowaniu osób starszych do aktywności umysłowej.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color w:val="000000"/>
          <w:szCs w:val="24"/>
          <w:lang w:eastAsia="pl-PL"/>
        </w:rPr>
        <w:t xml:space="preserve">Usługa będzie świadczona w siedzibie Zamawiającego, Dzienny Dom Senior+ </w:t>
      </w:r>
      <w:r>
        <w:rPr>
          <w:rFonts w:eastAsia="Calibri" w:cs="Times New Roman" w:ascii="Times New Roman" w:hAnsi="Times New Roman"/>
          <w:szCs w:val="24"/>
          <w:lang w:eastAsia="pl-PL"/>
        </w:rPr>
        <w:t>w Starachowicach w gabinecie umożliwiającym rozmowy indywidualne, oraz na sali ogólnodostępnej dla wszystkich podopiecznych.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color w:val="000000"/>
          <w:szCs w:val="24"/>
          <w:lang w:eastAsia="pl-PL"/>
        </w:rPr>
        <w:t>Zamawiający zapewnia Wykonawcy nieodpłatnie miejsce świadczenia usług w lokalu należącym do Zamawiającego, tj. przestronna, wielofunkcyjna, klimatyzowana sala o powierzchni 100</w:t>
      </w:r>
      <w:r>
        <w:rPr>
          <w:rFonts w:cs="Times New Roman" w:ascii="Times New Roman" w:hAnsi="Times New Roman"/>
          <w:color w:val="000000"/>
          <w:szCs w:val="24"/>
          <w:shd w:fill="FFFFFF" w:val="clear"/>
          <w:lang w:eastAsia="pl-PL"/>
        </w:rPr>
        <w:t xml:space="preserve"> m</w:t>
      </w:r>
      <w:r>
        <w:rPr>
          <w:rFonts w:cs="Times New Roman" w:ascii="Times New Roman" w:hAnsi="Times New Roman"/>
          <w:color w:val="000000"/>
          <w:position w:val="7"/>
          <w:szCs w:val="24"/>
          <w:shd w:fill="FFFFFF" w:val="clear"/>
          <w:lang w:eastAsia="pl-PL"/>
        </w:rPr>
        <w:t>2</w:t>
      </w:r>
      <w:r>
        <w:rPr>
          <w:rFonts w:cs="Times New Roman" w:ascii="Times New Roman" w:hAnsi="Times New Roman"/>
          <w:color w:val="000000"/>
          <w:szCs w:val="24"/>
          <w:shd w:fill="FFFFFF" w:val="clear"/>
          <w:lang w:eastAsia="pl-PL"/>
        </w:rPr>
        <w:t xml:space="preserve"> </w:t>
      </w:r>
      <w:r>
        <w:rPr>
          <w:rFonts w:cs="Times New Roman" w:ascii="Times New Roman" w:hAnsi="Times New Roman"/>
          <w:color w:val="000000"/>
          <w:szCs w:val="24"/>
          <w:lang w:eastAsia="pl-PL"/>
        </w:rPr>
        <w:t>mieszcząca się pod adresem: Aleja Armii Krajowej 28, 27-200 Starachowice, posiadająca stoły, krzesła odpowiednie do przeprowadzenia tego typu zajęć, komputer, rzutnik, głośniki, mikrofon.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eastAsia="Calibri" w:cs="Times New Roman" w:ascii="Times New Roman" w:hAnsi="Times New Roman"/>
          <w:iCs/>
          <w:color w:val="000000"/>
          <w:szCs w:val="24"/>
          <w:lang w:eastAsia="pl-PL"/>
        </w:rPr>
        <w:t>Zamawiający udostępni Wykonawcy salę w dni pracujące od poniedziałku do piątku, po wcześniejszym uzgodnieniu harmonogramu spotkań z Zamawiającym.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cs="Times New Roman" w:ascii="Times New Roman" w:hAnsi="Times New Roman"/>
          <w:iCs/>
          <w:color w:val="000000"/>
          <w:szCs w:val="24"/>
          <w:lang w:eastAsia="pl-PL"/>
        </w:rPr>
        <w:t xml:space="preserve">Maksymalna szacunkowa ilość usług to: </w:t>
      </w:r>
      <w:r>
        <w:rPr>
          <w:rFonts w:eastAsia="Calibri" w:cs="Times New Roman" w:ascii="Times New Roman" w:hAnsi="Times New Roman"/>
          <w:iCs/>
          <w:szCs w:val="24"/>
          <w:lang w:eastAsia="pl-PL"/>
        </w:rPr>
        <w:t xml:space="preserve">3 godziny tygodniowo w godzinach od 10:00 do 13:00. Łączna przewidziana ilość </w:t>
      </w:r>
      <w:r>
        <w:rPr>
          <w:rFonts w:eastAsia="Calibri" w:cs="Times New Roman" w:ascii="Times New Roman" w:hAnsi="Times New Roman"/>
          <w:b/>
          <w:bCs/>
          <w:iCs/>
          <w:szCs w:val="24"/>
          <w:lang w:eastAsia="pl-PL"/>
        </w:rPr>
        <w:t>na rok 2024 wynosi 40 godzin.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eastAsia="Calibri" w:cs="Times New Roman" w:ascii="Times New Roman" w:hAnsi="Times New Roman"/>
          <w:iCs/>
          <w:color w:val="000000"/>
          <w:spacing w:val="-2"/>
          <w:kern w:val="0"/>
          <w:szCs w:val="24"/>
          <w:lang w:bidi="ar-SA"/>
        </w:rPr>
        <w:t>Czas trwania jednej godziny usługi wynosi 60 minut.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eastAsia="Calibri" w:cs="Times New Roman" w:ascii="Times New Roman" w:hAnsi="Times New Roman"/>
          <w:iCs/>
          <w:color w:val="000000"/>
          <w:szCs w:val="24"/>
          <w:lang w:eastAsia="pl-PL"/>
        </w:rPr>
        <w:t>Zamawiający zastrzega, iż usługa powinny mieć formę pogadanki, wykładu, pracy w grupie z wykorzystaniem materiałów przygotowanych i zapewnionych do zajęć przez Wykonawcę.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cs="Times New Roman" w:ascii="Times New Roman" w:hAnsi="Times New Roman"/>
          <w:iCs/>
          <w:color w:val="000000"/>
          <w:szCs w:val="24"/>
          <w:lang w:eastAsia="pl-PL"/>
        </w:rPr>
        <w:t>Zamawiający ma prawo przeprowadzania kontroli jakości i zadowolenia z usług.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cs="Times New Roman" w:ascii="Times New Roman" w:hAnsi="Times New Roman"/>
          <w:iCs/>
          <w:color w:val="000000"/>
          <w:szCs w:val="24"/>
          <w:lang w:eastAsia="pl-PL"/>
        </w:rPr>
        <w:t>Zamawiający zastrzega sobie prawo kontrolowania realizacji przedmiotu zamówienia na każdym etapie jego realizacji.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iCs/>
          <w:szCs w:val="24"/>
        </w:rPr>
      </w:pPr>
      <w:r>
        <w:rPr>
          <w:rFonts w:cs="Times New Roman" w:ascii="Times New Roman" w:hAnsi="Times New Roman"/>
          <w:iCs/>
          <w:color w:val="000000"/>
          <w:szCs w:val="24"/>
          <w:lang w:eastAsia="pl-PL"/>
        </w:rPr>
        <w:t xml:space="preserve">Zajęcia odbywać się będą według harmonogramu ustalonego  przez Zamawiającego po uprzednim uzgodnieniu z Wykonawcą. Harmonogram będzie zawierał informację o dacie godzinie i rodzaju zajęć oraz imię i nazwisko osoby realizującej przedmiot zamówienia. </w:t>
      </w:r>
      <w:r>
        <w:rPr>
          <w:rFonts w:cs="Times New Roman" w:ascii="Times New Roman" w:hAnsi="Times New Roman"/>
          <w:iCs/>
          <w:color w:val="000000"/>
          <w:szCs w:val="24"/>
          <w:shd w:fill="FFFFFF" w:val="clear"/>
          <w:lang w:eastAsia="pl-PL"/>
        </w:rPr>
        <w:t>Szczegółowy</w:t>
      </w:r>
      <w:r>
        <w:rPr>
          <w:rFonts w:cs="Times New Roman" w:ascii="Times New Roman" w:hAnsi="Times New Roman"/>
          <w:iCs/>
          <w:color w:val="000000"/>
          <w:szCs w:val="24"/>
          <w:lang w:eastAsia="pl-PL"/>
        </w:rPr>
        <w:t xml:space="preserve"> harmonogram zostanie ustalony po wyłonieniu Wykonawcy.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szCs w:val="24"/>
        </w:rPr>
      </w:pPr>
      <w:r>
        <w:rPr>
          <w:rFonts w:eastAsia="Calibri" w:cs="Times New Roman" w:ascii="Times New Roman" w:hAnsi="Times New Roman"/>
          <w:iCs/>
          <w:color w:val="000000"/>
          <w:szCs w:val="24"/>
          <w:lang w:eastAsia="pl-PL"/>
        </w:rPr>
        <w:t>Informacje o zmianach w harmonogramie Zamawiający przekaże Wykonawcy na piśmie najpóźniej 3 dni przed planowaną zmianą grafików</w:t>
      </w:r>
      <w:r>
        <w:rPr>
          <w:rFonts w:eastAsia="Calibri" w:cs="Times New Roman" w:ascii="Times New Roman" w:hAnsi="Times New Roman"/>
          <w:i/>
          <w:color w:val="000000"/>
          <w:szCs w:val="24"/>
          <w:lang w:eastAsia="pl-PL"/>
        </w:rPr>
        <w:t>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color w:val="000000"/>
          <w:szCs w:val="24"/>
          <w:shd w:fill="FFFFFF" w:val="clear"/>
          <w:lang w:eastAsia="pl-PL"/>
        </w:rPr>
        <w:t>Wykonawca zobowiązany będzie do stałej współpracy i konsultacji z Zamawiającym na każdym etapie realizacji przedmiotowego zamówienia.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color w:val="000000"/>
          <w:szCs w:val="24"/>
          <w:shd w:fill="FFFFFF" w:val="clear"/>
          <w:lang w:eastAsia="pl-PL"/>
        </w:rPr>
        <w:t>Wykonawca zapewni wykwalifikowaną kadrę do prowadzenia usługi psychologicznej zgodnie ze złożoną ofertą.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color w:val="000000"/>
          <w:szCs w:val="24"/>
          <w:shd w:fill="FFFFFF" w:val="clear"/>
          <w:lang w:eastAsia="pl-PL"/>
        </w:rPr>
        <w:t>W trakcie realizacji zamówienia każdorazowo w przypadku zmiany osoby realizującej przedmiot zamówienia, Wykonawca zobowiązany będzie zapewnić osobę o nie gorszych kwalifikacjach.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color w:val="000000"/>
          <w:szCs w:val="24"/>
          <w:lang w:eastAsia="pl-PL"/>
        </w:rPr>
        <w:t>Realizacja usługi wymaga bezwzględnego przestrzegania wytycznych sanitarno-epidemiologicznych zarówno przez uczestników i Wykonawcę.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color w:val="000000"/>
          <w:szCs w:val="24"/>
          <w:lang w:eastAsia="pl-PL"/>
        </w:rPr>
        <w:t>Do obowiązków Wykonawcy należeć będzie:</w:t>
      </w:r>
    </w:p>
    <w:p>
      <w:pPr>
        <w:pStyle w:val="Normal"/>
        <w:numPr>
          <w:ilvl w:val="0"/>
          <w:numId w:val="1"/>
        </w:numPr>
        <w:spacing w:before="0" w:after="200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Realizacja przedmiotu zamówienia zgodnie z ustalonym harmonogramem na dany miesiąc,</w:t>
      </w:r>
    </w:p>
    <w:p>
      <w:pPr>
        <w:pStyle w:val="Normal"/>
        <w:numPr>
          <w:ilvl w:val="0"/>
          <w:numId w:val="1"/>
        </w:numPr>
        <w:spacing w:before="0" w:after="200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Przed rozpoczęciem zajęć zapoznanie się z obowiązującym w obiekcie Regulaminem,</w:t>
      </w:r>
    </w:p>
    <w:p>
      <w:pPr>
        <w:pStyle w:val="Normal"/>
        <w:numPr>
          <w:ilvl w:val="0"/>
          <w:numId w:val="1"/>
        </w:numPr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Zorganizowanie we własnym zakresie </w:t>
      </w:r>
      <w:r>
        <w:rPr>
          <w:rFonts w:cs="Times New Roman" w:ascii="Times New Roman" w:hAnsi="Times New Roman"/>
          <w:color w:val="000000"/>
          <w:shd w:fill="FFFFFF" w:val="clear"/>
          <w:lang w:eastAsia="pl-PL"/>
        </w:rPr>
        <w:t xml:space="preserve"> programu i materiałów na spotkania.</w:t>
      </w:r>
    </w:p>
    <w:p>
      <w:pPr>
        <w:pStyle w:val="Normal"/>
        <w:numPr>
          <w:ilvl w:val="0"/>
          <w:numId w:val="1"/>
        </w:numPr>
        <w:spacing w:before="0" w:after="200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Punktualne rozpoczynanie zajęć,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>
          <w:rFonts w:ascii="Times New Roman" w:hAnsi="Times New Roman" w:cs="Times New Roman"/>
          <w:color w:val="000000"/>
          <w:szCs w:val="24"/>
          <w:lang w:eastAsia="pl-PL"/>
        </w:rPr>
      </w:pPr>
      <w:r>
        <w:rPr>
          <w:rFonts w:cs="Times New Roman" w:ascii="Times New Roman" w:hAnsi="Times New Roman"/>
          <w:color w:val="000000"/>
          <w:szCs w:val="24"/>
          <w:lang w:eastAsia="pl-PL"/>
        </w:rPr>
        <w:t>Wykonawca i osoba  realizująca przedmiot zamówienia są odpowiedzialni za:</w:t>
      </w:r>
    </w:p>
    <w:p>
      <w:pPr>
        <w:pStyle w:val="Normal"/>
        <w:numPr>
          <w:ilvl w:val="0"/>
          <w:numId w:val="2"/>
        </w:numPr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Bezpieczeństwo osób przebywających na Sali podczas prowadzenia </w:t>
      </w:r>
      <w:r>
        <w:rPr>
          <w:rFonts w:cs="Times New Roman" w:ascii="Times New Roman" w:hAnsi="Times New Roman"/>
          <w:color w:val="000000"/>
          <w:shd w:fill="FFFFFF" w:val="clear"/>
          <w:lang w:eastAsia="pl-PL"/>
        </w:rPr>
        <w:t>usługi,</w:t>
      </w:r>
    </w:p>
    <w:p>
      <w:pPr>
        <w:pStyle w:val="Normal"/>
        <w:numPr>
          <w:ilvl w:val="0"/>
          <w:numId w:val="2"/>
        </w:numPr>
        <w:spacing w:before="0" w:after="200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Właściwe użytkowanie powierzonego sprzętu i wyposażenia Sali udostępnionej przez Zamawiającego,</w:t>
      </w:r>
    </w:p>
    <w:p>
      <w:pPr>
        <w:pStyle w:val="Normal"/>
        <w:numPr>
          <w:ilvl w:val="0"/>
          <w:numId w:val="2"/>
        </w:numPr>
        <w:spacing w:before="0" w:after="200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Nadzór nad powierzonymi materiałami i narzędziami pracy,</w:t>
      </w:r>
    </w:p>
    <w:p>
      <w:pPr>
        <w:pStyle w:val="Normal"/>
        <w:numPr>
          <w:ilvl w:val="0"/>
          <w:numId w:val="2"/>
        </w:numPr>
        <w:spacing w:before="0" w:after="200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Używanie sprzętu udostępnionego przez Zamawiającego zgodnie z przeznaczeniem.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color w:val="000000"/>
          <w:szCs w:val="24"/>
          <w:lang w:eastAsia="pl-PL"/>
        </w:rPr>
        <w:t xml:space="preserve">Wykonawcy i osobom realizującym przedmiot zamówienia </w:t>
      </w:r>
      <w:r>
        <w:rPr>
          <w:rFonts w:cs="Times New Roman" w:ascii="Times New Roman" w:hAnsi="Times New Roman"/>
          <w:color w:val="000000"/>
          <w:szCs w:val="24"/>
          <w:shd w:fill="FFFFFF" w:val="clear"/>
          <w:lang w:eastAsia="pl-PL"/>
        </w:rPr>
        <w:t>zabrania się wprowadzania</w:t>
      </w:r>
      <w:r>
        <w:rPr>
          <w:rFonts w:cs="Times New Roman" w:ascii="Times New Roman" w:hAnsi="Times New Roman"/>
          <w:color w:val="000000"/>
          <w:szCs w:val="24"/>
          <w:lang w:eastAsia="pl-PL"/>
        </w:rPr>
        <w:t xml:space="preserve"> do Sali zajęć osób nieupoważnionych.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eastAsia="Calibri" w:cs="Times New Roman" w:ascii="Times New Roman" w:hAnsi="Times New Roman"/>
          <w:i/>
          <w:color w:val="000000"/>
          <w:szCs w:val="24"/>
          <w:lang w:eastAsia="pl-PL"/>
        </w:rPr>
        <w:t>Rozliczenia między Zamawiającym i Wykonawcą prowadzone będą w złotych polskich.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/>
        </w:rPr>
        <w:t>Oznaczenie przedmiotu zamówienia wg Wspólnego Słownika Zamówień (CPV)</w:t>
      </w:r>
    </w:p>
    <w:p>
      <w:pPr>
        <w:pStyle w:val="Normal"/>
        <w:spacing w:lineRule="auto" w:line="276"/>
        <w:ind w:start="720" w:hanging="0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pl-PL"/>
        </w:rPr>
        <w:t xml:space="preserve">Kod CPV: </w:t>
      </w:r>
      <w:r>
        <w:rPr>
          <w:rFonts w:eastAsia="Times New Roman" w:cs="Times New Roman" w:ascii="Times New Roman" w:hAnsi="Times New Roman"/>
          <w:b/>
          <w:bCs/>
          <w:i/>
          <w:color w:val="000000"/>
          <w:lang w:eastAsia="pl-PL"/>
        </w:rPr>
        <w:t>85121270-6- Usługi psychologa</w:t>
      </w:r>
    </w:p>
    <w:p>
      <w:pPr>
        <w:pStyle w:val="Normal"/>
        <w:spacing w:lineRule="auto" w:line="276"/>
        <w:ind w:start="720" w:hanging="0"/>
        <w:rPr>
          <w:rFonts w:ascii="Times New Roman" w:hAnsi="Times New Roman" w:cs="Times New Roman"/>
          <w:color w:val="000000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tLeast" w:line="311" w:before="120" w:after="0"/>
        <w:contextualSpacing/>
        <w:jc w:val="both"/>
        <w:outlineLvl w:val="3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/>
          <w:bCs/>
          <w:u w:val="single"/>
          <w:lang w:eastAsia="pl-PL"/>
        </w:rPr>
        <w:t>Warunki udziału w postępowaniu</w:t>
      </w:r>
    </w:p>
    <w:p>
      <w:pPr>
        <w:pStyle w:val="Normal"/>
        <w:shd w:val="clear" w:color="auto" w:fill="FFFFFF"/>
        <w:spacing w:lineRule="auto" w:line="276" w:before="0" w:after="150"/>
        <w:textAlignment w:val="baseline"/>
        <w:rPr>
          <w:rFonts w:ascii="Times New Roman" w:hAnsi="Times New Roman" w:eastAsia="Calibri" w:cs="Times New Roman"/>
          <w:bCs/>
          <w:kern w:val="2"/>
          <w:lang w:bidi="ar-SA"/>
        </w:rPr>
      </w:pPr>
      <w:r>
        <w:rPr>
          <w:rFonts w:eastAsia="Calibri" w:cs="Times New Roman" w:ascii="Times New Roman" w:hAnsi="Times New Roman"/>
          <w:bCs/>
          <w:kern w:val="2"/>
          <w:lang w:bidi="ar-SA"/>
        </w:rPr>
        <w:t>O udzielenie zamówienia mogą ubiegać się Wykonawcy, którzy:</w:t>
      </w:r>
    </w:p>
    <w:p>
      <w:pPr>
        <w:pStyle w:val="ListParagraph"/>
        <w:widowControl w:val="false"/>
        <w:numPr>
          <w:ilvl w:val="0"/>
          <w:numId w:val="9"/>
        </w:numPr>
        <w:tabs>
          <w:tab w:val="clear" w:pos="709"/>
          <w:tab w:val="left" w:pos="1134" w:leader="none"/>
        </w:tabs>
        <w:spacing w:lineRule="auto" w:line="276"/>
        <w:jc w:val="both"/>
        <w:textAlignment w:val="baseline"/>
        <w:rPr>
          <w:rFonts w:ascii="Times New Roman" w:hAnsi="Times New Roman" w:cs="Times New Roman"/>
          <w:kern w:val="2"/>
        </w:rPr>
      </w:pPr>
      <w:r>
        <w:rPr>
          <w:rFonts w:eastAsia="Times New Roman" w:cs="Times New Roman" w:ascii="Times New Roman" w:hAnsi="Times New Roman"/>
          <w:color w:val="000000"/>
          <w:kern w:val="2"/>
          <w:lang w:eastAsia="pl-PL"/>
        </w:rPr>
        <w:t xml:space="preserve">posiadają niezbędną wiedzę, kwalifikacje i doświadczenie w zakresie przedmiotu zamówienia.              W powyższym zakresie Zamawiający uzna niniejszy warunek za spełniony, jeżeli </w:t>
      </w:r>
      <w:r>
        <w:rPr>
          <w:rFonts w:cs="Times New Roman" w:ascii="Times New Roman" w:hAnsi="Times New Roman"/>
          <w:kern w:val="2"/>
        </w:rPr>
        <w:t>Wykonawca wykaże, iż dysponuje co najmniej jedną osobą spełniającą warunek łącznie od a) do e)</w:t>
      </w:r>
      <w:bookmarkStart w:id="0" w:name="_Hlk169593176"/>
      <w:bookmarkEnd w:id="0"/>
      <w:r>
        <w:rPr>
          <w:rFonts w:cs="Times New Roman" w:ascii="Times New Roman" w:hAnsi="Times New Roman"/>
          <w:kern w:val="2"/>
        </w:rPr>
        <w:t xml:space="preserve"> :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tLeast" w:line="311" w:before="120" w:after="0"/>
        <w:jc w:val="both"/>
        <w:outlineLvl w:val="3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lang w:eastAsia="pl-PL"/>
        </w:rPr>
        <w:t>obywatelstwo polskie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tLeast" w:line="311" w:before="120" w:after="0"/>
        <w:jc w:val="both"/>
        <w:outlineLvl w:val="3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lang w:eastAsia="pl-PL"/>
        </w:rPr>
        <w:t>wykształcenie wyższe z zakresu psychologii uzupełnionej udokumentowanymi kwalifikacjami upoważniającymi do prowadzenia terapii psychologicznej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tLeast" w:line="311" w:before="120" w:after="0"/>
        <w:jc w:val="both"/>
        <w:outlineLvl w:val="3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lang w:eastAsia="pl-PL"/>
        </w:rPr>
        <w:t>doświadczenie w pracy jako psycholog minimum 2 lata,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tLeast" w:line="311" w:before="120" w:after="0"/>
        <w:jc w:val="both"/>
        <w:outlineLvl w:val="3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lang w:eastAsia="pl-PL"/>
        </w:rPr>
        <w:t>pełną zdolność do czynności prawnych oraz korzystania z pełni praw publicznych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tLeast" w:line="311" w:before="120" w:after="0"/>
        <w:jc w:val="both"/>
        <w:outlineLvl w:val="3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lang w:eastAsia="pl-PL"/>
        </w:rPr>
        <w:t>prawo do wykonywania zawodu psychologa</w:t>
      </w:r>
    </w:p>
    <w:p>
      <w:pPr>
        <w:pStyle w:val="ListParagraph"/>
        <w:widowControl w:val="false"/>
        <w:shd w:val="clear" w:color="auto" w:fill="FFFFFF"/>
        <w:spacing w:lineRule="auto" w:line="276"/>
        <w:jc w:val="both"/>
        <w:textAlignment w:val="baseline"/>
        <w:rPr>
          <w:rFonts w:ascii="Times New Roman" w:hAnsi="Times New Roman" w:eastAsia="Lucida Sans Unicode" w:cs="Times New Roman"/>
          <w:kern w:val="2"/>
          <w:lang w:bidi="ar-SA"/>
        </w:rPr>
      </w:pPr>
      <w:r>
        <w:rPr>
          <w:rFonts w:eastAsia="Calibri" w:cs="Times New Roman" w:ascii="Times New Roman" w:hAnsi="Times New Roman"/>
          <w:i/>
          <w:kern w:val="2"/>
          <w:u w:val="single"/>
          <w:lang w:bidi="ar-SA"/>
        </w:rPr>
        <w:t xml:space="preserve">Na potwierdzenie Wykonawca złoży oświadczenie według </w:t>
      </w:r>
      <w:r>
        <w:rPr>
          <w:rFonts w:eastAsia="Calibri" w:cs="Times New Roman" w:ascii="Times New Roman" w:hAnsi="Times New Roman"/>
          <w:i/>
          <w:color w:val="FF0000"/>
          <w:kern w:val="2"/>
          <w:u w:val="single"/>
          <w:lang w:bidi="ar-SA"/>
        </w:rPr>
        <w:t>załącznika nr 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0" w:after="200"/>
        <w:ind w:start="720" w:hanging="0"/>
        <w:jc w:val="both"/>
        <w:outlineLvl w:val="3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 w:val="false"/>
        <w:numPr>
          <w:ilvl w:val="0"/>
          <w:numId w:val="9"/>
        </w:numPr>
        <w:spacing w:lineRule="auto" w:line="276"/>
        <w:jc w:val="both"/>
        <w:textAlignment w:val="baseline"/>
        <w:rPr>
          <w:rFonts w:ascii="Times New Roman" w:hAnsi="Times New Roman" w:eastAsia="Calibri" w:cs="Times New Roman"/>
          <w:kern w:val="2"/>
          <w:szCs w:val="24"/>
          <w:lang w:bidi="ar-SA"/>
        </w:rPr>
      </w:pPr>
      <w:r>
        <w:rPr>
          <w:rFonts w:eastAsia="Calibri" w:cs="Times New Roman" w:ascii="Times New Roman" w:hAnsi="Times New Roman"/>
          <w:bCs/>
          <w:kern w:val="2"/>
          <w:szCs w:val="24"/>
          <w:lang w:bidi="ar-SA"/>
        </w:rPr>
        <w:t xml:space="preserve">nie podlegają wykluczeniu z postępowania na podstawie </w:t>
      </w:r>
      <w:r>
        <w:rPr>
          <w:rFonts w:eastAsia="Calibri" w:cs="Times New Roman" w:ascii="Times New Roman" w:hAnsi="Times New Roman"/>
          <w:kern w:val="2"/>
          <w:szCs w:val="24"/>
          <w:lang w:bidi="ar-SA"/>
        </w:rPr>
        <w:t>art. 7 ust. 1 ustawy z dnia 13 kwietnia 2022r. o szczególnych rozwiązaniach w zakresie przeciwdziałania wspieraniu agresji a Ukrainę oraz służących ochronie bezpieczeństwa  narodowego (Dz. U. 2023 poz. 1497).</w:t>
      </w:r>
    </w:p>
    <w:p>
      <w:pPr>
        <w:pStyle w:val="Normal"/>
        <w:widowControl w:val="false"/>
        <w:shd w:val="clear" w:color="auto" w:fill="FFFFFF"/>
        <w:spacing w:lineRule="auto" w:line="276"/>
        <w:ind w:start="786" w:hanging="502"/>
        <w:jc w:val="both"/>
        <w:textAlignment w:val="baseline"/>
        <w:rPr>
          <w:rFonts w:ascii="Times New Roman" w:hAnsi="Times New Roman" w:eastAsia="Lucida Sans Unicode" w:cs="Times New Roman"/>
          <w:kern w:val="2"/>
          <w:lang w:bidi="ar-SA"/>
        </w:rPr>
      </w:pPr>
      <w:r>
        <w:rPr>
          <w:rFonts w:eastAsia="Calibri" w:cs="Times New Roman" w:ascii="Times New Roman" w:hAnsi="Times New Roman"/>
          <w:i/>
          <w:kern w:val="2"/>
          <w:u w:val="single"/>
          <w:lang w:bidi="ar-SA"/>
        </w:rPr>
        <w:t xml:space="preserve">Na potwierdzenie Wykonawca złoży oświadczenie według </w:t>
      </w:r>
      <w:r>
        <w:rPr>
          <w:rFonts w:eastAsia="Calibri" w:cs="Times New Roman" w:ascii="Times New Roman" w:hAnsi="Times New Roman"/>
          <w:i/>
          <w:color w:val="FF0000"/>
          <w:kern w:val="2"/>
          <w:u w:val="single"/>
          <w:lang w:bidi="ar-SA"/>
        </w:rPr>
        <w:t>załącznika nr 2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0" w:after="200"/>
        <w:ind w:start="720" w:hanging="0"/>
        <w:jc w:val="both"/>
        <w:outlineLvl w:val="3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120" w:after="0"/>
        <w:ind w:start="720" w:hanging="0"/>
        <w:jc w:val="both"/>
        <w:outlineLvl w:val="3"/>
        <w:rPr>
          <w:rFonts w:ascii="Times New Roman" w:hAnsi="Times New Roman" w:eastAsia="Calibri" w:cs="Times New Roman"/>
          <w:lang w:eastAsia="pl-PL"/>
        </w:rPr>
      </w:pPr>
      <w:r>
        <w:rPr>
          <w:rFonts w:eastAsia="Calibri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0" w:after="120"/>
        <w:ind w:start="425" w:hanging="425"/>
        <w:jc w:val="both"/>
        <w:outlineLvl w:val="3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/>
          <w:u w:val="single"/>
          <w:lang w:eastAsia="pl-PL"/>
        </w:rPr>
        <w:t>V. Termin i miejsce wykonania przedmiotu zamówienia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0" w:after="150"/>
        <w:ind w:start="851" w:hanging="425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>1.Termin wykonania zamówienia</w:t>
      </w:r>
      <w:r>
        <w:rPr>
          <w:rFonts w:eastAsia="Times New Roman" w:cs="Times New Roman" w:ascii="Times New Roman" w:hAnsi="Times New Roman"/>
          <w:b/>
          <w:bCs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Cs/>
          <w:i/>
          <w:lang w:eastAsia="pl-PL"/>
        </w:rPr>
        <w:t>– od podpisania umowy do 18.12.2024 r.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0" w:after="150"/>
        <w:ind w:start="360" w:firstLine="66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>2 Miejsce wykonania przedmiotu zamówienia – Galeria Skałka ul. Al. Armii Krajowej 28  Dzienny Dom Senior +  Ip. 27-200 Starachowice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0" w:after="150"/>
        <w:ind w:start="284" w:hanging="284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/>
          <w:bCs/>
          <w:u w:val="single"/>
          <w:lang w:eastAsia="pl-PL"/>
        </w:rPr>
        <w:t>VI. Kryteria oceny ofert.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0" w:after="150"/>
        <w:ind w:start="567" w:hanging="360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1. Przy wyborze najkorzystniejszej oferty Zamawiający kierować się będzie: najniższą </w:t>
      </w:r>
      <w:r>
        <w:rPr>
          <w:rFonts w:eastAsia="Times New Roman" w:cs="Times New Roman" w:ascii="Times New Roman" w:hAnsi="Times New Roman"/>
          <w:i/>
          <w:lang w:eastAsia="pl-PL"/>
        </w:rPr>
        <w:t>ceną brutto za godzinę usługi.</w:t>
      </w:r>
    </w:p>
    <w:p>
      <w:pPr>
        <w:pStyle w:val="Normal"/>
        <w:shd w:val="clear" w:color="auto" w:fill="FFFFFF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   </w:t>
      </w:r>
      <w:r>
        <w:rPr>
          <w:rFonts w:cs="Times New Roman" w:ascii="Times New Roman" w:hAnsi="Times New Roman"/>
          <w:bCs/>
        </w:rPr>
        <w:t xml:space="preserve">2.  </w:t>
      </w:r>
      <w:r>
        <w:rPr>
          <w:rFonts w:eastAsia="Times New Roman" w:cs="Times New Roman" w:ascii="Times New Roman" w:hAnsi="Times New Roman"/>
          <w:bCs/>
        </w:rPr>
        <w:t>Przy wyborze najkorzystniejszej oferty Zamawiający kierować się będzie:</w:t>
      </w:r>
    </w:p>
    <w:tbl>
      <w:tblPr>
        <w:tblW w:w="8247" w:type="dxa"/>
        <w:jc w:val="start"/>
        <w:tblInd w:w="81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817"/>
        <w:gridCol w:w="3429"/>
      </w:tblGrid>
      <w:tr>
        <w:trPr/>
        <w:tc>
          <w:tcPr>
            <w:tcW w:w="48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Cena (waga 100%)</w:t>
            </w:r>
          </w:p>
        </w:tc>
        <w:tc>
          <w:tcPr>
            <w:tcW w:w="34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Cena brutto</w:t>
            </w:r>
          </w:p>
        </w:tc>
      </w:tr>
    </w:tbl>
    <w:p>
      <w:pPr>
        <w:pStyle w:val="Normal"/>
        <w:shd w:val="clear" w:color="auto" w:fill="FFFFFF"/>
        <w:spacing w:lineRule="auto" w:line="276"/>
        <w:ind w:start="928" w:hanging="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Tretekstu"/>
        <w:spacing w:before="0" w:after="0"/>
        <w:jc w:val="both"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Cs/>
        </w:rPr>
        <w:t xml:space="preserve">  </w:t>
      </w:r>
    </w:p>
    <w:p>
      <w:pPr>
        <w:pStyle w:val="Tretekstu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</w:t>
      </w:r>
      <w:r>
        <w:rPr>
          <w:rFonts w:cs="Times New Roman" w:ascii="Times New Roman" w:hAnsi="Times New Roman"/>
        </w:rPr>
        <w:t>3. Zasady przyznawania punktów:</w:t>
      </w:r>
    </w:p>
    <w:p>
      <w:pPr>
        <w:pStyle w:val="Default"/>
        <w:spacing w:lineRule="auto" w:line="276"/>
        <w:ind w:start="720" w:hanging="0"/>
        <w:jc w:val="both"/>
        <w:rPr/>
      </w:pPr>
      <w:r>
        <w:rPr>
          <w:b/>
          <w:bCs/>
        </w:rPr>
        <w:t>a)  Cena – 100% (gdzie 1% = 1 pkt)</w:t>
      </w:r>
    </w:p>
    <w:p>
      <w:pPr>
        <w:pStyle w:val="Default"/>
        <w:spacing w:lineRule="auto" w:line="276"/>
        <w:ind w:start="720" w:hanging="0"/>
        <w:jc w:val="both"/>
        <w:rPr/>
      </w:pPr>
      <w:r>
        <w:rPr/>
        <w:t>Ilość punktów dla każdej ocenianej oferty zostanie wyliczona wg poniższego wzoru, gdzie zaokrąglenia dokonane zostaną z dokładnością do dwóch miejsc po przecinku:</w:t>
      </w:r>
    </w:p>
    <w:p>
      <w:pPr>
        <w:pStyle w:val="Default"/>
        <w:spacing w:lineRule="auto" w:line="276"/>
        <w:ind w:start="720" w:hanging="0"/>
        <w:jc w:val="both"/>
        <w:rPr>
          <w:lang w:val="en-US"/>
        </w:rPr>
      </w:pPr>
      <w:r>
        <w:rPr>
          <w:rFonts w:eastAsia="Calibri"/>
          <w:b/>
          <w:bCs/>
        </w:rPr>
        <w:t xml:space="preserve">           </w:t>
      </w:r>
      <w:r>
        <w:rPr>
          <w:b/>
          <w:bCs/>
          <w:lang w:val="en-US"/>
        </w:rPr>
        <w:t>C min</w:t>
      </w:r>
    </w:p>
    <w:p>
      <w:pPr>
        <w:pStyle w:val="Default"/>
        <w:spacing w:lineRule="auto" w:line="276"/>
        <w:ind w:start="720" w:hanging="0"/>
        <w:jc w:val="both"/>
        <w:rPr>
          <w:b/>
          <w:b/>
          <w:bCs/>
          <w:lang w:val="en-US"/>
        </w:rPr>
      </w:pPr>
      <w:r>
        <w:rPr>
          <w:b/>
          <w:bCs/>
          <w:lang w:val="en-US"/>
        </w:rPr>
        <w:t>C = ------------------ x 100 pkt</w:t>
      </w:r>
    </w:p>
    <w:p>
      <w:pPr>
        <w:pStyle w:val="Default"/>
        <w:spacing w:lineRule="auto" w:line="276"/>
        <w:ind w:start="720" w:hanging="0"/>
        <w:jc w:val="both"/>
        <w:rPr>
          <w:lang w:val="en-US"/>
        </w:rPr>
      </w:pPr>
      <w:r>
        <w:rPr>
          <w:rFonts w:eastAsia="Calibri"/>
          <w:b/>
          <w:bCs/>
          <w:lang w:val="en-US"/>
        </w:rPr>
        <w:t xml:space="preserve">           </w:t>
      </w:r>
      <w:r>
        <w:rPr>
          <w:b/>
          <w:bCs/>
          <w:lang w:val="en-US"/>
        </w:rPr>
        <w:t>C bad</w:t>
      </w:r>
    </w:p>
    <w:p>
      <w:pPr>
        <w:pStyle w:val="Default"/>
        <w:spacing w:lineRule="auto" w:line="276"/>
        <w:ind w:start="720" w:hanging="0"/>
        <w:jc w:val="both"/>
        <w:rPr/>
      </w:pPr>
      <w:r>
        <w:rPr/>
        <w:t>gdzie:</w:t>
      </w:r>
    </w:p>
    <w:p>
      <w:pPr>
        <w:pStyle w:val="Default"/>
        <w:spacing w:lineRule="auto" w:line="276"/>
        <w:ind w:start="720" w:hanging="0"/>
        <w:jc w:val="both"/>
        <w:rPr/>
      </w:pPr>
      <w:r>
        <w:rPr>
          <w:b/>
          <w:bCs/>
        </w:rPr>
        <w:t xml:space="preserve">C </w:t>
      </w:r>
      <w:r>
        <w:rPr/>
        <w:t>- ilość punktów badanej oferty w kryterium cena,</w:t>
      </w:r>
    </w:p>
    <w:p>
      <w:pPr>
        <w:pStyle w:val="Default"/>
        <w:spacing w:lineRule="auto" w:line="276"/>
        <w:ind w:start="720" w:hanging="0"/>
        <w:jc w:val="both"/>
        <w:rPr/>
      </w:pPr>
      <w:r>
        <w:rPr>
          <w:b/>
          <w:bCs/>
        </w:rPr>
        <w:t xml:space="preserve">C min - </w:t>
      </w:r>
      <w:r>
        <w:rPr/>
        <w:t>cena oferty (brutto) najniższa spośród wszystkich badanych ofert,</w:t>
      </w:r>
    </w:p>
    <w:p>
      <w:pPr>
        <w:pStyle w:val="Normal"/>
        <w:shd w:val="clear" w:color="auto" w:fill="FFFFFF"/>
        <w:spacing w:lineRule="auto" w:line="276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C bad - </w:t>
      </w:r>
      <w:r>
        <w:rPr>
          <w:rFonts w:cs="Times New Roman" w:ascii="Times New Roman" w:hAnsi="Times New Roman"/>
        </w:rPr>
        <w:t>cena (brutto) badanej oferty</w:t>
      </w:r>
    </w:p>
    <w:p>
      <w:pPr>
        <w:pStyle w:val="Tretekstu"/>
        <w:numPr>
          <w:ilvl w:val="0"/>
          <w:numId w:val="0"/>
        </w:numPr>
        <w:shd w:val="clear" w:color="auto" w:fill="FFFFFF"/>
        <w:spacing w:before="0" w:after="0"/>
        <w:ind w:start="720" w:hanging="360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i/>
          <w:lang w:eastAsia="pl-PL"/>
        </w:rPr>
        <w:tab/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0" w:after="150"/>
        <w:ind w:start="0" w:hanging="0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/>
          <w:bCs/>
          <w:u w:val="single"/>
          <w:lang w:eastAsia="pl-PL"/>
        </w:rPr>
        <w:t>VII. Oferta powinna zawierać:</w:t>
      </w:r>
    </w:p>
    <w:p>
      <w:pPr>
        <w:pStyle w:val="ListParagraph"/>
        <w:numPr>
          <w:ilvl w:val="1"/>
          <w:numId w:val="8"/>
        </w:numPr>
        <w:shd w:val="clear" w:color="auto" w:fill="FFFFFF"/>
        <w:spacing w:lineRule="atLeast" w:line="311" w:before="0" w:after="150"/>
        <w:ind w:start="426" w:hanging="360"/>
        <w:contextualSpacing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>Wypełniony formularz oferty zgodny w treści ze wzorem stanowiącym załącznik  Nr 1;</w:t>
      </w:r>
    </w:p>
    <w:p>
      <w:pPr>
        <w:pStyle w:val="ListParagraph"/>
        <w:numPr>
          <w:ilvl w:val="1"/>
          <w:numId w:val="8"/>
        </w:numPr>
        <w:shd w:val="clear" w:color="auto" w:fill="FFFFFF"/>
        <w:spacing w:lineRule="atLeast" w:line="311" w:before="0" w:after="150"/>
        <w:ind w:start="426" w:hanging="360"/>
        <w:contextualSpacing/>
        <w:jc w:val="both"/>
        <w:outlineLvl w:val="4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color w:val="000000"/>
          <w:lang w:eastAsia="pl-PL"/>
        </w:rPr>
        <w:t>oświadczenie według załącznika nr 2</w:t>
      </w:r>
    </w:p>
    <w:p>
      <w:pPr>
        <w:pStyle w:val="ListParagraph"/>
        <w:numPr>
          <w:ilvl w:val="1"/>
          <w:numId w:val="8"/>
        </w:numPr>
        <w:shd w:val="clear" w:color="auto" w:fill="FFFFFF"/>
        <w:spacing w:lineRule="atLeast" w:line="311" w:before="0" w:after="150"/>
        <w:ind w:start="426" w:hanging="360"/>
        <w:contextualSpacing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oświadczanie </w:t>
      </w:r>
      <w:r>
        <w:rPr>
          <w:rFonts w:eastAsia="Calibri" w:cs="Times New Roman" w:ascii="Times New Roman" w:hAnsi="Times New Roman"/>
          <w:color w:val="000000"/>
        </w:rPr>
        <w:t>załącznik nr 3</w:t>
      </w:r>
    </w:p>
    <w:p>
      <w:pPr>
        <w:pStyle w:val="ListParagraph"/>
        <w:numPr>
          <w:ilvl w:val="1"/>
          <w:numId w:val="8"/>
        </w:numPr>
        <w:shd w:val="clear" w:color="auto" w:fill="FFFFFF"/>
        <w:spacing w:lineRule="atLeast" w:line="311" w:before="0" w:after="150"/>
        <w:ind w:start="426" w:hanging="360"/>
        <w:contextualSpacing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>oświadczenie załącznik nr 4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tLeast" w:line="311" w:before="0" w:after="150"/>
        <w:ind w:start="426" w:hanging="0"/>
        <w:contextualSpacing/>
        <w:jc w:val="both"/>
        <w:outlineLvl w:val="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0" w:after="150"/>
        <w:ind w:start="0" w:hanging="0"/>
        <w:jc w:val="both"/>
        <w:outlineLvl w:val="4"/>
        <w:rPr>
          <w:rFonts w:ascii="Times New Roman" w:hAnsi="Times New Roman" w:eastAsia="Times New Roman" w:cs="Times New Roman"/>
          <w:b/>
          <w:b/>
          <w:u w:val="single"/>
        </w:rPr>
      </w:pPr>
      <w:r>
        <w:rPr>
          <w:rFonts w:eastAsia="Times New Roman" w:cs="Times New Roman" w:ascii="Times New Roman" w:hAnsi="Times New Roman"/>
          <w:b/>
          <w:color w:val="000000"/>
          <w:u w:val="single"/>
        </w:rPr>
        <w:t>VIII.  Inne istotne warunki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  <w:tab w:val="left" w:pos="142" w:leader="none"/>
        </w:tabs>
        <w:spacing w:lineRule="auto" w:line="276"/>
        <w:ind w:start="142" w:hanging="0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000000"/>
        </w:rPr>
        <w:t>1. Komunikacja w postępowaniu o udzielenie zamówienia, w tym ogłoszenie zapytania ofertowego, składanie ofert, wymiana informacji między Zamawiającym a Wykonawcą oraz przekazywanie dokumentów i oświadczeń odbywa się pisemnie za pomocą platformy zakupowej OpenNexus.</w:t>
        <w:br/>
        <w:t xml:space="preserve">2. </w:t>
      </w:r>
      <w:r>
        <w:rPr>
          <w:rFonts w:eastAsia="Times New Roman" w:cs="Times New Roman" w:ascii="Times New Roman" w:hAnsi="Times New Roman"/>
        </w:rPr>
        <w:t>Zamawiający zastrzega że postępowanie może zakończyć się brakiem wyboru oferty.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76"/>
        <w:ind w:firstLine="142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3. Zamawiający nie dopuszcza składania ofert częściowych.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76"/>
        <w:ind w:firstLine="142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4. Przed zawarciem umowy, wykonawca będzie zobowiązany do dostarczenia potwierdzonych za zgodność z ogrygianem dokumentów potwierdzających wykształcenie.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76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 w:before="0" w:after="120"/>
        <w:ind w:start="0" w:hanging="0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/>
          <w:bCs/>
          <w:u w:val="single"/>
          <w:lang w:eastAsia="pl-PL"/>
        </w:rPr>
        <w:t>IX. Informacje dot. płatności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/>
        <w:ind w:start="0" w:hanging="0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>Zapłata nastąpi przelewem na rachunek bankowy Wykonawcy za pośrednictwem metody podzielonej płatności (MPP, split payment) w terminie 14 dni od daty doręczenia Zamawiającemu prawidłowo wystawionej faktury lub rachunku.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/>
        <w:ind w:start="0" w:hanging="0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>Jeżeli wykonawca jest zwolniony z opłat VAT, winien na fakturze lub rachunku umieścić stosowny zapis.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/>
        <w:ind w:start="0" w:hanging="0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Ponadto w związku z centralizacją VAT Wykonawca wystawi fakturę, na której po stronie Zamawiającego będą widniały dwa podmioty, tj.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11"/>
        <w:ind w:start="0" w:hanging="0"/>
        <w:jc w:val="both"/>
        <w:outlineLvl w:val="4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nabywca: </w:t>
      </w:r>
      <w:r>
        <w:rPr>
          <w:rFonts w:eastAsia="Times New Roman" w:cs="Times New Roman" w:ascii="Times New Roman" w:hAnsi="Times New Roman"/>
          <w:b/>
          <w:bCs/>
          <w:lang w:eastAsia="pl-PL"/>
        </w:rPr>
        <w:t>Gmina Starachowice ul. Radomska 45, 27-200 Starachowice NIP 644-19-09-150</w:t>
      </w:r>
      <w:r>
        <w:rPr>
          <w:rFonts w:eastAsia="Times New Roman" w:cs="Times New Roman" w:ascii="Times New Roman" w:hAnsi="Times New Roman"/>
          <w:lang w:eastAsia="pl-PL"/>
        </w:rPr>
        <w:t xml:space="preserve">  odbiorca: </w:t>
      </w:r>
      <w:r>
        <w:rPr>
          <w:rFonts w:eastAsia="Times New Roman" w:cs="Times New Roman" w:ascii="Times New Roman" w:hAnsi="Times New Roman"/>
          <w:b/>
          <w:bCs/>
          <w:lang w:eastAsia="pl-PL"/>
        </w:rPr>
        <w:t xml:space="preserve">Centrum Usług Społecznych w Starachowicach ul. Majówka 21A, 27-200 Starachowice. </w:t>
      </w:r>
      <w:r>
        <w:rPr>
          <w:rFonts w:eastAsia="Times New Roman" w:cs="Times New Roman" w:ascii="Times New Roman" w:hAnsi="Times New Roman"/>
          <w:color w:val="000000"/>
          <w:lang w:eastAsia="pl-PL"/>
        </w:rPr>
        <w:t xml:space="preserve">       </w:t>
      </w:r>
    </w:p>
    <w:sectPr>
      <w:headerReference w:type="default" r:id="rId2"/>
      <w:type w:val="nextPage"/>
      <w:pgSz w:w="11906" w:h="16838"/>
      <w:pgMar w:left="1134" w:right="1134" w:gutter="0" w:header="1134" w:top="1693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end"/>
      <w:rPr>
        <w:color w:val="C9211E"/>
      </w:rPr>
    </w:pPr>
    <w:r>
      <w:rPr>
        <w:color w:val="C9211E"/>
      </w:rPr>
      <w:t>12/DDS/2024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1211"/>
        </w:tabs>
        <w:ind w:start="121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571"/>
        </w:tabs>
        <w:ind w:start="157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931"/>
        </w:tabs>
        <w:ind w:start="193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2291"/>
        </w:tabs>
        <w:ind w:start="229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651"/>
        </w:tabs>
        <w:ind w:start="265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3011"/>
        </w:tabs>
        <w:ind w:start="301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3371"/>
        </w:tabs>
        <w:ind w:start="337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731"/>
        </w:tabs>
        <w:ind w:start="373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4091"/>
        </w:tabs>
        <w:ind w:start="4091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1211"/>
        </w:tabs>
        <w:ind w:start="121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571"/>
        </w:tabs>
        <w:ind w:start="157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931"/>
        </w:tabs>
        <w:ind w:start="193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2291"/>
        </w:tabs>
        <w:ind w:start="229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651"/>
        </w:tabs>
        <w:ind w:start="265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3011"/>
        </w:tabs>
        <w:ind w:start="301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3371"/>
        </w:tabs>
        <w:ind w:start="337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731"/>
        </w:tabs>
        <w:ind w:start="373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4091"/>
        </w:tabs>
        <w:ind w:start="4091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1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1" w:hanging="180"/>
      </w:p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i w:val="false"/>
        <w:iCs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1440" w:hanging="360"/>
      </w:pPr>
      <w:rPr>
        <w:rFonts w:eastAsia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5">
    <w:lvl w:ilvl="0">
      <w:start w:val="1"/>
      <w:numFmt w:val="lowerLetter"/>
      <w:lvlText w:val="%1)"/>
      <w:lvlJc w:val="start"/>
      <w:pPr>
        <w:tabs>
          <w:tab w:val="num" w:pos="720"/>
        </w:tabs>
        <w:ind w:start="720" w:hanging="360"/>
      </w:p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upperRoman"/>
      <w:lvlText w:val="%1."/>
      <w:lvlJc w:val="start"/>
      <w:pPr>
        <w:tabs>
          <w:tab w:val="num" w:pos="0"/>
        </w:tabs>
        <w:ind w:start="1080" w:hanging="72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7">
    <w:lvl w:ilvl="0">
      <w:start w:val="3"/>
      <w:numFmt w:val="upperRoman"/>
      <w:lvlText w:val="%1."/>
      <w:lvlJc w:val="start"/>
      <w:pPr>
        <w:tabs>
          <w:tab w:val="num" w:pos="0"/>
        </w:tabs>
        <w:ind w:start="1080" w:hanging="720"/>
      </w:pPr>
      <w:rPr>
        <w:u w:val="single"/>
        <w:b/>
        <w:rFonts w:eastAsia="Times New Roman" w:cs="Helvetica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decimal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9">
    <w:lvl w:ilvl="0">
      <w:start w:val="1"/>
      <w:numFmt w:val="decimal"/>
      <w:lvlText w:val="%1."/>
      <w:lvlJc w:val="start"/>
      <w:pPr>
        <w:tabs>
          <w:tab w:val="num" w:pos="0"/>
        </w:tabs>
        <w:ind w:start="644" w:hanging="360"/>
      </w:pPr>
      <w:rPr>
        <w:rFonts w:eastAsia="Times New Roman"/>
        <w:color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364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084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04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524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244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4964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684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04" w:hanging="180"/>
      </w:pPr>
    </w:lvl>
  </w:abstractNum>
  <w:abstractNum w:abstractNumId="10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WWCharLFO60LVL1" w:customStyle="1">
    <w:name w:val="WW_CharLFO60LVL1"/>
    <w:qFormat/>
    <w:rPr>
      <w:b w:val="false"/>
      <w:bCs w:val="false"/>
      <w:sz w:val="22"/>
      <w:szCs w:val="22"/>
    </w:rPr>
  </w:style>
  <w:style w:type="character" w:styleId="WWCharLFO60LVL2" w:customStyle="1">
    <w:name w:val="WW_CharLFO60LVL2"/>
    <w:qFormat/>
    <w:rPr>
      <w:b w:val="false"/>
      <w:bCs w:val="false"/>
    </w:rPr>
  </w:style>
  <w:style w:type="character" w:styleId="WWCharLFO60LVL3" w:customStyle="1">
    <w:name w:val="WW_CharLFO60LVL3"/>
    <w:qFormat/>
    <w:rPr>
      <w:b w:val="false"/>
      <w:bCs w:val="false"/>
    </w:rPr>
  </w:style>
  <w:style w:type="character" w:styleId="WWCharLFO60LVL4" w:customStyle="1">
    <w:name w:val="WW_CharLFO60LVL4"/>
    <w:qFormat/>
    <w:rPr>
      <w:b w:val="false"/>
      <w:bCs w:val="false"/>
    </w:rPr>
  </w:style>
  <w:style w:type="character" w:styleId="WWCharLFO60LVL5" w:customStyle="1">
    <w:name w:val="WW_CharLFO60LVL5"/>
    <w:qFormat/>
    <w:rPr>
      <w:b w:val="false"/>
      <w:bCs w:val="false"/>
    </w:rPr>
  </w:style>
  <w:style w:type="character" w:styleId="WWCharLFO60LVL6" w:customStyle="1">
    <w:name w:val="WW_CharLFO60LVL6"/>
    <w:qFormat/>
    <w:rPr>
      <w:b w:val="false"/>
      <w:bCs w:val="false"/>
    </w:rPr>
  </w:style>
  <w:style w:type="character" w:styleId="WWCharLFO60LVL7" w:customStyle="1">
    <w:name w:val="WW_CharLFO60LVL7"/>
    <w:qFormat/>
    <w:rPr>
      <w:b w:val="false"/>
      <w:bCs w:val="false"/>
    </w:rPr>
  </w:style>
  <w:style w:type="character" w:styleId="WWCharLFO60LVL8" w:customStyle="1">
    <w:name w:val="WW_CharLFO60LVL8"/>
    <w:qFormat/>
    <w:rPr>
      <w:b w:val="false"/>
      <w:bCs w:val="false"/>
    </w:rPr>
  </w:style>
  <w:style w:type="character" w:styleId="WWCharLFO60LVL9" w:customStyle="1">
    <w:name w:val="WW_CharLFO60LVL9"/>
    <w:qFormat/>
    <w:rPr>
      <w:b w:val="false"/>
      <w:bCs w:val="false"/>
    </w:rPr>
  </w:style>
  <w:style w:type="character" w:styleId="WWCharLFO62LVL1" w:customStyle="1">
    <w:name w:val="WW_CharLFO62LVL1"/>
    <w:qFormat/>
    <w:rPr>
      <w:rFonts w:ascii="Calibri" w:hAnsi="Calibri" w:cs="Calibri"/>
      <w:b w:val="false"/>
      <w:bCs w:val="false"/>
      <w:sz w:val="22"/>
      <w:szCs w:val="22"/>
    </w:rPr>
  </w:style>
  <w:style w:type="character" w:styleId="WWCharLFO62LVL2" w:customStyle="1">
    <w:name w:val="WW_CharLFO62LVL2"/>
    <w:qFormat/>
    <w:rPr>
      <w:b w:val="false"/>
      <w:bCs w:val="false"/>
    </w:rPr>
  </w:style>
  <w:style w:type="character" w:styleId="WWCharLFO62LVL3" w:customStyle="1">
    <w:name w:val="WW_CharLFO62LVL3"/>
    <w:qFormat/>
    <w:rPr>
      <w:b w:val="false"/>
      <w:bCs w:val="false"/>
    </w:rPr>
  </w:style>
  <w:style w:type="character" w:styleId="WWCharLFO62LVL4" w:customStyle="1">
    <w:name w:val="WW_CharLFO62LVL4"/>
    <w:qFormat/>
    <w:rPr>
      <w:b w:val="false"/>
      <w:bCs w:val="false"/>
    </w:rPr>
  </w:style>
  <w:style w:type="character" w:styleId="WWCharLFO62LVL5" w:customStyle="1">
    <w:name w:val="WW_CharLFO62LVL5"/>
    <w:qFormat/>
    <w:rPr>
      <w:b w:val="false"/>
      <w:bCs w:val="false"/>
    </w:rPr>
  </w:style>
  <w:style w:type="character" w:styleId="WWCharLFO62LVL6" w:customStyle="1">
    <w:name w:val="WW_CharLFO62LVL6"/>
    <w:qFormat/>
    <w:rPr>
      <w:b w:val="false"/>
      <w:bCs w:val="false"/>
    </w:rPr>
  </w:style>
  <w:style w:type="character" w:styleId="WWCharLFO62LVL7" w:customStyle="1">
    <w:name w:val="WW_CharLFO62LVL7"/>
    <w:qFormat/>
    <w:rPr>
      <w:b w:val="false"/>
      <w:bCs w:val="false"/>
    </w:rPr>
  </w:style>
  <w:style w:type="character" w:styleId="WWCharLFO62LVL8" w:customStyle="1">
    <w:name w:val="WW_CharLFO62LVL8"/>
    <w:qFormat/>
    <w:rPr>
      <w:b w:val="false"/>
      <w:bCs w:val="false"/>
    </w:rPr>
  </w:style>
  <w:style w:type="character" w:styleId="WWCharLFO62LVL9" w:customStyle="1">
    <w:name w:val="WW_CharLFO62LVL9"/>
    <w:qFormat/>
    <w:rPr>
      <w:b w:val="false"/>
      <w:bCs w:val="false"/>
    </w:rPr>
  </w:style>
  <w:style w:type="character" w:styleId="WWCharLFO66LVL1" w:customStyle="1">
    <w:name w:val="WW_CharLFO66LVL1"/>
    <w:qFormat/>
    <w:rPr>
      <w:sz w:val="22"/>
      <w:szCs w:val="22"/>
    </w:rPr>
  </w:style>
  <w:style w:type="character" w:styleId="WWCharLFO63LVL1" w:customStyle="1">
    <w:name w:val="WW_CharLFO63LVL1"/>
    <w:qFormat/>
    <w:rPr>
      <w:b w:val="false"/>
      <w:bCs w:val="false"/>
      <w:sz w:val="22"/>
      <w:szCs w:val="22"/>
    </w:rPr>
  </w:style>
  <w:style w:type="character" w:styleId="WWCharLFO63LVL2" w:customStyle="1">
    <w:name w:val="WW_CharLFO63LVL2"/>
    <w:qFormat/>
    <w:rPr>
      <w:b w:val="false"/>
      <w:bCs w:val="false"/>
    </w:rPr>
  </w:style>
  <w:style w:type="character" w:styleId="WWCharLFO63LVL3" w:customStyle="1">
    <w:name w:val="WW_CharLFO63LVL3"/>
    <w:qFormat/>
    <w:rPr>
      <w:b w:val="false"/>
      <w:bCs w:val="false"/>
    </w:rPr>
  </w:style>
  <w:style w:type="character" w:styleId="WWCharLFO63LVL4" w:customStyle="1">
    <w:name w:val="WW_CharLFO63LVL4"/>
    <w:qFormat/>
    <w:rPr>
      <w:b w:val="false"/>
      <w:bCs w:val="false"/>
    </w:rPr>
  </w:style>
  <w:style w:type="character" w:styleId="WWCharLFO63LVL5" w:customStyle="1">
    <w:name w:val="WW_CharLFO63LVL5"/>
    <w:qFormat/>
    <w:rPr>
      <w:b w:val="false"/>
      <w:bCs w:val="false"/>
    </w:rPr>
  </w:style>
  <w:style w:type="character" w:styleId="WWCharLFO63LVL6" w:customStyle="1">
    <w:name w:val="WW_CharLFO63LVL6"/>
    <w:qFormat/>
    <w:rPr>
      <w:b w:val="false"/>
      <w:bCs w:val="false"/>
    </w:rPr>
  </w:style>
  <w:style w:type="character" w:styleId="WWCharLFO63LVL7" w:customStyle="1">
    <w:name w:val="WW_CharLFO63LVL7"/>
    <w:qFormat/>
    <w:rPr>
      <w:b w:val="false"/>
      <w:bCs w:val="false"/>
    </w:rPr>
  </w:style>
  <w:style w:type="character" w:styleId="WWCharLFO63LVL8" w:customStyle="1">
    <w:name w:val="WW_CharLFO63LVL8"/>
    <w:qFormat/>
    <w:rPr>
      <w:b w:val="false"/>
      <w:bCs w:val="false"/>
    </w:rPr>
  </w:style>
  <w:style w:type="character" w:styleId="WWCharLFO63LVL9" w:customStyle="1">
    <w:name w:val="WW_CharLFO63LVL9"/>
    <w:qFormat/>
    <w:rPr>
      <w:b w:val="false"/>
      <w:bCs w:val="false"/>
    </w:rPr>
  </w:style>
  <w:style w:type="character" w:styleId="WWCharLFO64LVL1" w:customStyle="1">
    <w:name w:val="WW_CharLFO64LVL1"/>
    <w:qFormat/>
    <w:rPr>
      <w:b w:val="false"/>
      <w:bCs w:val="false"/>
    </w:rPr>
  </w:style>
  <w:style w:type="character" w:styleId="WWCharLFO64LVL2" w:customStyle="1">
    <w:name w:val="WW_CharLFO64LVL2"/>
    <w:qFormat/>
    <w:rPr>
      <w:b w:val="false"/>
      <w:bCs w:val="false"/>
    </w:rPr>
  </w:style>
  <w:style w:type="character" w:styleId="WWCharLFO64LVL3" w:customStyle="1">
    <w:name w:val="WW_CharLFO64LVL3"/>
    <w:qFormat/>
    <w:rPr>
      <w:b w:val="false"/>
      <w:bCs w:val="false"/>
    </w:rPr>
  </w:style>
  <w:style w:type="character" w:styleId="WWCharLFO64LVL4" w:customStyle="1">
    <w:name w:val="WW_CharLFO64LVL4"/>
    <w:qFormat/>
    <w:rPr>
      <w:b w:val="false"/>
      <w:bCs w:val="false"/>
    </w:rPr>
  </w:style>
  <w:style w:type="character" w:styleId="WWCharLFO64LVL5" w:customStyle="1">
    <w:name w:val="WW_CharLFO64LVL5"/>
    <w:qFormat/>
    <w:rPr>
      <w:b w:val="false"/>
      <w:bCs w:val="false"/>
    </w:rPr>
  </w:style>
  <w:style w:type="character" w:styleId="WWCharLFO64LVL6" w:customStyle="1">
    <w:name w:val="WW_CharLFO64LVL6"/>
    <w:qFormat/>
    <w:rPr>
      <w:b w:val="false"/>
      <w:bCs w:val="false"/>
    </w:rPr>
  </w:style>
  <w:style w:type="character" w:styleId="WWCharLFO64LVL7" w:customStyle="1">
    <w:name w:val="WW_CharLFO64LVL7"/>
    <w:qFormat/>
    <w:rPr>
      <w:b w:val="false"/>
      <w:bCs w:val="false"/>
    </w:rPr>
  </w:style>
  <w:style w:type="character" w:styleId="WWCharLFO64LVL8" w:customStyle="1">
    <w:name w:val="WW_CharLFO64LVL8"/>
    <w:qFormat/>
    <w:rPr>
      <w:b w:val="false"/>
      <w:bCs w:val="false"/>
    </w:rPr>
  </w:style>
  <w:style w:type="character" w:styleId="WWCharLFO64LVL9" w:customStyle="1">
    <w:name w:val="WW_CharLFO64LVL9"/>
    <w:qFormat/>
    <w:rPr>
      <w:b w:val="false"/>
      <w:bCs w:val="false"/>
    </w:rPr>
  </w:style>
  <w:style w:type="character" w:styleId="WWCharLFO65LVL1" w:customStyle="1">
    <w:name w:val="WW_CharLFO65LVL1"/>
    <w:qFormat/>
    <w:rPr>
      <w:b w:val="false"/>
      <w:bCs w:val="false"/>
      <w:sz w:val="22"/>
      <w:szCs w:val="22"/>
    </w:rPr>
  </w:style>
  <w:style w:type="character" w:styleId="WWCharLFO65LVL2" w:customStyle="1">
    <w:name w:val="WW_CharLFO65LVL2"/>
    <w:qFormat/>
    <w:rPr>
      <w:b w:val="false"/>
      <w:bCs w:val="false"/>
    </w:rPr>
  </w:style>
  <w:style w:type="character" w:styleId="WWCharLFO65LVL3" w:customStyle="1">
    <w:name w:val="WW_CharLFO65LVL3"/>
    <w:qFormat/>
    <w:rPr>
      <w:b w:val="false"/>
      <w:bCs w:val="false"/>
    </w:rPr>
  </w:style>
  <w:style w:type="character" w:styleId="WWCharLFO65LVL4" w:customStyle="1">
    <w:name w:val="WW_CharLFO65LVL4"/>
    <w:qFormat/>
    <w:rPr>
      <w:b w:val="false"/>
      <w:bCs w:val="false"/>
    </w:rPr>
  </w:style>
  <w:style w:type="character" w:styleId="WWCharLFO65LVL5" w:customStyle="1">
    <w:name w:val="WW_CharLFO65LVL5"/>
    <w:qFormat/>
    <w:rPr>
      <w:b w:val="false"/>
      <w:bCs w:val="false"/>
    </w:rPr>
  </w:style>
  <w:style w:type="character" w:styleId="WWCharLFO65LVL6" w:customStyle="1">
    <w:name w:val="WW_CharLFO65LVL6"/>
    <w:qFormat/>
    <w:rPr>
      <w:b w:val="false"/>
      <w:bCs w:val="false"/>
    </w:rPr>
  </w:style>
  <w:style w:type="character" w:styleId="WWCharLFO65LVL7" w:customStyle="1">
    <w:name w:val="WW_CharLFO65LVL7"/>
    <w:qFormat/>
    <w:rPr>
      <w:b w:val="false"/>
      <w:bCs w:val="false"/>
    </w:rPr>
  </w:style>
  <w:style w:type="character" w:styleId="WWCharLFO65LVL8" w:customStyle="1">
    <w:name w:val="WW_CharLFO65LVL8"/>
    <w:qFormat/>
    <w:rPr>
      <w:b w:val="false"/>
      <w:bCs w:val="false"/>
    </w:rPr>
  </w:style>
  <w:style w:type="character" w:styleId="WWCharLFO65LVL9" w:customStyle="1">
    <w:name w:val="WW_CharLFO65LVL9"/>
    <w:qFormat/>
    <w:rPr>
      <w:b w:val="false"/>
      <w:bCs w:val="false"/>
    </w:rPr>
  </w:style>
  <w:style w:type="character" w:styleId="Markedcontent" w:customStyle="1">
    <w:name w:val="markedcontent"/>
    <w:basedOn w:val="DefaultParagraph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next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4c2342"/>
    <w:pPr>
      <w:spacing w:before="0" w:after="0"/>
      <w:ind w:start="720" w:hanging="0"/>
      <w:contextualSpacing/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Application>LibreOffice/7.2.1.2$Windows_X86_64 LibreOffice_project/87b77fad49947c1441b67c559c339af8f3517e22</Application>
  <AppVersion>15.0000</AppVersion>
  <Pages>4</Pages>
  <Words>1093</Words>
  <Characters>7256</Characters>
  <CharactersWithSpaces>8289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2024-09-30T13:54:27Z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