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righ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Krakowski Szpital Specjalistyczny im. św. Jana Pawła II</w:t>
      </w:r>
    </w:p>
    <w:p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>ul. Prądnicka 80</w:t>
      </w:r>
    </w:p>
    <w:p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>31-202 Kraków</w:t>
      </w:r>
    </w:p>
    <w:p>
      <w:pPr>
        <w:pStyle w:val="Standard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Standard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Nr spr. TTR.2232.178.2024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OPIS PRZEDMIOTU ZAMÓWIENIA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Krakowski Szpital Specjalistyczny im. św. Jana Pawła II (zwany dalej Zamawiającym) zwraca się z prośbą o przedstawienie oferty kosztowej dla zadania:</w:t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"</w:t>
      </w:r>
      <w:r>
        <w:rPr>
          <w:rFonts w:cs="Calibri"/>
          <w:b/>
          <w:sz w:val="24"/>
          <w:szCs w:val="24"/>
        </w:rPr>
        <w:t>Wykonanie koniecznych napraw i remontu czerpni nr 1 i nr 2 oraz czerpni w przyziemiu dla potrzeb wentylacji i klimatyzacji w Budynku M-5A</w:t>
      </w:r>
      <w:r>
        <w:rPr>
          <w:rFonts w:cs="Calibri"/>
          <w:b/>
          <w:bCs/>
          <w:sz w:val="24"/>
          <w:szCs w:val="24"/>
        </w:rPr>
        <w:t xml:space="preserve"> w Krakowskim Szpitalu Specjalistycznym im. św. Jana Pawła II</w:t>
      </w:r>
      <w:r>
        <w:rPr>
          <w:b/>
          <w:sz w:val="24"/>
          <w:szCs w:val="24"/>
        </w:rPr>
        <w:t>".</w:t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numPr>
          <w:ilvl w:val="0"/>
          <w:numId w:val="4"/>
        </w:numPr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Zakres usługi:</w:t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Zadanie obejmuje wykonanie naprawy i remontu ścian oraz krat zabezpieczających wloty  do czerpni i central wraz z wymianą uszkodzonych elementów w czerpniach nr 1 i nr 2 zlokalizowanych na maszynowni wentylacji na Vp. oraz czerpni w przyziemiu dla maszynowni wentylacji 036, 039, 040 w budynku M-5A zlokalizowanym na terenie Krakowskiego Szpitala Specjalistycznego im. św. Jana Pawła II.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spacing w:lineRule="auto" w:line="276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W ramach prowadzonych prac należy: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ściągnąć farbę ze ścian i z sufitów;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 miejscach gdzie tynki odchodzą lub są zawilgocone należy przewidzieć ich odbicie </w:t>
        <w:br/>
        <w:t>i uzupełnienie;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w miejscach gdzie są potencjalne miejsca zawilgocenia gdzie mogą pojawić się pleśń lub grzyby należy położyć środki zwalczające ww;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po odpowiednim przygotowaniu powierzchni (w tym gruntowanie powierzchni) należy przeprowadzić malowanie ścian i sufitów czerpni (nie dotyczy sufitu w czerpni w przyziemiu </w:t>
        <w:br/>
      </w:r>
      <w:bookmarkStart w:id="0" w:name="_GoBack"/>
      <w:bookmarkEnd w:id="0"/>
      <w:r>
        <w:rPr>
          <w:sz w:val="24"/>
          <w:szCs w:val="24"/>
        </w:rPr>
        <w:t>w części gdzie strop jest metalowy pomalowany proszkowo);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w czerpni w przyziemiu w części gdzie strop jest metalowy należy przewidzieć jego gruntowne czyszczenie środkami, które nie spowodują uszkodzenia farby zabezpieczającej;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wszystkie kraty zabezpieczające wejścia do czerpni i do central wentylacyjnych należy zdemontować, oczyścić i położyć farbę zabezpieczającą przed korozją;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wszystkie oprawy oświetleniowe w trakcie prowadzenia prac zabezpieczyć przed uszkodzeniem i zabrudzeniem farbami lub innymi środkami;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należy przewidzieć naprawę i malowanie drzwi wejściowych do czerpni;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- podłogi w czerpniach należy przygotować – uzupełnić ubytki jeśli występują, a następnie wymyć i zabezpieczyć środkami zapewniającymi ich ochronę (np. wosk).</w:t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prowadzonych na obiekcie prac należy przewidzieć niżej wymienione materiały </w:t>
        <w:br/>
        <w:t>i czynności:</w:t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70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59"/>
        <w:gridCol w:w="2801"/>
        <w:gridCol w:w="4100"/>
        <w:gridCol w:w="1260"/>
        <w:gridCol w:w="1080"/>
      </w:tblGrid>
      <w:tr>
        <w:trPr>
          <w:trHeight w:val="300" w:hRule="atLeast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Lp.</w:t>
            </w:r>
          </w:p>
        </w:tc>
        <w:tc>
          <w:tcPr>
            <w:tcW w:w="2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Podstawa</w:t>
            </w:r>
          </w:p>
        </w:tc>
        <w:tc>
          <w:tcPr>
            <w:tcW w:w="41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Opis robót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Jednostka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Obmiar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2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FF8080" w:fill="ED7D31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color w:val="FFFFFF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color w:val="FFFFFF"/>
                <w:kern w:val="0"/>
                <w:lang w:eastAsia="pl-PL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Czerpnia nr 1 i 2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1.1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Czerpnia 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1695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0701-05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Odbicie tynków wewnętrznych z zaprawy cementowo-wapiennej na ścianach, filarach, pilastrach o powierzchni odbicia ponad 5 m2 - skucie odparzonych tynków - przyjęto 10%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10,358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0106-04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Usunięcie z budynku gruzu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0,311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 xml:space="preserve">KNR 4-01 0108-11 0108-12 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Wywiezienie gruzu spryzmowanego samochodami samowyładowczymi na odległość 10 km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0,311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Utylizacja gruzu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0,311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0619-03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Odgrzybianie powierzchni ścian łatwo dostępnych o powierzchni ponad 5 m2 z cegły przy użyciu szczotek stalowych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10,358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KNR-W 4-01 1216-01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Zabezpieczenie podłóg folią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1134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7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0815-04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Wewnętrzne gładzie gipsowe dwuwarstwowe na ścianach z elementów prefabrykowanych i betonowych wylewanych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72,800</w:t>
            </w:r>
          </w:p>
        </w:tc>
      </w:tr>
      <w:tr>
        <w:trPr>
          <w:trHeight w:val="1122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8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0815-06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Wewnętrzne gładzie gipsowe dwuwarstwowe na sufitach z elementów prefabrykowanych i betonowych wylewanych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9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1134-02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72,800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1134-01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(z.VII) Gruntowanie podłoży preparatami "CERESIT CT 17" i "ATLAS UNI GRUNT" - powierzchnie poziome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1505-03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Dwukrotne malowanie farbami emulsyjnymi powierzchni wewnętrznych - podłoży gipsowych z gruntowaniem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103,580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AT-33 0101-04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Lokalne uzupełnienia posadzki - przyjęto 10%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10,358</w:t>
            </w:r>
          </w:p>
        </w:tc>
      </w:tr>
      <w:tr>
        <w:trPr>
          <w:trHeight w:val="165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strumieniowo-ścierne (piaskowanie) konstrukcji lekkich do I stopnia czystości przy wyjściowym stanie powierzchni A - kraty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3,200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0112-01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powierzchni konstrukcji benzyną do lakierów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3,200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 warstwa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3,200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II i następne warstwy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3,200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17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Regeneracja drzwi wejściowych oraz uszczelnienie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kpl.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18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Wymiana zabezpieczeń drzwi zabezpieczających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kpl.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19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1215-08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Mycie po robotach malarskich posadzek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RAZEM 1.1 Czerpnia 1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1.2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Czerpnia 2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198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20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0701-05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Odbicie tynków wewnętrznych z zaprawy cementowo-wapiennej na ścianach, filarach, pilastrach o powierzchni odbicia ponad 5 m2 - skucie odparzonych tynków - przyjęto 10%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10,358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0106-04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Usunięcie z budynku gruzu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0,311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 xml:space="preserve">KNR 4-01 0108-11 0108-12 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Wywiezienie gruzu spryzmowanego samochodami samowyładowczymi na odległość 10 km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0,311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Utylizacja gruzu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0,311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0619-03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Odgrzybianie powierzchni ścian łatwo dostępnych o powierzchni ponad 5 m2 z cegły przy użyciu szczotek stalowych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10,358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KNR-W 4-01 1216-01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Zabezpieczenie podłóg folią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0815-04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Wewnętrzne gładzie gipsowe dwuwarstwowe na ścianach z elementów prefabrykowanych i betonowych wylewanych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72,800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27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0815-06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Wewnętrzne gładzie gipsowe dwuwarstwowe na sufitach z elementów prefabrykowanych i betonowych wylewanych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28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1134-02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72,800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29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1134-01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(z.VII) Gruntowanie podłoży preparatami "CERESIT CT 17" i "ATLAS UNI GRUNT" - powierzchnie poziome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1505-03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Dwukrotne malowanie farbami emulsyjnymi powierzchni wewnętrznych - podłoży gipsowych z gruntowaniem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103,580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AT-33 0101-04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Lokalne uzupełnienia posadzki - przyjęto 10%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10,358</w:t>
            </w:r>
          </w:p>
        </w:tc>
      </w:tr>
      <w:tr>
        <w:trPr>
          <w:trHeight w:val="165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strumieniowo-ścierne (piaskowanie) konstrukcji lekkich do I stopnia czystości przy wyjściowym stanie powierzchni A - kraty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0112-01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powierzchni konstrukcji benzyną do lakierów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 warstwa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II i następne warstwy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Regeneracja drzwi wejściowych oraz uszczelnienie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kpl.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37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Wymiana zabezpieczeń drzwi zabezpieczających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kpl.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38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1215-08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Mycie po robotach malarskich posadzek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30,780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RAZEM 1.2 Czerpnia 2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RAZEM 1 Czerpnia nr 1 i 2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CCFFFF" w:fill="D9E1F2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57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Czerpnia dla maszynowni went. 036, 039, 040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99CCFF" w:fill="B4C6E7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b/>
                <w:b/>
                <w:bCs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b/>
                <w:bCs/>
                <w:kern w:val="0"/>
                <w:lang w:eastAsia="pl-PL"/>
              </w:rPr>
              <w:t> 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39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1621a-01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Rusztowania o wysokości do 10 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16,400</w:t>
            </w:r>
          </w:p>
        </w:tc>
      </w:tr>
      <w:tr>
        <w:trPr>
          <w:trHeight w:val="198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40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0701-05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Odbicie tynków wewnętrznych z zaprawy cementowo-wapiennej na ścianach, filarach, pilastrach o powierzchni odbicia ponad 5 m2 - skucie odparzonych tynków - przyjęto 25%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83,640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0106-04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Usunięcie z budynku gruzu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2,509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 xml:space="preserve">KNR 4-01 0108-11 0108-12 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Wywiezienie gruzu spryzmowanego samochodami samowyładowczymi na odległość 10 km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2,509</w:t>
            </w:r>
          </w:p>
        </w:tc>
      </w:tr>
      <w:tr>
        <w:trPr>
          <w:trHeight w:val="654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Utylizacja gruzu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m3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2,509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0619-03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Odgrzybianie powierzchni ścian łatwo dostępnych o powierzchni ponad 5 m2 z cegły przy użyciu szczotek stalowych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83,640</w:t>
            </w:r>
          </w:p>
        </w:tc>
      </w:tr>
      <w:tr>
        <w:trPr>
          <w:trHeight w:val="33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KNR-W 4-01 1216-01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Zabezpieczenie podłóg folią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143,000</w:t>
            </w:r>
          </w:p>
        </w:tc>
      </w:tr>
      <w:tr>
        <w:trPr>
          <w:trHeight w:val="1297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0815-04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Wewnętrzne gładzie gipsowe dwuwarstwowe na ścianach z elementów prefabrykowanych i betonowych wylewanych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296,560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47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0815-06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Wewnętrzne gładzie gipsowe dwuwarstwowe na sufitach z elementów prefabrykowanych i betonowych wylewanych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38,000</w:t>
            </w:r>
          </w:p>
        </w:tc>
      </w:tr>
      <w:tr>
        <w:trPr>
          <w:trHeight w:val="1125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48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1134-02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296,560</w:t>
            </w:r>
          </w:p>
        </w:tc>
      </w:tr>
      <w:tr>
        <w:trPr>
          <w:trHeight w:val="117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49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NNRNKB 202 1134-01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(z.VII) Gruntowanie podłoży preparatami "CERESIT CT 17" i "ATLAS UNI GRUNT" - powierzchnie poziome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38,000</w:t>
            </w:r>
          </w:p>
        </w:tc>
      </w:tr>
      <w:tr>
        <w:trPr>
          <w:trHeight w:val="132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50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2-02 1505-03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Dwukrotne malowanie farbami emulsyjnymi powierzchni wewnętrznych - podłoży gipsowych z gruntowaniem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334,560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AT-33 0101-04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Lokalne uzupełnienia posadzki - przyjęto 25%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83,640</w:t>
            </w:r>
          </w:p>
        </w:tc>
      </w:tr>
      <w:tr>
        <w:trPr>
          <w:trHeight w:val="1238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strumieniowo-ścierne (piaskowanie) konstrukcji lekkich do I stopnia czystości przy wyjściowym stanie powierzchni A - sufit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105,000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0112-01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powierzchni konstrukcji benzyną do lakierów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105,000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 warstwa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105,000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II i następne warstwy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105,000</w:t>
            </w:r>
          </w:p>
        </w:tc>
      </w:tr>
      <w:tr>
        <w:trPr>
          <w:trHeight w:val="11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strumieniowo-ścierne (piaskowanie) konstrukcji lekkich do I stopnia czystości przy wyjściowym stanie powierzchni A - kraty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11,520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57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0112-01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powierzchni konstrukcji benzyną do lakierów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11,520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58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 warstwa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11,520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59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II i następne warstwy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11,520</w:t>
            </w:r>
          </w:p>
        </w:tc>
      </w:tr>
      <w:tr>
        <w:trPr>
          <w:trHeight w:val="165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60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strumieniowo-ścierne (piaskowanie) konstrukcji lekkich do I stopnia czystości przy wyjściowym stanie powierzchni A - kraty - czerpnia zewnętrzna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61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0112-01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Czyszczenie powierzchni konstrukcji benzyną do lakierów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62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0201-01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 warstwa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99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63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13-16 0201-06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Malowanie pędzlem konstrukcji lekkich farbami I grupy - II i następne warstwy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5,120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64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Regeneracja drzwi wejściowych oraz uszczelnienie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kpl.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65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br/>
              <w:t>analiza indywidualna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Wymiana zabezpieczeń drzwi zabezpieczających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kpl.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2,000</w:t>
            </w:r>
          </w:p>
        </w:tc>
      </w:tr>
      <w:tr>
        <w:trPr>
          <w:trHeight w:val="660" w:hRule="atLeast"/>
        </w:trPr>
        <w:tc>
          <w:tcPr>
            <w:tcW w:w="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66</w:t>
            </w:r>
          </w:p>
        </w:tc>
        <w:tc>
          <w:tcPr>
            <w:tcW w:w="2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KNR 4-01 1215-08</w:t>
            </w:r>
          </w:p>
        </w:tc>
        <w:tc>
          <w:tcPr>
            <w:tcW w:w="41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Mycie po robotach malarskich posadzek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textAlignment w:val="auto"/>
              <w:rPr>
                <w:rFonts w:ascii="Century Gothic" w:hAnsi="Century Gothic" w:eastAsia="Times New Roman" w:cs="Calibri"/>
                <w:kern w:val="0"/>
                <w:lang w:eastAsia="pl-PL"/>
              </w:rPr>
            </w:pPr>
            <w:r>
              <w:rPr>
                <w:rFonts w:eastAsia="Times New Roman" w:cs="Calibri" w:ascii="Century Gothic" w:hAnsi="Century Gothic"/>
                <w:kern w:val="0"/>
                <w:lang w:eastAsia="pl-PL"/>
              </w:rPr>
              <w:t>143,000</w:t>
            </w:r>
          </w:p>
        </w:tc>
      </w:tr>
    </w:tbl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spacing w:lineRule="auto" w:line="276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Dodatkowe wymagania i warunki realizacji zadania: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1. Wykonawca zobowiązany jest w ramach złożonej oferty aby przewidzieć koszty wszystkich materiałów pomocniczych takich jak np. folie i taśmy zabezpieczające itp. potrzebne do realizacji zadania.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2. Wykonawca zobowiązany jest w ramach złożonej oferty aby przewidzieć koszty wszystkich materiałów w tym tynków, środków zwalczających grzyby i pleśnie, gipsów, gruntów, farb, żarówek, lamp LED i innych wynikających z konieczności realizacji zadania zgodnie ze sztuką.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</w:rPr>
        <w:t>3.</w:t>
      </w:r>
      <w:r>
        <w:rPr/>
        <w:t xml:space="preserve"> </w:t>
      </w:r>
      <w:r>
        <w:rPr>
          <w:rFonts w:cs="Calibri" w:ascii="Calibri" w:hAnsi="Calibri"/>
          <w:color w:val="auto"/>
        </w:rPr>
        <w:t>Zabezpieczenie powierzchni maszynowni wentylacji i czerpni w miejscach prowadzenia prac oraz w ciągach komunikacyjnych leży po stronie Wykonawcy.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4. Wykonawca zobowiązany jest do trwałego zabezpieczenia antykorozyjnego elementów </w:t>
        <w:br/>
        <w:t xml:space="preserve">instalacji w miejscach gdzie z uwagi na technologie wykonania były prowadzone prace </w:t>
        <w:br/>
        <w:t>związane z cięciem lub spawaniem.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>5. Wykonawca zobowiązany jest podstawić kontener na odpady, który po zakończeniu prac niezwłocznie usunie. Zamawiający dopuszcza jeśli wymaga tego stan zapełnienia kontenera wywóz i opróżnianie wg aktualnych potrzeb realizacji prac.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Zamawiający wymaga aby wszelkie składowane odpady w kontenerze były zabezpieczone </w:t>
        <w:br/>
        <w:t>w sposób uniemożliwiający ich wypadanie lub roznoszenie przez wiatr lub inne okoliczności np. ptaki lub zwierzęta.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6. Wszystkie prowadzone prace na obiekcie w ramach realizacji zadania muszą zostać </w:t>
        <w:br/>
        <w:t>ustalone z Zamawiającym.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7. Prowadzone prace nie mogą mieć wpływu na bieżącą działalność Zamawiającego. Nie mogą przerwać lub zakłócić działalności związanej z działalnością leczniczą i przebywaniem </w:t>
        <w:br/>
        <w:t>pacjentów.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8. Na czas realizacji prac Zamawiający nie przewiduje wyłączenia z użytkowania pomieszczeń i czerpni. </w:t>
      </w:r>
    </w:p>
    <w:p>
      <w:pPr>
        <w:pStyle w:val="Default"/>
        <w:spacing w:lineRule="auto" w:line="276"/>
        <w:jc w:val="both"/>
        <w:rPr>
          <w:rFonts w:ascii="Calibri" w:hAnsi="Calibri" w:cs="Calibri"/>
          <w:color w:val="auto"/>
        </w:rPr>
      </w:pPr>
      <w:r>
        <w:rPr>
          <w:rFonts w:cs="Calibri" w:ascii="Calibri" w:hAnsi="Calibri"/>
          <w:color w:val="auto"/>
        </w:rPr>
        <w:t xml:space="preserve">9. W związku z tym, że prace będą prowadzone na czynnym obiekcie Wykonawca musi </w:t>
        <w:br/>
        <w:t xml:space="preserve">zachować szczególne środki ostrożności przy prowadzeniu prac. Wszystkie użyte materiały </w:t>
        <w:br/>
        <w:t xml:space="preserve">i środki muszą posiadać atest lub certyfikat PZH lub inny równoważny upoważniający do </w:t>
        <w:br/>
        <w:t>stosowania w obiektach służby zdrowia lub prowadzących działalność leczniczą.</w:t>
      </w:r>
    </w:p>
    <w:p>
      <w:pPr>
        <w:pStyle w:val="Default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</w:rPr>
        <w:t>10.</w:t>
      </w:r>
      <w:r>
        <w:rPr/>
        <w:t xml:space="preserve"> </w:t>
      </w:r>
      <w:r>
        <w:rPr>
          <w:rFonts w:cs="Calibri" w:ascii="Calibri" w:hAnsi="Calibri" w:asciiTheme="minorHAnsi" w:cstheme="minorHAnsi" w:hAnsiTheme="minorHAnsi"/>
        </w:rPr>
        <w:t>Zastosowane materiały i środki muszą być bezzapachowe i bezwonne i nie mogą przenikać przez instalację wentylacji i klimatyzacji lub ciągi komunikacyjne do pomieszczeń o charakterze medycznym lub do pomieszczeń, w których przebywają pacjenci oraz na ciągi komunikacyjne.</w:t>
      </w:r>
    </w:p>
    <w:p>
      <w:pPr>
        <w:pStyle w:val="Default"/>
        <w:spacing w:lineRule="auto" w:line="276"/>
        <w:jc w:val="both"/>
        <w:rPr/>
      </w:pPr>
      <w:r>
        <w:rPr>
          <w:rFonts w:cs="Calibri" w:ascii="Calibri" w:hAnsi="Calibri"/>
          <w:color w:val="auto"/>
        </w:rPr>
        <w:t>11. Wykonawca musi przewidzieć prowadzenie prac po godzinie 15</w:t>
      </w:r>
      <w:r>
        <w:rPr>
          <w:rFonts w:cs="Calibri" w:ascii="Calibri" w:hAnsi="Calibri"/>
          <w:color w:val="auto"/>
          <w:u w:val="single"/>
          <w:vertAlign w:val="superscript"/>
        </w:rPr>
        <w:t>00</w:t>
      </w:r>
      <w:r>
        <w:rPr>
          <w:rFonts w:cs="Calibri" w:ascii="Calibri" w:hAnsi="Calibri"/>
          <w:color w:val="auto"/>
        </w:rPr>
        <w:t>, w nocy lub w dni wolne od pracy, tj. soboty, niedziele i święta.</w:t>
      </w:r>
    </w:p>
    <w:p>
      <w:pPr>
        <w:pStyle w:val="NoSpacing"/>
        <w:spacing w:lineRule="auto" w:line="276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12. Wykonawca dla realizacji prac w czerpni dla maszynowni wentylacji 036, 039, 040 </w:t>
        <w:br/>
        <w:t>w przyziemiu powinien przewidzieć rusztowanie z uwagi na wysokość w części wejścia świeżego powietrza.</w:t>
      </w:r>
    </w:p>
    <w:p>
      <w:pPr>
        <w:pStyle w:val="NoSpacing"/>
        <w:spacing w:lineRule="auto" w:line="27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14. Zamawiający </w:t>
      </w:r>
      <w:r>
        <w:rPr>
          <w:rFonts w:cs="Calibri"/>
          <w:b/>
          <w:sz w:val="24"/>
          <w:szCs w:val="24"/>
        </w:rPr>
        <w:t>zaleca</w:t>
      </w:r>
      <w:r>
        <w:rPr>
          <w:rFonts w:cs="Calibri"/>
          <w:sz w:val="24"/>
          <w:szCs w:val="24"/>
        </w:rPr>
        <w:t xml:space="preserve"> aby Wykonawca przed złożeniem oferty wykonał wizję lokalną na obiekcie.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5"/>
        </w:numPr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Termin wykonania zadania</w:t>
      </w:r>
    </w:p>
    <w:p>
      <w:pPr>
        <w:pStyle w:val="NoSpacing"/>
        <w:ind w:left="7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Termin  kompleksowego wykonania ww. zakresu wynosi 60 dni od daty podpisania umowy.</w:t>
      </w:r>
    </w:p>
    <w:p>
      <w:pPr>
        <w:pStyle w:val="NoSpacing"/>
        <w:jc w:val="both"/>
        <w:rPr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Tahom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Web"/>
      <w:spacing w:lineRule="auto" w:line="360" w:before="0" w:after="0"/>
      <w:jc w:val="right"/>
      <w:rPr/>
    </w:pPr>
    <w:r>
      <w:rPr>
        <w:rFonts w:cs="Tahoma" w:ascii="Tahoma" w:hAnsi="Tahoma"/>
        <w:b/>
        <w:bCs/>
        <w:i/>
        <w:iCs/>
      </w:rPr>
      <w:t>Załącznik nr 1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40" w:before="0" w:after="16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qFormat/>
    <w:rPr>
      <w:rFonts w:ascii="Segoe UI" w:hAnsi="Segoe UI" w:eastAsia="Segoe UI" w:cs="Segoe UI"/>
      <w:sz w:val="18"/>
      <w:szCs w:val="18"/>
    </w:rPr>
  </w:style>
  <w:style w:type="character" w:styleId="Mocnewyrnione" w:customStyle="1">
    <w:name w:val="Mocne wyróżnione"/>
    <w:basedOn w:val="DefaultParagraphFont"/>
    <w:qFormat/>
    <w:rPr>
      <w:b/>
      <w:bCs/>
    </w:rPr>
  </w:style>
  <w:style w:type="character" w:styleId="Internetlink" w:customStyle="1">
    <w:name w:val="Hyperlink"/>
    <w:basedOn w:val="DefaultParagraphFont"/>
    <w:qFormat/>
    <w:rPr>
      <w:color w:val="0000FF"/>
      <w:u w:val="single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c342c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342c5"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lineRule="atLeast" w:line="360" w:before="9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6"/>
      <w:szCs w:val="26"/>
      <w:lang w:eastAsia="pl-PL" w:bidi="hi-IN" w:val="pl-PL"/>
    </w:rPr>
  </w:style>
  <w:style w:type="paragraph" w:styleId="Textbody" w:customStyle="1">
    <w:name w:val="Text body"/>
    <w:basedOn w:val="Standard"/>
    <w:qFormat/>
    <w:pPr>
      <w:suppressAutoHyphens w:val="false"/>
      <w:jc w:val="both"/>
    </w:pPr>
    <w:rPr>
      <w:sz w:val="28"/>
      <w:szCs w:val="20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Standard"/>
    <w:qFormat/>
    <w:pPr>
      <w:spacing w:lineRule="auto" w:line="240" w:before="0" w:after="0"/>
    </w:pPr>
    <w:rPr>
      <w:rFonts w:ascii="Segoe UI" w:hAnsi="Segoe UI" w:eastAsia="Segoe UI" w:cs="Segoe UI"/>
      <w:sz w:val="18"/>
      <w:szCs w:val="18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en-US" w:bidi="ar-SA"/>
    </w:rPr>
  </w:style>
  <w:style w:type="paragraph" w:styleId="Default" w:customStyle="1">
    <w:name w:val="Default"/>
    <w:qFormat/>
    <w:pPr>
      <w:widowControl/>
      <w:bidi w:val="0"/>
      <w:spacing w:lineRule="auto" w:line="240" w:before="0" w:after="0"/>
      <w:jc w:val="left"/>
      <w:textAlignment w:val="auto"/>
    </w:pPr>
    <w:rPr>
      <w:rFonts w:ascii="Times New Roman" w:hAnsi="Times New Roman" w:cs="Times New Roman" w:eastAsia="SimSun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342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342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qFormat/>
    <w:rsid w:val="00c342c5"/>
    <w:pPr>
      <w:widowControl/>
      <w:spacing w:lineRule="auto" w:line="240" w:before="280" w:after="119"/>
      <w:textAlignment w:val="auto"/>
    </w:pPr>
    <w:rPr>
      <w:rFonts w:ascii="Times New Roman" w:hAnsi="Times New Roman" w:eastAsia="Times New Roman" w:cs="Times New Roman"/>
      <w:kern w:val="0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Application>LibreOffice/7.0.6.2$Windows_x86 LibreOffice_project/144abb84a525d8e30c9dbbefa69cbbf2d8d4ae3b</Application>
  <AppVersion>15.0000</AppVersion>
  <Pages>6</Pages>
  <Words>1788</Words>
  <Characters>10641</Characters>
  <CharactersWithSpaces>12107</CharactersWithSpaces>
  <Paragraphs>413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2024-08-23T06:39:00Z</dcterms:created>
  <dc:creator>Michał Ryzio</dc:creator>
  <dc:description/>
  <dc:language>pl-PL</dc:language>
  <cp:lastModifiedBy>Tomasz Wielkiewicz</cp:lastModifiedBy>
  <cp:lastPrinted>2024-08-26T06:40:00Z</cp:lastPrinted>
  <dcterms:modified xsi:type="dcterms:W3CDTF">2024-08-26T06:43:00Z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