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5FCD" w:rsidRPr="00236156" w:rsidRDefault="00F4056C">
      <w:pPr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 xml:space="preserve"> </w:t>
      </w:r>
      <w:r w:rsidR="00352061" w:rsidRPr="00236156">
        <w:rPr>
          <w:rFonts w:ascii="Tahoma" w:hAnsi="Tahoma" w:cs="Tahoma"/>
          <w:b/>
          <w:sz w:val="20"/>
          <w:szCs w:val="20"/>
        </w:rPr>
        <w:t xml:space="preserve"> </w:t>
      </w:r>
      <w:r w:rsidR="0020547E" w:rsidRPr="00236156">
        <w:rPr>
          <w:rFonts w:ascii="Tahoma" w:hAnsi="Tahoma" w:cs="Tahoma"/>
          <w:b/>
          <w:sz w:val="20"/>
          <w:szCs w:val="20"/>
        </w:rPr>
        <w:t xml:space="preserve"> OPIS PRZEDMIOTU ZAMÓWIENIA</w:t>
      </w:r>
    </w:p>
    <w:p w:rsidR="00DF5FCD" w:rsidRPr="00236156" w:rsidRDefault="00DF5FCD">
      <w:pPr>
        <w:rPr>
          <w:rFonts w:ascii="Tahoma" w:hAnsi="Tahoma" w:cs="Tahoma"/>
          <w:sz w:val="20"/>
          <w:szCs w:val="20"/>
        </w:rPr>
      </w:pPr>
    </w:p>
    <w:p w:rsidR="00DF5FCD" w:rsidRPr="00236156" w:rsidRDefault="0020547E">
      <w:pPr>
        <w:numPr>
          <w:ilvl w:val="0"/>
          <w:numId w:val="1"/>
        </w:numPr>
        <w:ind w:left="426"/>
        <w:jc w:val="both"/>
        <w:rPr>
          <w:rFonts w:ascii="Tahoma" w:hAnsi="Tahoma" w:cs="Tahoma"/>
          <w:b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>Przedmiot zamówienia</w:t>
      </w:r>
    </w:p>
    <w:p w:rsidR="00DF5FCD" w:rsidRPr="00236156" w:rsidRDefault="00DF5FCD">
      <w:pPr>
        <w:spacing w:after="200" w:line="276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DF5FCD" w:rsidRPr="00236156" w:rsidRDefault="0020547E">
      <w:pPr>
        <w:spacing w:line="276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Przedmiotem zamówienia jest:</w:t>
      </w:r>
    </w:p>
    <w:p w:rsidR="00DF5FCD" w:rsidRPr="00236156" w:rsidRDefault="0020547E">
      <w:pPr>
        <w:jc w:val="both"/>
        <w:rPr>
          <w:rFonts w:ascii="Tahoma" w:hAnsi="Tahoma" w:cs="Tahoma"/>
          <w:b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 xml:space="preserve">Budowa sieci kanalizacji sanitarnej wraz z przepompownią ścieków </w:t>
      </w:r>
      <w:r w:rsidR="00085F38" w:rsidRPr="00236156">
        <w:rPr>
          <w:rFonts w:ascii="Tahoma" w:hAnsi="Tahoma" w:cs="Tahoma"/>
          <w:b/>
          <w:sz w:val="20"/>
          <w:szCs w:val="20"/>
        </w:rPr>
        <w:t xml:space="preserve">w pasie drogowym ul. Na Zapleczu </w:t>
      </w:r>
      <w:r w:rsidRPr="00236156">
        <w:rPr>
          <w:rFonts w:ascii="Tahoma" w:hAnsi="Tahoma" w:cs="Tahoma"/>
          <w:b/>
          <w:sz w:val="20"/>
          <w:szCs w:val="20"/>
        </w:rPr>
        <w:t>w Toruniu</w:t>
      </w:r>
      <w:r w:rsidR="00934365" w:rsidRPr="00236156">
        <w:rPr>
          <w:rFonts w:ascii="Tahoma" w:hAnsi="Tahoma" w:cs="Tahoma"/>
          <w:b/>
          <w:sz w:val="20"/>
          <w:szCs w:val="20"/>
        </w:rPr>
        <w:t xml:space="preserve"> lokalizacja obręb 46, dz. </w:t>
      </w:r>
      <w:r w:rsidR="00C35D3C">
        <w:rPr>
          <w:rFonts w:ascii="Tahoma" w:hAnsi="Tahoma" w:cs="Tahoma"/>
          <w:b/>
          <w:sz w:val="20"/>
          <w:szCs w:val="20"/>
        </w:rPr>
        <w:t>g</w:t>
      </w:r>
      <w:r w:rsidR="00934365" w:rsidRPr="00236156">
        <w:rPr>
          <w:rFonts w:ascii="Tahoma" w:hAnsi="Tahoma" w:cs="Tahoma"/>
          <w:b/>
          <w:sz w:val="20"/>
          <w:szCs w:val="20"/>
        </w:rPr>
        <w:t xml:space="preserve">eod. </w:t>
      </w:r>
      <w:r w:rsidR="00087A8F" w:rsidRPr="00236156">
        <w:rPr>
          <w:rFonts w:ascii="Tahoma" w:hAnsi="Tahoma" w:cs="Tahoma"/>
          <w:b/>
          <w:sz w:val="20"/>
          <w:szCs w:val="20"/>
        </w:rPr>
        <w:t>n</w:t>
      </w:r>
      <w:r w:rsidR="00934365" w:rsidRPr="00236156">
        <w:rPr>
          <w:rFonts w:ascii="Tahoma" w:hAnsi="Tahoma" w:cs="Tahoma"/>
          <w:b/>
          <w:sz w:val="20"/>
          <w:szCs w:val="20"/>
        </w:rPr>
        <w:t>r 399/2</w:t>
      </w:r>
    </w:p>
    <w:p w:rsidR="00DF5FCD" w:rsidRPr="00236156" w:rsidRDefault="00DF5FCD">
      <w:pPr>
        <w:jc w:val="both"/>
        <w:rPr>
          <w:rFonts w:ascii="Tahoma" w:hAnsi="Tahoma" w:cs="Tahoma"/>
          <w:sz w:val="20"/>
          <w:szCs w:val="20"/>
        </w:rPr>
      </w:pPr>
    </w:p>
    <w:p w:rsidR="00DF5FCD" w:rsidRPr="00236156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>Zakres robót</w:t>
      </w:r>
    </w:p>
    <w:p w:rsidR="00DF5FCD" w:rsidRPr="00236156" w:rsidRDefault="00DF5FCD">
      <w:pPr>
        <w:ind w:left="426"/>
        <w:rPr>
          <w:rFonts w:ascii="Tahoma" w:hAnsi="Tahoma" w:cs="Tahoma"/>
          <w:b/>
          <w:sz w:val="20"/>
          <w:szCs w:val="20"/>
        </w:rPr>
      </w:pPr>
    </w:p>
    <w:p w:rsidR="00DF5FCD" w:rsidRPr="00236156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36156">
        <w:rPr>
          <w:rFonts w:ascii="Tahoma" w:hAnsi="Tahoma" w:cs="Tahoma"/>
          <w:color w:val="000000"/>
          <w:sz w:val="20"/>
          <w:szCs w:val="20"/>
        </w:rPr>
        <w:t xml:space="preserve">- kanał grawitacyjny PCV 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 xml:space="preserve">SN8 </w:t>
      </w:r>
      <w:r w:rsidRPr="00236156">
        <w:rPr>
          <w:rFonts w:ascii="Tahoma" w:hAnsi="Tahoma" w:cs="Tahoma"/>
          <w:color w:val="000000"/>
          <w:sz w:val="20"/>
          <w:szCs w:val="20"/>
        </w:rPr>
        <w:t>DN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>45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0 – 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>2,00</w:t>
      </w:r>
      <w:r w:rsidR="00FA4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36156">
        <w:rPr>
          <w:rFonts w:ascii="Tahoma" w:hAnsi="Tahoma" w:cs="Tahoma"/>
          <w:color w:val="000000"/>
          <w:sz w:val="20"/>
          <w:szCs w:val="20"/>
        </w:rPr>
        <w:t>m</w:t>
      </w:r>
    </w:p>
    <w:p w:rsidR="00DF5FCD" w:rsidRPr="00236156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36156">
        <w:rPr>
          <w:rFonts w:ascii="Tahoma" w:hAnsi="Tahoma" w:cs="Tahoma"/>
          <w:color w:val="000000"/>
          <w:sz w:val="20"/>
          <w:szCs w:val="20"/>
        </w:rPr>
        <w:t xml:space="preserve">- 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>kanał grawitacyjny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 PCV 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 xml:space="preserve">SN8 </w:t>
      </w:r>
      <w:r w:rsidRPr="00236156">
        <w:rPr>
          <w:rFonts w:ascii="Tahoma" w:hAnsi="Tahoma" w:cs="Tahoma"/>
          <w:color w:val="000000"/>
          <w:sz w:val="20"/>
          <w:szCs w:val="20"/>
        </w:rPr>
        <w:t>DN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>300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 – </w:t>
      </w:r>
      <w:r w:rsidR="0086001E" w:rsidRPr="00236156">
        <w:rPr>
          <w:rFonts w:ascii="Tahoma" w:hAnsi="Tahoma" w:cs="Tahoma"/>
          <w:color w:val="000000"/>
          <w:sz w:val="20"/>
          <w:szCs w:val="20"/>
        </w:rPr>
        <w:t>9,</w:t>
      </w:r>
      <w:r w:rsidRPr="00236156">
        <w:rPr>
          <w:rFonts w:ascii="Tahoma" w:hAnsi="Tahoma" w:cs="Tahoma"/>
          <w:color w:val="000000"/>
          <w:sz w:val="20"/>
          <w:szCs w:val="20"/>
        </w:rPr>
        <w:t>5</w:t>
      </w:r>
      <w:r w:rsidR="00FA4109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36156">
        <w:rPr>
          <w:rFonts w:ascii="Tahoma" w:hAnsi="Tahoma" w:cs="Tahoma"/>
          <w:color w:val="000000"/>
          <w:sz w:val="20"/>
          <w:szCs w:val="20"/>
        </w:rPr>
        <w:t>m</w:t>
      </w:r>
    </w:p>
    <w:p w:rsidR="00DF5FCD" w:rsidRPr="00236156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36156">
        <w:rPr>
          <w:rFonts w:ascii="Tahoma" w:hAnsi="Tahoma" w:cs="Tahoma"/>
          <w:color w:val="000000"/>
          <w:sz w:val="20"/>
          <w:szCs w:val="20"/>
        </w:rPr>
        <w:t>- przepompownia ścieków z wyposażeniem</w:t>
      </w:r>
      <w:r w:rsidR="001C4775" w:rsidRPr="0023615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60977">
        <w:rPr>
          <w:rFonts w:ascii="Tahoma" w:hAnsi="Tahoma" w:cs="Tahoma"/>
          <w:color w:val="000000"/>
          <w:sz w:val="20"/>
          <w:szCs w:val="20"/>
        </w:rPr>
        <w:t>w zbiorniku DN 1500, 2 pompy zatapialne na prowadnicach rurowych</w:t>
      </w:r>
      <w:r w:rsidRPr="00236156">
        <w:rPr>
          <w:rFonts w:ascii="Tahoma" w:hAnsi="Tahoma" w:cs="Tahoma"/>
          <w:color w:val="000000"/>
          <w:sz w:val="20"/>
          <w:szCs w:val="20"/>
        </w:rPr>
        <w:t>–</w:t>
      </w:r>
      <w:r w:rsidR="00760977">
        <w:rPr>
          <w:rFonts w:ascii="Tahoma" w:hAnsi="Tahoma" w:cs="Tahoma"/>
          <w:color w:val="000000"/>
          <w:sz w:val="20"/>
          <w:szCs w:val="20"/>
        </w:rPr>
        <w:t>, układ zasilająco-sterujący -</w:t>
      </w:r>
      <w:r w:rsidR="00403411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1 </w:t>
      </w:r>
      <w:proofErr w:type="spellStart"/>
      <w:r w:rsidRPr="00236156">
        <w:rPr>
          <w:rFonts w:ascii="Tahoma" w:hAnsi="Tahoma" w:cs="Tahoma"/>
          <w:color w:val="000000"/>
          <w:sz w:val="20"/>
          <w:szCs w:val="20"/>
        </w:rPr>
        <w:t>kpl</w:t>
      </w:r>
      <w:proofErr w:type="spellEnd"/>
      <w:r w:rsidRPr="00236156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DF5FCD" w:rsidRPr="00236156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36156">
        <w:rPr>
          <w:rFonts w:ascii="Tahoma" w:hAnsi="Tahoma" w:cs="Tahoma"/>
          <w:color w:val="000000"/>
          <w:sz w:val="20"/>
          <w:szCs w:val="20"/>
        </w:rPr>
        <w:t xml:space="preserve">- </w:t>
      </w:r>
      <w:r w:rsidR="00760977">
        <w:rPr>
          <w:rFonts w:ascii="Tahoma" w:hAnsi="Tahoma" w:cs="Tahoma"/>
          <w:color w:val="000000"/>
          <w:sz w:val="20"/>
          <w:szCs w:val="20"/>
        </w:rPr>
        <w:t xml:space="preserve">zasilanie przepompowni, 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instalacje elektroenergetyczne i teletechniczne – 1 </w:t>
      </w:r>
      <w:proofErr w:type="spellStart"/>
      <w:r w:rsidRPr="00236156">
        <w:rPr>
          <w:rFonts w:ascii="Tahoma" w:hAnsi="Tahoma" w:cs="Tahoma"/>
          <w:color w:val="000000"/>
          <w:sz w:val="20"/>
          <w:szCs w:val="20"/>
        </w:rPr>
        <w:t>kpl</w:t>
      </w:r>
      <w:proofErr w:type="spellEnd"/>
    </w:p>
    <w:p w:rsidR="00DF5FCD" w:rsidRPr="00236156" w:rsidRDefault="00DF5FCD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DF5FCD" w:rsidRPr="00236156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36156">
        <w:rPr>
          <w:rFonts w:ascii="Tahoma" w:hAnsi="Tahoma" w:cs="Tahoma"/>
          <w:bCs/>
          <w:color w:val="000000"/>
          <w:sz w:val="20"/>
          <w:szCs w:val="20"/>
        </w:rPr>
        <w:t xml:space="preserve">Szczegółowy opis przedmiotu zamówienia stanowi dokumentacja techniczna </w:t>
      </w:r>
      <w:proofErr w:type="gramStart"/>
      <w:r w:rsidRPr="00236156">
        <w:rPr>
          <w:rFonts w:ascii="Tahoma" w:hAnsi="Tahoma" w:cs="Tahoma"/>
          <w:bCs/>
          <w:color w:val="000000"/>
          <w:sz w:val="20"/>
          <w:szCs w:val="20"/>
        </w:rPr>
        <w:t>pn</w:t>
      </w:r>
      <w:r w:rsidR="00236156">
        <w:rPr>
          <w:rFonts w:ascii="Tahoma" w:hAnsi="Tahoma" w:cs="Tahoma"/>
          <w:bCs/>
          <w:color w:val="000000"/>
          <w:sz w:val="20"/>
          <w:szCs w:val="20"/>
        </w:rPr>
        <w:t>.</w:t>
      </w:r>
      <w:r w:rsidR="00B536A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236156">
        <w:rPr>
          <w:rFonts w:ascii="Tahoma" w:hAnsi="Tahoma" w:cs="Tahoma"/>
          <w:bCs/>
          <w:color w:val="000000"/>
          <w:sz w:val="20"/>
          <w:szCs w:val="20"/>
        </w:rPr>
        <w:t>”</w:t>
      </w:r>
      <w:r w:rsidRPr="00236156">
        <w:rPr>
          <w:rFonts w:ascii="Tahoma" w:hAnsi="Tahoma" w:cs="Tahoma"/>
          <w:b/>
          <w:bCs/>
          <w:iCs/>
          <w:sz w:val="20"/>
          <w:szCs w:val="20"/>
        </w:rPr>
        <w:t>Budowa</w:t>
      </w:r>
      <w:proofErr w:type="gramEnd"/>
      <w:r w:rsidRPr="00236156">
        <w:rPr>
          <w:rFonts w:ascii="Tahoma" w:hAnsi="Tahoma" w:cs="Tahoma"/>
          <w:b/>
          <w:bCs/>
          <w:iCs/>
          <w:sz w:val="20"/>
          <w:szCs w:val="20"/>
        </w:rPr>
        <w:t xml:space="preserve"> sieci kanalizacji sanitarnej, inst</w:t>
      </w:r>
      <w:r w:rsidR="00934365" w:rsidRPr="00236156">
        <w:rPr>
          <w:rFonts w:ascii="Tahoma" w:hAnsi="Tahoma" w:cs="Tahoma"/>
          <w:b/>
          <w:bCs/>
          <w:iCs/>
          <w:sz w:val="20"/>
          <w:szCs w:val="20"/>
        </w:rPr>
        <w:t>alacji elektrycznej</w:t>
      </w:r>
      <w:r w:rsidRPr="00236156">
        <w:rPr>
          <w:rFonts w:ascii="Tahoma" w:hAnsi="Tahoma" w:cs="Tahoma"/>
          <w:b/>
          <w:bCs/>
          <w:iCs/>
          <w:sz w:val="20"/>
          <w:szCs w:val="20"/>
        </w:rPr>
        <w:t xml:space="preserve"> w ramach zadania projektowego pt.: Budowa kanalizacji sanitarnej </w:t>
      </w:r>
      <w:r w:rsidR="00934365" w:rsidRPr="00236156">
        <w:rPr>
          <w:rFonts w:ascii="Tahoma" w:hAnsi="Tahoma" w:cs="Tahoma"/>
          <w:b/>
          <w:bCs/>
          <w:iCs/>
          <w:sz w:val="20"/>
          <w:szCs w:val="20"/>
        </w:rPr>
        <w:t>wraz z przepompownią</w:t>
      </w:r>
      <w:r w:rsidRPr="00236156">
        <w:rPr>
          <w:rFonts w:ascii="Tahoma" w:hAnsi="Tahoma" w:cs="Tahoma"/>
          <w:b/>
          <w:bCs/>
          <w:iCs/>
          <w:sz w:val="20"/>
          <w:szCs w:val="20"/>
        </w:rPr>
        <w:t xml:space="preserve"> przy ul. Na</w:t>
      </w:r>
      <w:r w:rsidR="00934365" w:rsidRPr="00236156">
        <w:rPr>
          <w:rFonts w:ascii="Tahoma" w:hAnsi="Tahoma" w:cs="Tahoma"/>
          <w:b/>
          <w:bCs/>
          <w:iCs/>
          <w:sz w:val="20"/>
          <w:szCs w:val="20"/>
        </w:rPr>
        <w:t xml:space="preserve"> Zapleczu </w:t>
      </w:r>
      <w:r w:rsidRPr="00236156">
        <w:rPr>
          <w:rFonts w:ascii="Tahoma" w:hAnsi="Tahoma" w:cs="Tahoma"/>
          <w:b/>
          <w:bCs/>
          <w:iCs/>
          <w:sz w:val="20"/>
          <w:szCs w:val="20"/>
        </w:rPr>
        <w:t>w Toruniu”</w:t>
      </w:r>
      <w:r w:rsidRPr="00236156">
        <w:rPr>
          <w:rFonts w:ascii="Tahoma" w:hAnsi="Tahoma" w:cs="Tahoma"/>
          <w:bCs/>
          <w:color w:val="000000"/>
          <w:sz w:val="20"/>
          <w:szCs w:val="20"/>
        </w:rPr>
        <w:t xml:space="preserve">, opracowana przez </w:t>
      </w:r>
      <w:r w:rsidR="00934365" w:rsidRPr="00236156">
        <w:rPr>
          <w:rFonts w:ascii="Tahoma" w:hAnsi="Tahoma" w:cs="Tahoma"/>
          <w:bCs/>
          <w:color w:val="000000"/>
          <w:sz w:val="20"/>
          <w:szCs w:val="20"/>
        </w:rPr>
        <w:t>Projektowanie i Nadzory Wod- Kan Jan Kretkowski</w:t>
      </w:r>
      <w:r w:rsidRPr="00236156">
        <w:rPr>
          <w:rFonts w:ascii="Tahoma" w:hAnsi="Tahoma" w:cs="Tahoma"/>
          <w:bCs/>
          <w:color w:val="000000"/>
          <w:sz w:val="20"/>
          <w:szCs w:val="20"/>
        </w:rPr>
        <w:t xml:space="preserve"> wraz ze Specyfikacją techniczną wykonania i odbioru robót.</w:t>
      </w:r>
    </w:p>
    <w:p w:rsidR="00DF5FCD" w:rsidRPr="00236156" w:rsidRDefault="0020547E">
      <w:pPr>
        <w:jc w:val="both"/>
        <w:rPr>
          <w:rFonts w:ascii="Tahoma" w:hAnsi="Tahoma" w:cs="Tahoma"/>
          <w:color w:val="000000"/>
          <w:sz w:val="20"/>
          <w:szCs w:val="20"/>
        </w:rPr>
      </w:pPr>
      <w:r w:rsidRPr="00236156">
        <w:rPr>
          <w:rFonts w:ascii="Tahoma" w:hAnsi="Tahoma" w:cs="Tahoma"/>
          <w:bCs/>
          <w:color w:val="000000"/>
          <w:sz w:val="20"/>
          <w:szCs w:val="20"/>
        </w:rPr>
        <w:t>Przedmiotem zamówienia jest wykonanie całości zakresu przedstawionej w dokumentacji projektowej.</w:t>
      </w:r>
    </w:p>
    <w:p w:rsidR="00DF5FCD" w:rsidRPr="00236156" w:rsidRDefault="00DF5FCD">
      <w:pPr>
        <w:ind w:left="360"/>
        <w:jc w:val="both"/>
        <w:rPr>
          <w:rFonts w:ascii="Tahoma" w:hAnsi="Tahoma" w:cs="Tahoma"/>
          <w:color w:val="000000"/>
          <w:sz w:val="20"/>
          <w:szCs w:val="20"/>
        </w:rPr>
      </w:pPr>
    </w:p>
    <w:p w:rsidR="00DF5FCD" w:rsidRPr="00236156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236156">
        <w:rPr>
          <w:rFonts w:ascii="Tahoma" w:hAnsi="Tahoma" w:cs="Tahoma"/>
          <w:b/>
          <w:color w:val="000000" w:themeColor="text1"/>
          <w:sz w:val="20"/>
          <w:szCs w:val="20"/>
        </w:rPr>
        <w:t>Materiały</w:t>
      </w:r>
    </w:p>
    <w:p w:rsidR="00DF5FCD" w:rsidRPr="00236156" w:rsidRDefault="0020547E">
      <w:p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Materiały stosować zgodnie z projektem budowlanym z uwzględnieniem „Podstawowych wymagań technicznych rur, kształtek i obiektów stawianych nowoprojektowanym układom kanalizacji sanitarnej” oraz „Wytycznych technicznych do projektowania i realizacji sieci, przyłączy oraz urządzeń wodociągowych i kanalizacyjnych” obowiązujących w Toruńskich Wodociągach Sp. z o.o., a które są dostępne na stronie www.wodociagi.torun.com.pl w zakładce „Strefa klienta – Jak załatwić sprawę – Załatwianie spraw – Wytyczne techniczne”.</w:t>
      </w:r>
    </w:p>
    <w:p w:rsidR="00DF5FCD" w:rsidRPr="00236156" w:rsidRDefault="00DF5FCD">
      <w:pPr>
        <w:pStyle w:val="Opis"/>
        <w:spacing w:line="240" w:lineRule="auto"/>
        <w:rPr>
          <w:rFonts w:cs="Tahoma"/>
        </w:rPr>
      </w:pPr>
    </w:p>
    <w:p w:rsidR="00DF5FCD" w:rsidRPr="00236156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>Obowiązki Wykonawcy</w:t>
      </w:r>
    </w:p>
    <w:p w:rsidR="00DF5FCD" w:rsidRPr="00236156" w:rsidRDefault="00DF5FCD">
      <w:pPr>
        <w:rPr>
          <w:rFonts w:ascii="Tahoma" w:hAnsi="Tahoma" w:cs="Tahoma"/>
          <w:b/>
          <w:sz w:val="20"/>
          <w:szCs w:val="20"/>
        </w:rPr>
      </w:pP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eastAsia="Calibri" w:hAnsi="Tahoma" w:cs="Tahoma"/>
          <w:sz w:val="20"/>
          <w:szCs w:val="20"/>
          <w:lang w:eastAsia="en-US"/>
        </w:rPr>
        <w:t>W ramach organizacji placu budowy realizacja własnym kosztem i staraniem obiektów tymczasowego zaplecza budowy oraz poniesienie kosztów zużycia wody i energii w okresie realizacji robót</w:t>
      </w:r>
      <w:r w:rsidRPr="00236156">
        <w:rPr>
          <w:rFonts w:ascii="Tahoma" w:hAnsi="Tahoma" w:cs="Tahoma"/>
          <w:sz w:val="20"/>
          <w:szCs w:val="20"/>
        </w:rPr>
        <w:t xml:space="preserve"> oraz pozyskanie decyzji na zajęcie pasa drogowego na czas prowadzenia robót i dokonanie stosownych opłat.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Dysponowanie dla potrzeb realizacji niniejszego zadania osobami: kierownika budowy posiadającego uprawnienia budowlane do kierowania robotami budowlanymi o specjalności instalacyjnej w zakresie sieci wod-kan oraz kierownika robót w specjalności instalacyjnej elektroenergetycznej</w:t>
      </w:r>
      <w:r w:rsidR="000952A2">
        <w:rPr>
          <w:rFonts w:ascii="Tahoma" w:hAnsi="Tahoma" w:cs="Tahoma"/>
          <w:bCs/>
          <w:iCs/>
          <w:sz w:val="20"/>
          <w:szCs w:val="20"/>
        </w:rPr>
        <w:t>.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Wykonanie robót ziemnych wraz umocnieniem wykopów, odwiezieniem urobku na czasowe składowisko</w:t>
      </w:r>
      <w:r w:rsidRPr="00236156">
        <w:rPr>
          <w:rFonts w:ascii="Tahoma" w:hAnsi="Tahoma" w:cs="Tahoma"/>
          <w:bCs/>
          <w:iCs/>
          <w:sz w:val="20"/>
          <w:szCs w:val="20"/>
        </w:rPr>
        <w:t xml:space="preserve"> lub składowania w sąsiedztwie inwestycji, jeżeli będzie taka możliwość.</w:t>
      </w:r>
    </w:p>
    <w:p w:rsidR="00DF5FCD" w:rsidRPr="00236156" w:rsidRDefault="0020547E" w:rsidP="000D0EA6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Wykonanie robót drogowych – z odtworzeniem nawierzchni do stanu pierwotnego stosownie do występującej nawierzchni w do stanu nie gorszego niż przed robotami (zgodnie z uzgodnieniami dokonanymi z właścicielami terenu). Odtworzenie terenu do jego pierwotnego stanu i uzyskanie pisemnego potwierdzenia tego faktu od właściciela stanowi bezwzględny obowiązek wykonawcy.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Wykonanie organizacji ruchu i zabezpieczenie robót w czasie realizacji zadania.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 xml:space="preserve">Rozbiórka umocnienia, zasypanie wykopu z zagęszczeniem gruntu na całej głębokości wykopu. Po zakończeniu budowy Wykonawca przedstawi MZD </w:t>
      </w:r>
      <w:r w:rsidR="00CA6D88" w:rsidRPr="00236156">
        <w:rPr>
          <w:rFonts w:ascii="Tahoma" w:hAnsi="Tahoma" w:cs="Tahoma"/>
          <w:sz w:val="20"/>
          <w:szCs w:val="20"/>
        </w:rPr>
        <w:t xml:space="preserve">i właścicielom nieruchomości </w:t>
      </w:r>
      <w:r w:rsidRPr="00236156">
        <w:rPr>
          <w:rFonts w:ascii="Tahoma" w:hAnsi="Tahoma" w:cs="Tahoma"/>
          <w:sz w:val="20"/>
          <w:szCs w:val="20"/>
        </w:rPr>
        <w:t>do akceptacji protokoły zagęszczenia gruntu zgodnie z ich wymogami.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Przestrzeganie uzgodnień z gestorami sieci, właścicielami posesji dla których realizowane są zadania oraz z Miejskim Zarządem Dróg.</w:t>
      </w:r>
      <w:r w:rsidR="00C35D3C">
        <w:rPr>
          <w:rFonts w:ascii="Tahoma" w:hAnsi="Tahoma" w:cs="Tahoma"/>
          <w:sz w:val="20"/>
          <w:szCs w:val="20"/>
        </w:rPr>
        <w:t xml:space="preserve"> Należy także zwrócić uwagę, że podłączenie zasilania obiektu wykonywane jest </w:t>
      </w:r>
      <w:proofErr w:type="spellStart"/>
      <w:r w:rsidR="00C35D3C">
        <w:rPr>
          <w:rFonts w:ascii="Tahoma" w:hAnsi="Tahoma" w:cs="Tahoma"/>
          <w:sz w:val="20"/>
          <w:szCs w:val="20"/>
        </w:rPr>
        <w:t>zalicznikiowo</w:t>
      </w:r>
      <w:proofErr w:type="spellEnd"/>
      <w:r w:rsidR="00C35D3C">
        <w:rPr>
          <w:rFonts w:ascii="Tahoma" w:hAnsi="Tahoma" w:cs="Tahoma"/>
          <w:sz w:val="20"/>
          <w:szCs w:val="20"/>
        </w:rPr>
        <w:t xml:space="preserve"> (punkt RG1), na terenie prywatnej firmy ………</w:t>
      </w:r>
      <w:proofErr w:type="gramStart"/>
      <w:r w:rsidR="00C35D3C">
        <w:rPr>
          <w:rFonts w:ascii="Tahoma" w:hAnsi="Tahoma" w:cs="Tahoma"/>
          <w:sz w:val="20"/>
          <w:szCs w:val="20"/>
        </w:rPr>
        <w:t>… .</w:t>
      </w:r>
      <w:proofErr w:type="gramEnd"/>
      <w:r w:rsidR="00C35D3C">
        <w:rPr>
          <w:rFonts w:ascii="Tahoma" w:hAnsi="Tahoma" w:cs="Tahoma"/>
          <w:sz w:val="20"/>
          <w:szCs w:val="20"/>
        </w:rPr>
        <w:t xml:space="preserve"> </w:t>
      </w:r>
    </w:p>
    <w:p w:rsidR="007E2C1E" w:rsidRPr="00236156" w:rsidRDefault="0020547E" w:rsidP="007E2C1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lastRenderedPageBreak/>
        <w:t>Wykonanie zabezpieczenia urządzeń podziemnych krzyżujących się z trasą realizowanych sieci.</w:t>
      </w:r>
    </w:p>
    <w:p w:rsidR="00DF5FCD" w:rsidRPr="00236156" w:rsidRDefault="00E947A5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Należy przewidzieć konieczność odwodnienia wykopów</w:t>
      </w:r>
      <w:r w:rsidR="00565E1F">
        <w:rPr>
          <w:rFonts w:ascii="Tahoma" w:hAnsi="Tahoma" w:cs="Tahoma"/>
          <w:sz w:val="20"/>
          <w:szCs w:val="20"/>
        </w:rPr>
        <w:t xml:space="preserve"> w trakcie robót</w:t>
      </w:r>
      <w:r w:rsidRPr="00236156">
        <w:rPr>
          <w:rFonts w:ascii="Tahoma" w:hAnsi="Tahoma" w:cs="Tahoma"/>
          <w:sz w:val="20"/>
          <w:szCs w:val="20"/>
        </w:rPr>
        <w:t xml:space="preserve">. 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Oznakowanie armatury wodociągowej i kanalizacyjnej</w:t>
      </w:r>
      <w:r w:rsidR="00236156">
        <w:rPr>
          <w:rFonts w:ascii="Tahoma" w:hAnsi="Tahoma" w:cs="Tahoma"/>
          <w:sz w:val="20"/>
          <w:szCs w:val="20"/>
        </w:rPr>
        <w:t>.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Wykonanie prób szczelności zrealizowanych odcinków kanału</w:t>
      </w:r>
      <w:r w:rsidR="000952A2">
        <w:rPr>
          <w:rFonts w:ascii="Tahoma" w:hAnsi="Tahoma" w:cs="Tahoma"/>
          <w:sz w:val="20"/>
          <w:szCs w:val="20"/>
        </w:rPr>
        <w:t>.</w:t>
      </w:r>
    </w:p>
    <w:p w:rsidR="00DF5FCD" w:rsidRPr="00236156" w:rsidRDefault="0020547E" w:rsidP="00134C48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Wykonanie inspekcji telewizyjnej wykonanych odcinków kanału, rejestracja obrazu w kolorze kamerą z funkcją rejestracji spadku. Wykonanie powykonawczej inspekcji CCTV kanałów należy zlecić naszej Spółce.</w:t>
      </w:r>
    </w:p>
    <w:p w:rsidR="00DF5FCD" w:rsidRPr="00236156" w:rsidRDefault="0020547E">
      <w:pPr>
        <w:pStyle w:val="Akapitzlist"/>
        <w:numPr>
          <w:ilvl w:val="1"/>
          <w:numId w:val="1"/>
        </w:numPr>
        <w:suppressAutoHyphens w:val="0"/>
        <w:contextualSpacing/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Przeprowadzenie rozruchu przepompowni ścieków w obecności komisji powołanej przez Zamawiającego. Rozruch pompowni będzie poprzedzony złożeniem do akceptacji Zamawiającego planu rozruchu. Z rozruchu należy spisać protokół, potwierdzający osiągnięcie parametrów przepompowni</w:t>
      </w:r>
      <w:r w:rsidRPr="00236156">
        <w:rPr>
          <w:rFonts w:ascii="Tahoma" w:hAnsi="Tahoma" w:cs="Tahoma"/>
          <w:bCs/>
          <w:iCs/>
          <w:sz w:val="20"/>
          <w:szCs w:val="20"/>
        </w:rPr>
        <w:t>, zakładanych w dokumentacji technicznej</w:t>
      </w:r>
    </w:p>
    <w:p w:rsidR="00DF5FCD" w:rsidRPr="00236156" w:rsidRDefault="0020547E">
      <w:pPr>
        <w:numPr>
          <w:ilvl w:val="1"/>
          <w:numId w:val="1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 xml:space="preserve">Przygotowanie instrukcji użytkowania przepompowni ścieków wraz ze schematami technologicznymi instalacji wewnętrznej obiektu. Wymagane jest stosowne oznakowanie obiektu odpowiadające instrukcji </w:t>
      </w:r>
      <w:proofErr w:type="gramStart"/>
      <w:r w:rsidRPr="00236156">
        <w:rPr>
          <w:rFonts w:ascii="Tahoma" w:hAnsi="Tahoma" w:cs="Tahoma"/>
          <w:sz w:val="20"/>
          <w:szCs w:val="20"/>
        </w:rPr>
        <w:t>obsługi,</w:t>
      </w:r>
      <w:proofErr w:type="gramEnd"/>
      <w:r w:rsidRPr="00236156">
        <w:rPr>
          <w:rFonts w:ascii="Tahoma" w:hAnsi="Tahoma" w:cs="Tahoma"/>
          <w:sz w:val="20"/>
          <w:szCs w:val="20"/>
        </w:rPr>
        <w:t xml:space="preserve"> i schematowi technologicznemu.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Oznakowanie urządzeń na sieci i na terenie obiektów zgodnie z wymogami użytkownika oraz przepisami BHP. Skompletowanie dokumentów zgodnie z przepisami BHP. Przygotowanie instrukcji BHP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color w:val="000000"/>
          <w:sz w:val="20"/>
          <w:szCs w:val="20"/>
        </w:rPr>
        <w:t xml:space="preserve">Zabezpieczenie drzew na terenie prowadzenia robót opisane w dokumencie „Ochrona drzew w procesie inwestycyjnym” oraz </w:t>
      </w:r>
      <w:r w:rsidRPr="00236156">
        <w:rPr>
          <w:rFonts w:ascii="Tahoma" w:hAnsi="Tahoma" w:cs="Tahoma"/>
          <w:sz w:val="20"/>
          <w:szCs w:val="20"/>
        </w:rPr>
        <w:t>„Zarządzeniu Nr 137 PMT z dnia 19.06.2024.r. w sprawie uszczegółowienia zasad ochrony zieleni w Toruniu w trakcie inwestycji prowadzonych na terenach należących do Gminy Miasta Toruń”, zamieszczonych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, na stronie internetowej Spółki w zakładce „Strefa klienta – Jak załatwić sprawę – Wytyczne techniczne). Zabezpieczenie należy wykonać </w:t>
      </w:r>
      <w:r w:rsidRPr="00236156">
        <w:rPr>
          <w:rFonts w:ascii="Tahoma" w:hAnsi="Tahoma" w:cs="Tahoma"/>
          <w:color w:val="000000"/>
          <w:sz w:val="20"/>
          <w:szCs w:val="20"/>
          <w:u w:val="single"/>
        </w:rPr>
        <w:t>przed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 przystąpieniem do robót budowlanych.</w:t>
      </w:r>
      <w:r w:rsidRPr="00236156">
        <w:rPr>
          <w:rFonts w:ascii="Tahoma" w:hAnsi="Tahoma" w:cs="Tahoma"/>
          <w:sz w:val="20"/>
          <w:szCs w:val="20"/>
        </w:rPr>
        <w:t xml:space="preserve"> W przypadku zbliżenia przewodów do istniejącego zadrzewienia roboty należy prowadzić z zachowaniem ostrożności, w sposób opisany w ww. dokumencie.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  <w:lang w:eastAsia="ar-SA"/>
        </w:rPr>
        <w:t>Po zakończonych robotach uporządkowanie terenu budowy.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Udzielenie gwarancji na wszystkie roboty budowlano-montażowe, wbudowane urządzenia, programy itp. na okres 3 lat. Wykonawca zapewni przeprowadzenie przeglądów serwisowych pozwalających na utrzymanie warunków gwarancji urządzeń przez okres 3 lat. Warunki gwarancji opisano we wzorze karty gwarancyjnej. Przeprowadzenie przeglądów gwarancyjnych urządzeń zgodnie z zaleceniami producentów przez okres gwarancji. Koszt materiałów eksploatacyjnych ponosi Zamawiający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Zapewnienie na własny koszt pełnej obsługi geodezyjnej tj. wykonanie wszelkich czynności geodezyjnych mających na celu prawidłowe usytuowanie budowanej sieci w terenie</w:t>
      </w:r>
      <w:r w:rsidRPr="00236156">
        <w:rPr>
          <w:rFonts w:ascii="Tahoma" w:eastAsia="Calibri" w:hAnsi="Tahoma" w:cs="Tahoma"/>
          <w:sz w:val="20"/>
          <w:szCs w:val="20"/>
          <w:lang w:eastAsia="ar-SA"/>
        </w:rPr>
        <w:t xml:space="preserve"> oraz aktualizację baz danych BDOT500, GESUT i EGiB prowadzonych przez właściwe Ośrodki Dokumentacji Geodezyjnej i Kartograficznej</w:t>
      </w:r>
      <w:r w:rsidRPr="00236156">
        <w:rPr>
          <w:rFonts w:ascii="Tahoma" w:hAnsi="Tahoma" w:cs="Tahoma"/>
          <w:color w:val="000000"/>
          <w:sz w:val="20"/>
          <w:szCs w:val="20"/>
        </w:rPr>
        <w:t>,</w:t>
      </w:r>
      <w:r w:rsidRPr="00236156">
        <w:rPr>
          <w:rFonts w:ascii="Tahoma" w:hAnsi="Tahoma" w:cs="Tahoma"/>
          <w:sz w:val="20"/>
          <w:szCs w:val="20"/>
        </w:rPr>
        <w:t xml:space="preserve"> w tym:</w:t>
      </w:r>
    </w:p>
    <w:p w:rsidR="00DF5FCD" w:rsidRPr="00236156" w:rsidRDefault="0020547E">
      <w:pPr>
        <w:pStyle w:val="Akapitzlist"/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wytyczenie wszystkich niezbędnych elementów budowanej sieci;</w:t>
      </w:r>
    </w:p>
    <w:p w:rsidR="00DF5FCD" w:rsidRPr="00236156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założenie reperów roboczych, jeżeli będzie taka potrzeba;</w:t>
      </w:r>
    </w:p>
    <w:p w:rsidR="00DF5FCD" w:rsidRPr="00236156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przygotowanie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 inwentaryzacji powykonawczej – zgodnie z § 9 ust. 2 pkt. I wzoru umowy;</w:t>
      </w:r>
    </w:p>
    <w:p w:rsidR="00DF5FCD" w:rsidRPr="00236156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 przypadku pozostawienia w gruncie nieczynnego przewodu, należy w dokumentacji odbiorowej dokonać stosownych wpisów lub oznaczeń potwierdzających, że przewód został wyłączony z eksploatacji;</w:t>
      </w:r>
    </w:p>
    <w:p w:rsidR="00DF5FCD" w:rsidRPr="00236156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odtworzenie istniejących i zniszczonych podczas realizacji zadania kamieni granicznych w pasie prowadzonych robót. Odtworzenie kamieni winno zostać potwierdzone protokolarnie przez geodetę;</w:t>
      </w:r>
    </w:p>
    <w:p w:rsidR="00DF5FCD" w:rsidRPr="00236156" w:rsidRDefault="0020547E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eastAsia="Calibri" w:hAnsi="Tahoma" w:cs="Tahoma"/>
          <w:sz w:val="20"/>
          <w:szCs w:val="20"/>
        </w:rPr>
        <w:t>przewody fizycznie zlikwidowane należy na inwentaryzacji powykonawczej, przyjętej do zasobów ośrodka dokumentacji geodezyjno-kartograficznej, bezwzględnie usunąć z mapy</w:t>
      </w:r>
      <w:r w:rsidRPr="00236156">
        <w:rPr>
          <w:rFonts w:ascii="Tahoma" w:hAnsi="Tahoma" w:cs="Tahoma"/>
          <w:sz w:val="20"/>
          <w:szCs w:val="20"/>
        </w:rPr>
        <w:t>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W przypadku odkrycia przedmiotów, co do których istnieje przypuszczenie</w:t>
      </w:r>
      <w:r w:rsidR="00FA4109">
        <w:rPr>
          <w:rFonts w:ascii="Tahoma" w:hAnsi="Tahoma" w:cs="Tahoma"/>
          <w:sz w:val="20"/>
          <w:szCs w:val="20"/>
        </w:rPr>
        <w:t>,</w:t>
      </w:r>
      <w:r w:rsidRPr="00236156">
        <w:rPr>
          <w:rFonts w:ascii="Tahoma" w:hAnsi="Tahoma" w:cs="Tahoma"/>
          <w:sz w:val="20"/>
          <w:szCs w:val="20"/>
        </w:rPr>
        <w:t xml:space="preserve"> że mogą być </w:t>
      </w:r>
      <w:r w:rsidRPr="00236156">
        <w:rPr>
          <w:rFonts w:ascii="Tahoma" w:hAnsi="Tahoma" w:cs="Tahoma"/>
          <w:sz w:val="20"/>
          <w:szCs w:val="20"/>
          <w:u w:val="single"/>
        </w:rPr>
        <w:t>zabytkiem,</w:t>
      </w:r>
      <w:r w:rsidRPr="00236156">
        <w:rPr>
          <w:rFonts w:ascii="Tahoma" w:hAnsi="Tahoma" w:cs="Tahoma"/>
          <w:sz w:val="20"/>
          <w:szCs w:val="20"/>
        </w:rPr>
        <w:t xml:space="preserve"> Wykonawca niezwłocznie wstrzyma roboty, zabezpieczy znalezisko i zawiadomi o tym Kujawsko-Pomorskiego Wojewódzkiego Konserwatora Zabytków</w:t>
      </w:r>
      <w:r w:rsidR="007C04D6" w:rsidRPr="00236156">
        <w:rPr>
          <w:rFonts w:ascii="Tahoma" w:hAnsi="Tahoma" w:cs="Tahoma"/>
          <w:sz w:val="20"/>
          <w:szCs w:val="20"/>
        </w:rPr>
        <w:t>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color w:val="000000"/>
          <w:sz w:val="20"/>
          <w:szCs w:val="20"/>
        </w:rPr>
        <w:t xml:space="preserve">Wymagania branży elektrycznej i AKPiA – zakres uszczegóławiający </w:t>
      </w:r>
      <w:r w:rsidR="00145793" w:rsidRPr="00236156">
        <w:rPr>
          <w:rFonts w:ascii="Tahoma" w:hAnsi="Tahoma" w:cs="Tahoma"/>
          <w:color w:val="000000"/>
          <w:sz w:val="20"/>
          <w:szCs w:val="20"/>
        </w:rPr>
        <w:t>w</w:t>
      </w:r>
      <w:r w:rsidRPr="00236156">
        <w:rPr>
          <w:rFonts w:ascii="Tahoma" w:hAnsi="Tahoma" w:cs="Tahoma"/>
          <w:color w:val="000000"/>
          <w:sz w:val="20"/>
          <w:szCs w:val="20"/>
        </w:rPr>
        <w:t xml:space="preserve"> dokumentacji projektowej.</w:t>
      </w:r>
    </w:p>
    <w:p w:rsidR="00DF5FCD" w:rsidRPr="00236156" w:rsidRDefault="00DF5FCD">
      <w:pPr>
        <w:pStyle w:val="Akapitzlist"/>
        <w:ind w:left="1440"/>
        <w:jc w:val="both"/>
        <w:rPr>
          <w:rFonts w:ascii="Tahoma" w:hAnsi="Tahoma" w:cs="Tahoma"/>
          <w:sz w:val="20"/>
          <w:szCs w:val="20"/>
        </w:rPr>
      </w:pPr>
    </w:p>
    <w:p w:rsidR="00DF5FCD" w:rsidRPr="00236156" w:rsidRDefault="0020547E">
      <w:pPr>
        <w:pStyle w:val="Akapitzlist"/>
        <w:ind w:left="426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lastRenderedPageBreak/>
        <w:t>W</w:t>
      </w:r>
      <w:r w:rsidRPr="00236156">
        <w:rPr>
          <w:rFonts w:ascii="Tahoma" w:hAnsi="Tahoma" w:cs="Tahoma"/>
          <w:bCs/>
          <w:iCs/>
          <w:sz w:val="20"/>
          <w:szCs w:val="20"/>
        </w:rPr>
        <w:t>ykonanie robót elektrycznych i z zakresu sterowania i automatyki – na podstawie dokumentacji projektowej:</w:t>
      </w:r>
    </w:p>
    <w:p w:rsidR="00DF5FCD" w:rsidRPr="00236156" w:rsidRDefault="00DF5FCD">
      <w:pPr>
        <w:pStyle w:val="Akapitzlist"/>
        <w:ind w:left="426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DF5FCD" w:rsidRPr="00236156" w:rsidRDefault="0020547E">
      <w:pPr>
        <w:pStyle w:val="Tekstpodstawowy"/>
        <w:numPr>
          <w:ilvl w:val="0"/>
          <w:numId w:val="10"/>
        </w:numPr>
        <w:tabs>
          <w:tab w:val="left" w:pos="683"/>
        </w:tabs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Wymagania dotyczące układu zasilania przepompowni:</w:t>
      </w:r>
    </w:p>
    <w:p w:rsidR="00DF5FCD" w:rsidRPr="00236156" w:rsidRDefault="00F045F8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iCs/>
          <w:sz w:val="20"/>
          <w:szCs w:val="20"/>
        </w:rPr>
        <w:t xml:space="preserve">Zasilanie przepompowni wykonać jako WLZ z tablicy bezpiecznikowej rozdzielni RG, </w:t>
      </w:r>
      <w:proofErr w:type="spellStart"/>
      <w:r w:rsidRPr="00236156">
        <w:rPr>
          <w:rFonts w:ascii="Tahoma" w:hAnsi="Tahoma" w:cs="Tahoma"/>
          <w:iCs/>
          <w:sz w:val="20"/>
          <w:szCs w:val="20"/>
        </w:rPr>
        <w:t>zalicznikowej</w:t>
      </w:r>
      <w:proofErr w:type="spellEnd"/>
      <w:r w:rsidRPr="00236156">
        <w:rPr>
          <w:rFonts w:ascii="Tahoma" w:hAnsi="Tahoma" w:cs="Tahoma"/>
          <w:iCs/>
          <w:sz w:val="20"/>
          <w:szCs w:val="20"/>
        </w:rPr>
        <w:t xml:space="preserve"> instalacji elektrycznej parceli dz. Geod. Nr 411 obręb 46 w Toruniu. Wymagane jest zasilanie trójfazowe. WLZ do rozdzielnicy przepompowni wykonać kablem YKY 5x10 mm². Odpływ do tego kabla zabezpieczyć trzypolowym wyłącznikiem różnicowo prądowym 25A 30mA. Do pomiaru ilości energii elektrycznej pobieranej przez przepompownię w szafce rozdzielczo</w:t>
      </w:r>
      <w:r w:rsidR="00790BF8">
        <w:rPr>
          <w:rFonts w:ascii="Tahoma" w:hAnsi="Tahoma" w:cs="Tahoma"/>
          <w:iCs/>
          <w:sz w:val="20"/>
          <w:szCs w:val="20"/>
        </w:rPr>
        <w:t xml:space="preserve"> </w:t>
      </w:r>
      <w:r w:rsidRPr="00236156">
        <w:rPr>
          <w:rFonts w:ascii="Tahoma" w:hAnsi="Tahoma" w:cs="Tahoma"/>
          <w:iCs/>
          <w:sz w:val="20"/>
          <w:szCs w:val="20"/>
        </w:rPr>
        <w:t>- sterowniczej zaprojektowano licznik zużycia energii elektrycznej. Będzie on pełnił funkcję podlicznika i służył do rozliczeń</w:t>
      </w:r>
      <w:r w:rsidR="0038295A" w:rsidRPr="00236156">
        <w:rPr>
          <w:rFonts w:ascii="Tahoma" w:hAnsi="Tahoma" w:cs="Tahoma"/>
          <w:iCs/>
          <w:sz w:val="20"/>
          <w:szCs w:val="20"/>
        </w:rPr>
        <w:t>. Szafka ma być przystosowana do montażu układu zabezpieczeń i sterowania z sygnalizacją optyczną.</w:t>
      </w:r>
    </w:p>
    <w:p w:rsidR="00DF5FCD" w:rsidRPr="00236156" w:rsidRDefault="0020547E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Wykonanie robót elektrycznych i AKPiA </w:t>
      </w:r>
      <w:r w:rsidR="00802880" w:rsidRPr="00236156">
        <w:rPr>
          <w:rFonts w:ascii="Tahoma" w:hAnsi="Tahoma" w:cs="Tahoma"/>
          <w:bCs/>
          <w:iCs/>
          <w:sz w:val="20"/>
          <w:szCs w:val="20"/>
        </w:rPr>
        <w:t>przepompowni</w:t>
      </w:r>
      <w:r w:rsidRPr="00236156">
        <w:rPr>
          <w:rFonts w:ascii="Tahoma" w:hAnsi="Tahoma" w:cs="Tahoma"/>
          <w:bCs/>
          <w:iCs/>
          <w:sz w:val="20"/>
          <w:szCs w:val="20"/>
        </w:rPr>
        <w:t xml:space="preserve"> ścieków zawiera montaż, uruchomienie, wykonanie oprogramowania, wizualizację oraz monitoring w pogotowiu T.W.</w:t>
      </w:r>
    </w:p>
    <w:p w:rsidR="00DF5FCD" w:rsidRPr="00236156" w:rsidRDefault="0020547E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po wykonaniu zadania należy przekazać dokumentację projektową powykonawczą, kopie oprogramowania w wersjach skompilowanej i źródłowej, oraz prawa autorskie do oprogramowania w zakresie dla przedmiotowej </w:t>
      </w:r>
      <w:r w:rsidR="00802880" w:rsidRPr="00236156">
        <w:rPr>
          <w:rFonts w:ascii="Tahoma" w:hAnsi="Tahoma" w:cs="Tahoma"/>
          <w:bCs/>
          <w:iCs/>
          <w:sz w:val="20"/>
          <w:szCs w:val="20"/>
        </w:rPr>
        <w:t>przepompowni</w:t>
      </w:r>
      <w:r w:rsidRPr="00236156">
        <w:rPr>
          <w:rFonts w:ascii="Tahoma" w:hAnsi="Tahoma" w:cs="Tahoma"/>
          <w:bCs/>
          <w:iCs/>
          <w:sz w:val="20"/>
          <w:szCs w:val="20"/>
        </w:rPr>
        <w:t>.</w:t>
      </w:r>
    </w:p>
    <w:p w:rsidR="00DF5FCD" w:rsidRPr="00236156" w:rsidRDefault="0020547E" w:rsidP="008F2482">
      <w:pPr>
        <w:pStyle w:val="Akapitzlist"/>
        <w:numPr>
          <w:ilvl w:val="0"/>
          <w:numId w:val="4"/>
        </w:numPr>
        <w:ind w:left="993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roboty w branży elektrycznej i AKPiA należy wykonać zgodnie z standardami obowiązującymi w T.W. Sp z o.o. oraz zakresem zawartym w projektach branży elektrycznej i </w:t>
      </w:r>
      <w:proofErr w:type="spellStart"/>
      <w:r w:rsidRPr="00236156">
        <w:rPr>
          <w:rFonts w:ascii="Tahoma" w:hAnsi="Tahoma" w:cs="Tahoma"/>
          <w:bCs/>
          <w:iCs/>
          <w:sz w:val="20"/>
          <w:szCs w:val="20"/>
        </w:rPr>
        <w:t>AKPiA</w:t>
      </w:r>
      <w:proofErr w:type="spellEnd"/>
      <w:r w:rsidRPr="00236156">
        <w:rPr>
          <w:rFonts w:ascii="Tahoma" w:hAnsi="Tahoma" w:cs="Tahoma"/>
          <w:bCs/>
          <w:iCs/>
          <w:sz w:val="20"/>
          <w:szCs w:val="20"/>
        </w:rPr>
        <w:t xml:space="preserve">. </w:t>
      </w:r>
    </w:p>
    <w:p w:rsidR="00DF5FCD" w:rsidRPr="00236156" w:rsidRDefault="0020547E" w:rsidP="008F2482">
      <w:pPr>
        <w:pStyle w:val="Akapitzlist"/>
        <w:numPr>
          <w:ilvl w:val="0"/>
          <w:numId w:val="4"/>
        </w:numPr>
        <w:tabs>
          <w:tab w:val="left" w:pos="993"/>
        </w:tabs>
        <w:ind w:left="993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Po wykonaniu robót montażowych należy wykonać pomiary w zakresie: dodatkowej ochrony od porażeń, rezystancji izolacji, uziemienia, natężenia oświetlenia oraz próby funkcjonalne działania zabezpieczeń, sterowania, sygnalizacji i monitoringu.</w:t>
      </w:r>
    </w:p>
    <w:p w:rsidR="00DF5FCD" w:rsidRPr="00236156" w:rsidRDefault="0020547E" w:rsidP="00C73D50">
      <w:pPr>
        <w:pStyle w:val="Tekstpodstawowy"/>
        <w:spacing w:after="200" w:line="276" w:lineRule="auto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 xml:space="preserve">W przypadku użytych w nawiasach nazw własnych materiałów, nazw producentów i znaków towarowych, należy je rozumieć jako określenie standardów w Toruńskich Wodociągach. Nie są one wiążące i można dostarczyć urządzenia równoważne, innych producentów, których charakterystyka </w:t>
      </w:r>
      <w:r w:rsidR="00D53302">
        <w:rPr>
          <w:rFonts w:ascii="Tahoma" w:hAnsi="Tahoma" w:cs="Tahoma"/>
          <w:sz w:val="20"/>
          <w:szCs w:val="20"/>
        </w:rPr>
        <w:br/>
      </w:r>
      <w:r w:rsidRPr="00236156">
        <w:rPr>
          <w:rFonts w:ascii="Tahoma" w:hAnsi="Tahoma" w:cs="Tahoma"/>
          <w:sz w:val="20"/>
          <w:szCs w:val="20"/>
        </w:rPr>
        <w:t>i parametry nie są gorsze, niż urządzeń podanych powyż</w:t>
      </w:r>
      <w:r w:rsidR="005E0A72" w:rsidRPr="00236156">
        <w:rPr>
          <w:rFonts w:ascii="Tahoma" w:hAnsi="Tahoma" w:cs="Tahoma"/>
          <w:sz w:val="20"/>
          <w:szCs w:val="20"/>
        </w:rPr>
        <w:t>ej.</w:t>
      </w:r>
    </w:p>
    <w:p w:rsidR="00DF5FCD" w:rsidRPr="00236156" w:rsidRDefault="00DF5FCD">
      <w:pPr>
        <w:rPr>
          <w:rFonts w:ascii="Tahoma" w:hAnsi="Tahoma" w:cs="Tahoma"/>
          <w:b/>
          <w:sz w:val="20"/>
          <w:szCs w:val="20"/>
        </w:rPr>
      </w:pPr>
    </w:p>
    <w:p w:rsidR="00DF5FCD" w:rsidRPr="00236156" w:rsidRDefault="0020547E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>Uwagi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Zabrania się składowania urobku z wykopów bezpośrednio po stronie nawierzchni drogi i chodnika.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Zaplecze socjalne należy wyposażyć w przenośne toalety – szczelne zbiorniki na ścieki socjalno-bytowe.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Obciążenie każdej ze stron przyszłej umowy za potencjalne skutki napotkania na roboty nieprzewidziane uzależnione będzie od konkretnej sytuacji i ocenione będzie po jej nastąpieniu.</w:t>
      </w:r>
    </w:p>
    <w:p w:rsidR="00DF5FCD" w:rsidRPr="00236156" w:rsidRDefault="0020547E">
      <w:pPr>
        <w:ind w:left="1068"/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Zaleca się</w:t>
      </w:r>
      <w:r w:rsidR="00B8531B">
        <w:rPr>
          <w:rFonts w:ascii="Tahoma" w:hAnsi="Tahoma" w:cs="Tahoma"/>
          <w:sz w:val="20"/>
          <w:szCs w:val="20"/>
        </w:rPr>
        <w:t>,</w:t>
      </w:r>
      <w:r w:rsidRPr="00236156">
        <w:rPr>
          <w:rFonts w:ascii="Tahoma" w:hAnsi="Tahoma" w:cs="Tahoma"/>
          <w:sz w:val="20"/>
          <w:szCs w:val="20"/>
        </w:rPr>
        <w:t xml:space="preserve"> aby Wykonawca zapoznał się ze wszystkimi warunkami lokalizacyjno-terenowymi placu budowy a także realizacyjnymi, i uwzględnił je w wypełnionym formularzu ofertowym.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Obetonowanie skrzynek armatury, włazów itp. wykonać z płyty żelbetowej grubości min 15 cm o rozmiarach 1mx1m w przypadku skrzynek (w przypadku węzłów rozmiar ustalić z inspektorem nadzoru na budowie) oraz o rozmiarach min 1 m od krawędzi włazu (dla włazów kanalizacyjnych).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Rury i kształtki winny posiadać certyfikat zgodności wykonania z PN – EN 12 201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 xml:space="preserve">Szczegółowy zakres robót obejmuje dokumentacja projektowa wykazana w wykazie załączników w pkt 6 niniejszego opisu przedmiotu zamówienia, która łącznie z niniejszym opisem stanowi podstawowy materiał dla wykonania wyceny robót przez wykonawcę. 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>Przed przystąpieniem do robót Wykonawca dostarczy Zamawiającemu atesty, certyfikaty i deklaracje zgodności na wszelkie materiały przewidywane do wbudowania celem ich akceptacji. Uzyskanie w/w akceptacji stanowi załącznik dopuszczający materiały do wbudowania przy realizacji przedmiotu zamówienia.</w:t>
      </w:r>
    </w:p>
    <w:p w:rsidR="00DF5FCD" w:rsidRPr="00236156" w:rsidRDefault="0020547E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W przypadku wystąpienia w projektach budowlanych i/lub budowlano – wykonawczych, STWIOR nazw własnych materiałów i nazw producentów, znaków towarowych lub podania niektórych charakterystycznych dla producenta wymiarów, należy je rozumieć jako określenie standardów. Nie są one wiążące i można dostarczyć elementy równoważne, których charakterystyka nie jest gorsza niż parametry urządzeń czy </w:t>
      </w:r>
      <w:r w:rsidRPr="00236156">
        <w:rPr>
          <w:rFonts w:ascii="Tahoma" w:hAnsi="Tahoma" w:cs="Tahoma"/>
          <w:bCs/>
          <w:iCs/>
          <w:sz w:val="20"/>
          <w:szCs w:val="20"/>
        </w:rPr>
        <w:lastRenderedPageBreak/>
        <w:t>materiałów podanych w opracowaniach projektowych. Dopuszcza się zastosowanie materiałów i urządzeń innych producentów o parametrach równoważnych lub wyższych niż przewiduje projekt. Wszelkie koszty wynikające z różnic pomiędzy urządzeniami zaprojektowanymi a zaoferowanymi ponosi Wykonawca. Zwrot „równoważne” oznacza możliwość uzyskania efektu założonego przez Zamawiającego za pomocą innych rozwiązań technicznych.</w:t>
      </w:r>
    </w:p>
    <w:p w:rsidR="00DF5FCD" w:rsidRPr="00236156" w:rsidRDefault="00DF5FCD">
      <w:pPr>
        <w:jc w:val="both"/>
        <w:rPr>
          <w:rFonts w:ascii="Tahoma" w:hAnsi="Tahoma" w:cs="Tahoma"/>
          <w:sz w:val="20"/>
          <w:szCs w:val="20"/>
        </w:rPr>
      </w:pPr>
    </w:p>
    <w:p w:rsidR="00DF5FCD" w:rsidRPr="00236156" w:rsidRDefault="0020547E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 w:rsidRPr="00236156">
        <w:rPr>
          <w:rFonts w:ascii="Tahoma" w:hAnsi="Tahoma" w:cs="Tahoma"/>
          <w:b/>
          <w:sz w:val="20"/>
          <w:szCs w:val="20"/>
        </w:rPr>
        <w:t>Wykaz załączników</w:t>
      </w:r>
    </w:p>
    <w:p w:rsidR="00DF5FCD" w:rsidRPr="00236156" w:rsidRDefault="00DF5FCD">
      <w:pPr>
        <w:rPr>
          <w:rFonts w:ascii="Tahoma" w:hAnsi="Tahoma" w:cs="Tahoma"/>
          <w:b/>
          <w:sz w:val="20"/>
          <w:szCs w:val="20"/>
        </w:rPr>
      </w:pPr>
    </w:p>
    <w:p w:rsidR="00DF5FCD" w:rsidRPr="00236156" w:rsidRDefault="0020547E">
      <w:p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sz w:val="20"/>
          <w:szCs w:val="20"/>
        </w:rPr>
        <w:t xml:space="preserve">Załącznikami do niniejszego opisu przedmiotu zamówienia jest dokumentacja projektowa </w:t>
      </w:r>
      <w:r w:rsidRPr="00236156">
        <w:rPr>
          <w:rFonts w:ascii="Tahoma" w:hAnsi="Tahoma" w:cs="Tahoma"/>
          <w:bCs/>
          <w:color w:val="000000"/>
          <w:sz w:val="20"/>
          <w:szCs w:val="20"/>
        </w:rPr>
        <w:t xml:space="preserve">opracowana przez </w:t>
      </w:r>
      <w:r w:rsidR="00D53302">
        <w:rPr>
          <w:rFonts w:ascii="Tahoma" w:hAnsi="Tahoma" w:cs="Tahoma"/>
          <w:bCs/>
          <w:color w:val="000000"/>
          <w:sz w:val="20"/>
          <w:szCs w:val="20"/>
        </w:rPr>
        <w:t>mgr inż. Jana Kretkowskiego</w:t>
      </w:r>
      <w:r w:rsidRPr="00236156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D53302">
        <w:rPr>
          <w:rFonts w:ascii="Tahoma" w:hAnsi="Tahoma" w:cs="Tahoma"/>
          <w:sz w:val="20"/>
          <w:szCs w:val="20"/>
        </w:rPr>
        <w:t>ul. Miodowa 3, 87-103 Toruń</w:t>
      </w:r>
      <w:r w:rsidRPr="0023615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236156">
        <w:rPr>
          <w:rFonts w:ascii="Tahoma" w:hAnsi="Tahoma" w:cs="Tahoma"/>
          <w:sz w:val="20"/>
          <w:szCs w:val="20"/>
        </w:rPr>
        <w:t>pn.</w:t>
      </w:r>
      <w:r w:rsidR="00D53302">
        <w:rPr>
          <w:rFonts w:ascii="Tahoma" w:hAnsi="Tahoma" w:cs="Tahoma"/>
          <w:sz w:val="20"/>
          <w:szCs w:val="20"/>
        </w:rPr>
        <w:t xml:space="preserve"> </w:t>
      </w:r>
      <w:r w:rsidRPr="00236156">
        <w:rPr>
          <w:rFonts w:ascii="Tahoma" w:hAnsi="Tahoma" w:cs="Tahoma"/>
          <w:bCs/>
          <w:color w:val="000000"/>
          <w:sz w:val="20"/>
          <w:szCs w:val="20"/>
        </w:rPr>
        <w:t>”</w:t>
      </w:r>
      <w:r w:rsidR="00B14659">
        <w:rPr>
          <w:rFonts w:ascii="Tahoma" w:hAnsi="Tahoma" w:cs="Tahoma"/>
          <w:b/>
          <w:bCs/>
          <w:iCs/>
          <w:sz w:val="20"/>
          <w:szCs w:val="20"/>
        </w:rPr>
        <w:t>Budowa</w:t>
      </w:r>
      <w:proofErr w:type="gramEnd"/>
      <w:r w:rsidR="00B14659">
        <w:rPr>
          <w:rFonts w:ascii="Tahoma" w:hAnsi="Tahoma" w:cs="Tahoma"/>
          <w:b/>
          <w:bCs/>
          <w:iCs/>
          <w:sz w:val="20"/>
          <w:szCs w:val="20"/>
        </w:rPr>
        <w:t xml:space="preserve"> sieci kanalizacji sanitarnej wraz z przepompownią</w:t>
      </w:r>
      <w:r w:rsidR="00B8531B">
        <w:rPr>
          <w:rFonts w:ascii="Tahoma" w:hAnsi="Tahoma" w:cs="Tahoma"/>
          <w:b/>
          <w:bCs/>
          <w:iCs/>
          <w:sz w:val="20"/>
          <w:szCs w:val="20"/>
        </w:rPr>
        <w:t>”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Projekt zagospodarowania terenu</w:t>
      </w:r>
    </w:p>
    <w:p w:rsidR="00DF5FCD" w:rsidRPr="00236156" w:rsidRDefault="0020547E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Projekt architektoniczno – budowlany</w:t>
      </w:r>
    </w:p>
    <w:p w:rsidR="00DF5FCD" w:rsidRPr="00236156" w:rsidRDefault="0020547E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Załączniki projektu budowlanego</w:t>
      </w:r>
    </w:p>
    <w:p w:rsidR="00DF5FCD" w:rsidRPr="00236156" w:rsidRDefault="0020547E">
      <w:pPr>
        <w:pStyle w:val="Akapitzlist"/>
        <w:ind w:left="927"/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Informacja BIOZ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Projekt techniczny branży sanitarnej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Projekt wykonawczy branży sanitarnej 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Projekt techniczny branży elektroenergetycznej 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 xml:space="preserve">Projekt wykonawczy branży elektroenergetycznej 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Dokumentacja geologiczno – inżynierska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Opinia geotechniczna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Projekt tymczasowej organizacji ruchu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Specyfikacja techniczna wykonania i odbioru robót – wymagania ogólne</w:t>
      </w:r>
    </w:p>
    <w:p w:rsidR="00DF5FCD" w:rsidRPr="00236156" w:rsidRDefault="0020547E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Specyfikacja techniczna wykonania i odbioru robót – kanalizacja sanitarna</w:t>
      </w:r>
    </w:p>
    <w:p w:rsidR="00DF5FCD" w:rsidRPr="00236156" w:rsidRDefault="00DF5FCD">
      <w:pPr>
        <w:jc w:val="both"/>
        <w:rPr>
          <w:rFonts w:ascii="Tahoma" w:hAnsi="Tahoma" w:cs="Tahoma"/>
          <w:bCs/>
          <w:iCs/>
          <w:sz w:val="20"/>
          <w:szCs w:val="20"/>
        </w:rPr>
      </w:pPr>
    </w:p>
    <w:p w:rsidR="00DF5FCD" w:rsidRPr="00236156" w:rsidRDefault="0020547E">
      <w:pPr>
        <w:jc w:val="both"/>
        <w:rPr>
          <w:rFonts w:ascii="Tahoma" w:hAnsi="Tahoma" w:cs="Tahoma"/>
          <w:bCs/>
          <w:iCs/>
          <w:sz w:val="20"/>
          <w:szCs w:val="20"/>
        </w:rPr>
      </w:pPr>
      <w:r w:rsidRPr="00236156">
        <w:rPr>
          <w:rFonts w:ascii="Tahoma" w:hAnsi="Tahoma" w:cs="Tahoma"/>
          <w:bCs/>
          <w:iCs/>
          <w:sz w:val="20"/>
          <w:szCs w:val="20"/>
        </w:rPr>
        <w:t>Oryginały dokumentacji znajdują się do wglądu w siedzibie Zamawiającego przy ul. Rybaki 31/35, Wydział Inwestycji i Remontów i stanowią łącznie z niniejszym opisem podstawowy materiał do wykonania wyceny robót przez Wykonawcę.</w:t>
      </w:r>
    </w:p>
    <w:sectPr w:rsidR="00DF5FCD" w:rsidRPr="00236156" w:rsidSect="00DF5F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33A16" w:rsidRDefault="00B33A16" w:rsidP="00DF5FCD">
      <w:r>
        <w:separator/>
      </w:r>
    </w:p>
  </w:endnote>
  <w:endnote w:type="continuationSeparator" w:id="0">
    <w:p w:rsidR="00B33A16" w:rsidRDefault="00B33A16" w:rsidP="00DF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7617869"/>
      <w:docPartObj>
        <w:docPartGallery w:val="Page Numbers (Bottom of Page)"/>
        <w:docPartUnique/>
      </w:docPartObj>
    </w:sdtPr>
    <w:sdtContent>
      <w:p w:rsidR="00DF5FCD" w:rsidRDefault="00CE43E6">
        <w:pPr>
          <w:pStyle w:val="Stopka1"/>
          <w:jc w:val="right"/>
        </w:pPr>
        <w:r>
          <w:rPr>
            <w:rFonts w:ascii="Tahoma" w:hAnsi="Tahoma" w:cs="Tahoma"/>
            <w:sz w:val="16"/>
            <w:szCs w:val="16"/>
          </w:rPr>
          <w:fldChar w:fldCharType="begin"/>
        </w:r>
        <w:r w:rsidR="0020547E">
          <w:rPr>
            <w:rFonts w:ascii="Tahoma" w:hAnsi="Tahoma" w:cs="Tahoma"/>
            <w:sz w:val="16"/>
            <w:szCs w:val="16"/>
          </w:rPr>
          <w:instrText>PAGE</w:instrText>
        </w:r>
        <w:r>
          <w:rPr>
            <w:rFonts w:ascii="Tahoma" w:hAnsi="Tahoma" w:cs="Tahoma"/>
            <w:sz w:val="16"/>
            <w:szCs w:val="16"/>
          </w:rPr>
          <w:fldChar w:fldCharType="separate"/>
        </w:r>
        <w:r w:rsidR="00565E1F">
          <w:rPr>
            <w:rFonts w:ascii="Tahoma" w:hAnsi="Tahoma" w:cs="Tahoma"/>
            <w:noProof/>
            <w:sz w:val="16"/>
            <w:szCs w:val="16"/>
          </w:rPr>
          <w:t>3</w:t>
        </w:r>
        <w:r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DF5FCD" w:rsidRDefault="00DF5FCD">
    <w:pPr>
      <w:pStyle w:val="Stopka1"/>
      <w:pBdr>
        <w:top w:val="single" w:sz="4" w:space="1" w:color="000000"/>
      </w:pBdr>
      <w:rPr>
        <w:rFonts w:ascii="Tahoma" w:hAnsi="Tahoma" w:cs="Tahoma"/>
        <w:sz w:val="6"/>
        <w:szCs w:val="6"/>
      </w:rPr>
    </w:pPr>
  </w:p>
  <w:p w:rsidR="00236156" w:rsidRPr="00267476" w:rsidRDefault="00236156" w:rsidP="00236156">
    <w:pPr>
      <w:rPr>
        <w:rFonts w:ascii="Tahoma" w:hAnsi="Tahoma" w:cs="Tahoma"/>
        <w:bCs/>
        <w:sz w:val="16"/>
        <w:szCs w:val="16"/>
      </w:rPr>
    </w:pPr>
    <w:r w:rsidRPr="00267476">
      <w:rPr>
        <w:rFonts w:ascii="Tahoma" w:hAnsi="Tahoma" w:cs="Tahoma"/>
        <w:bCs/>
        <w:sz w:val="16"/>
        <w:szCs w:val="16"/>
      </w:rPr>
      <w:t>Budowa odcinka sieci kanalizacji sanitarnej wraz z przepompownią i zasilaniem elektrycznym w ul. Na Zapleczu w Toruniu</w:t>
    </w:r>
  </w:p>
  <w:p w:rsidR="00DF5FCD" w:rsidRDefault="00DF5FCD" w:rsidP="00236156">
    <w:pPr>
      <w:jc w:val="both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33A16" w:rsidRDefault="00B33A16" w:rsidP="00DF5FCD">
      <w:r>
        <w:separator/>
      </w:r>
    </w:p>
  </w:footnote>
  <w:footnote w:type="continuationSeparator" w:id="0">
    <w:p w:rsidR="00B33A16" w:rsidRDefault="00B33A16" w:rsidP="00DF5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5FCD" w:rsidRDefault="0020547E">
    <w:pPr>
      <w:pStyle w:val="Nagwek1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 nr 2 do SIWZ - Opis przedmiotu zamówienia</w:t>
    </w:r>
  </w:p>
  <w:p w:rsidR="00DF5FCD" w:rsidRDefault="0020547E">
    <w:pPr>
      <w:pStyle w:val="Nagwek1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E751A"/>
    <w:multiLevelType w:val="multilevel"/>
    <w:tmpl w:val="1348ED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282F44A1"/>
    <w:multiLevelType w:val="multilevel"/>
    <w:tmpl w:val="4454E0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2CE62004"/>
    <w:multiLevelType w:val="multilevel"/>
    <w:tmpl w:val="DC16CA5A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4C9380D"/>
    <w:multiLevelType w:val="multilevel"/>
    <w:tmpl w:val="386286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 w15:restartNumberingAfterBreak="0">
    <w:nsid w:val="45440037"/>
    <w:multiLevelType w:val="multilevel"/>
    <w:tmpl w:val="E9D41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D3E1BDD"/>
    <w:multiLevelType w:val="multilevel"/>
    <w:tmpl w:val="3034909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 w15:restartNumberingAfterBreak="0">
    <w:nsid w:val="553926A3"/>
    <w:multiLevelType w:val="multilevel"/>
    <w:tmpl w:val="ED6E12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 w15:restartNumberingAfterBreak="0">
    <w:nsid w:val="56A95E38"/>
    <w:multiLevelType w:val="multilevel"/>
    <w:tmpl w:val="B642A66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71B6ABC"/>
    <w:multiLevelType w:val="multilevel"/>
    <w:tmpl w:val="E4AA0692"/>
    <w:lvl w:ilvl="0">
      <w:start w:val="1"/>
      <w:numFmt w:val="lowerLetter"/>
      <w:lvlText w:val="%1)"/>
      <w:lvlJc w:val="left"/>
      <w:pPr>
        <w:tabs>
          <w:tab w:val="num" w:pos="0"/>
        </w:tabs>
        <w:ind w:left="55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15" w:hanging="180"/>
      </w:pPr>
    </w:lvl>
  </w:abstractNum>
  <w:abstractNum w:abstractNumId="9" w15:restartNumberingAfterBreak="0">
    <w:nsid w:val="57F174F4"/>
    <w:multiLevelType w:val="multilevel"/>
    <w:tmpl w:val="FBD8523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 w15:restartNumberingAfterBreak="0">
    <w:nsid w:val="74623750"/>
    <w:multiLevelType w:val="multilevel"/>
    <w:tmpl w:val="921244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num w:numId="1" w16cid:durableId="918560988">
    <w:abstractNumId w:val="0"/>
  </w:num>
  <w:num w:numId="2" w16cid:durableId="419765269">
    <w:abstractNumId w:val="2"/>
  </w:num>
  <w:num w:numId="3" w16cid:durableId="1618370535">
    <w:abstractNumId w:val="3"/>
  </w:num>
  <w:num w:numId="4" w16cid:durableId="573899540">
    <w:abstractNumId w:val="7"/>
  </w:num>
  <w:num w:numId="5" w16cid:durableId="813328770">
    <w:abstractNumId w:val="5"/>
  </w:num>
  <w:num w:numId="6" w16cid:durableId="1690325925">
    <w:abstractNumId w:val="9"/>
  </w:num>
  <w:num w:numId="7" w16cid:durableId="1101338487">
    <w:abstractNumId w:val="6"/>
  </w:num>
  <w:num w:numId="8" w16cid:durableId="749621057">
    <w:abstractNumId w:val="10"/>
  </w:num>
  <w:num w:numId="9" w16cid:durableId="1863393382">
    <w:abstractNumId w:val="1"/>
  </w:num>
  <w:num w:numId="10" w16cid:durableId="40861564">
    <w:abstractNumId w:val="8"/>
  </w:num>
  <w:num w:numId="11" w16cid:durableId="657802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FCD"/>
    <w:rsid w:val="00046835"/>
    <w:rsid w:val="00085F38"/>
    <w:rsid w:val="00087A8F"/>
    <w:rsid w:val="000952A2"/>
    <w:rsid w:val="000D0EA6"/>
    <w:rsid w:val="000E2739"/>
    <w:rsid w:val="00134C48"/>
    <w:rsid w:val="00145793"/>
    <w:rsid w:val="001B62AF"/>
    <w:rsid w:val="001C4775"/>
    <w:rsid w:val="0020547E"/>
    <w:rsid w:val="00236156"/>
    <w:rsid w:val="002654AA"/>
    <w:rsid w:val="00352061"/>
    <w:rsid w:val="00354E9F"/>
    <w:rsid w:val="00362F6B"/>
    <w:rsid w:val="0038295A"/>
    <w:rsid w:val="00396A4D"/>
    <w:rsid w:val="003F6D32"/>
    <w:rsid w:val="00402511"/>
    <w:rsid w:val="00403411"/>
    <w:rsid w:val="0048761A"/>
    <w:rsid w:val="004C1F7C"/>
    <w:rsid w:val="00502060"/>
    <w:rsid w:val="00565E1F"/>
    <w:rsid w:val="005A3078"/>
    <w:rsid w:val="005E0A72"/>
    <w:rsid w:val="005E3CD7"/>
    <w:rsid w:val="005F561A"/>
    <w:rsid w:val="00650559"/>
    <w:rsid w:val="00694A55"/>
    <w:rsid w:val="006D6BEA"/>
    <w:rsid w:val="006E7205"/>
    <w:rsid w:val="00760977"/>
    <w:rsid w:val="00790BF8"/>
    <w:rsid w:val="007C04D6"/>
    <w:rsid w:val="007D0E09"/>
    <w:rsid w:val="007E2C1E"/>
    <w:rsid w:val="00802880"/>
    <w:rsid w:val="00832045"/>
    <w:rsid w:val="0086001E"/>
    <w:rsid w:val="008B4149"/>
    <w:rsid w:val="008F2482"/>
    <w:rsid w:val="009049C2"/>
    <w:rsid w:val="0091121B"/>
    <w:rsid w:val="00934365"/>
    <w:rsid w:val="009E57A5"/>
    <w:rsid w:val="00A6135E"/>
    <w:rsid w:val="00AA0FE6"/>
    <w:rsid w:val="00AD58E7"/>
    <w:rsid w:val="00AF15BB"/>
    <w:rsid w:val="00B14659"/>
    <w:rsid w:val="00B14ED9"/>
    <w:rsid w:val="00B33A16"/>
    <w:rsid w:val="00B536A4"/>
    <w:rsid w:val="00B75AED"/>
    <w:rsid w:val="00B8531B"/>
    <w:rsid w:val="00C27407"/>
    <w:rsid w:val="00C35D3C"/>
    <w:rsid w:val="00C73D50"/>
    <w:rsid w:val="00C92D99"/>
    <w:rsid w:val="00CA30C9"/>
    <w:rsid w:val="00CA6D88"/>
    <w:rsid w:val="00CE43E6"/>
    <w:rsid w:val="00D45E51"/>
    <w:rsid w:val="00D53302"/>
    <w:rsid w:val="00DB4332"/>
    <w:rsid w:val="00DD3CA0"/>
    <w:rsid w:val="00DF5FCD"/>
    <w:rsid w:val="00E40024"/>
    <w:rsid w:val="00E947A5"/>
    <w:rsid w:val="00EC62BD"/>
    <w:rsid w:val="00F03AE0"/>
    <w:rsid w:val="00F045F8"/>
    <w:rsid w:val="00F4056C"/>
    <w:rsid w:val="00FA4109"/>
    <w:rsid w:val="00FD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CB1B"/>
  <w15:docId w15:val="{BB39120F-AD1B-4A43-9905-D0443F8D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017C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rsid w:val="0042397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2DF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82D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2D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2DFF"/>
    <w:rPr>
      <w:rFonts w:eastAsia="Times New Roman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B97D2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StandardowyverdanaZnak">
    <w:name w:val="Standardowy verdana Znak"/>
    <w:link w:val="Standardowyverdana"/>
    <w:qFormat/>
    <w:rsid w:val="004C173E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C5767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261B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017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pisZnak">
    <w:name w:val="Opis Znak"/>
    <w:link w:val="Opis"/>
    <w:qFormat/>
    <w:rsid w:val="00017CA8"/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990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414CE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66B1F"/>
    <w:rPr>
      <w:vertAlign w:val="superscript"/>
    </w:rPr>
  </w:style>
  <w:style w:type="character" w:customStyle="1" w:styleId="WW8Num10z0">
    <w:name w:val="WW8Num10z0"/>
    <w:qFormat/>
    <w:rsid w:val="00414CEB"/>
    <w:rPr>
      <w:rFonts w:ascii="Wingdings" w:hAnsi="Wingdings" w:cs="Arial"/>
    </w:rPr>
  </w:style>
  <w:style w:type="character" w:customStyle="1" w:styleId="WW8Num8z0">
    <w:name w:val="WW8Num8z0"/>
    <w:qFormat/>
    <w:rsid w:val="00414CEB"/>
    <w:rPr>
      <w:rFonts w:ascii="Wingdings" w:hAnsi="Wingdings" w:cs="Wingdings"/>
    </w:rPr>
  </w:style>
  <w:style w:type="character" w:customStyle="1" w:styleId="Znakiwypunktowania">
    <w:name w:val="Znaki wypunktowania"/>
    <w:qFormat/>
    <w:rsid w:val="00414CEB"/>
    <w:rPr>
      <w:rFonts w:ascii="OpenSymbol" w:eastAsia="OpenSymbol" w:hAnsi="OpenSymbol" w:cs="OpenSymbol"/>
    </w:rPr>
  </w:style>
  <w:style w:type="character" w:customStyle="1" w:styleId="StopkaZnak1">
    <w:name w:val="Stopka Znak1"/>
    <w:basedOn w:val="Domylnaczcionkaakapitu"/>
    <w:uiPriority w:val="99"/>
    <w:semiHidden/>
    <w:qFormat/>
    <w:rsid w:val="00B66D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1"/>
    <w:uiPriority w:val="99"/>
    <w:semiHidden/>
    <w:qFormat/>
    <w:rsid w:val="00166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2">
    <w:name w:val="Stopka Znak2"/>
    <w:basedOn w:val="Domylnaczcionkaakapitu"/>
    <w:link w:val="Stopka1"/>
    <w:uiPriority w:val="99"/>
    <w:semiHidden/>
    <w:qFormat/>
    <w:rsid w:val="00000F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DF5F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23971"/>
    <w:pPr>
      <w:spacing w:after="120"/>
    </w:pPr>
  </w:style>
  <w:style w:type="paragraph" w:styleId="Lista">
    <w:name w:val="List"/>
    <w:basedOn w:val="Tekstpodstawowy"/>
    <w:rsid w:val="00414CEB"/>
    <w:rPr>
      <w:rFonts w:cs="Arial"/>
    </w:rPr>
  </w:style>
  <w:style w:type="paragraph" w:customStyle="1" w:styleId="Legenda1">
    <w:name w:val="Legenda1"/>
    <w:basedOn w:val="Normalny"/>
    <w:qFormat/>
    <w:rsid w:val="00414C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14CE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14CEB"/>
  </w:style>
  <w:style w:type="paragraph" w:customStyle="1" w:styleId="Nagwek1">
    <w:name w:val="Nagłówek1"/>
    <w:basedOn w:val="Normalny"/>
    <w:next w:val="Tekstpodstawowy"/>
    <w:uiPriority w:val="99"/>
    <w:unhideWhenUsed/>
    <w:rsid w:val="006D78F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14CEB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82D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2DF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2DFF"/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link w:val="StopkaZnak2"/>
    <w:uiPriority w:val="99"/>
    <w:semiHidden/>
    <w:unhideWhenUsed/>
    <w:rsid w:val="00000FC1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97D2D"/>
    <w:pPr>
      <w:keepNext/>
      <w:numPr>
        <w:numId w:val="2"/>
      </w:numPr>
      <w:tabs>
        <w:tab w:val="right" w:pos="567"/>
        <w:tab w:val="right" w:pos="9354"/>
      </w:tabs>
      <w:spacing w:before="240" w:after="120" w:line="360" w:lineRule="auto"/>
      <w:ind w:left="714" w:right="567" w:hanging="357"/>
      <w:jc w:val="both"/>
    </w:pPr>
    <w:rPr>
      <w:bCs/>
      <w:lang w:eastAsia="ar-SA"/>
    </w:rPr>
  </w:style>
  <w:style w:type="paragraph" w:customStyle="1" w:styleId="Default">
    <w:name w:val="Default"/>
    <w:qFormat/>
    <w:rsid w:val="00B97D2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owyverdana">
    <w:name w:val="Standardowy verdana"/>
    <w:basedOn w:val="Normalny"/>
    <w:link w:val="StandardowyverdanaZnak"/>
    <w:qFormat/>
    <w:rsid w:val="004C173E"/>
    <w:pPr>
      <w:tabs>
        <w:tab w:val="left" w:pos="567"/>
      </w:tabs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C5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qFormat/>
    <w:rsid w:val="00E1261B"/>
    <w:pPr>
      <w:spacing w:after="120"/>
    </w:pPr>
    <w:rPr>
      <w:rFonts w:ascii="Arial" w:hAnsi="Arial" w:cs="Arial"/>
      <w:sz w:val="16"/>
      <w:szCs w:val="16"/>
    </w:rPr>
  </w:style>
  <w:style w:type="paragraph" w:customStyle="1" w:styleId="Opis">
    <w:name w:val="Opis"/>
    <w:basedOn w:val="Normalny"/>
    <w:link w:val="OpisZnak"/>
    <w:qFormat/>
    <w:rsid w:val="00017CA8"/>
    <w:pPr>
      <w:spacing w:line="360" w:lineRule="auto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OPIS0">
    <w:name w:val="OPIS"/>
    <w:qFormat/>
    <w:rsid w:val="00017CA8"/>
    <w:pPr>
      <w:spacing w:before="60" w:line="36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ekstprzypisukocowego1">
    <w:name w:val="Tekst przypisu końcowego1"/>
    <w:basedOn w:val="Normalny"/>
    <w:link w:val="TekstprzypisukocowegoZnak1"/>
    <w:uiPriority w:val="99"/>
    <w:semiHidden/>
    <w:unhideWhenUsed/>
    <w:rsid w:val="00166B1F"/>
    <w:rPr>
      <w:sz w:val="20"/>
      <w:szCs w:val="20"/>
    </w:rPr>
  </w:style>
  <w:style w:type="paragraph" w:customStyle="1" w:styleId="mjtekstpodstawowyZnak">
    <w:name w:val="mój tekst podstawowy Znak"/>
    <w:basedOn w:val="Normalny"/>
    <w:qFormat/>
    <w:rsid w:val="00253876"/>
    <w:pPr>
      <w:jc w:val="both"/>
    </w:pPr>
    <w:rPr>
      <w:rFonts w:ascii="Tahoma" w:hAnsi="Tahoma"/>
      <w:szCs w:val="20"/>
    </w:rPr>
  </w:style>
  <w:style w:type="numbering" w:customStyle="1" w:styleId="WW8Num10">
    <w:name w:val="WW8Num10"/>
    <w:qFormat/>
    <w:rsid w:val="00414CEB"/>
  </w:style>
  <w:style w:type="numbering" w:customStyle="1" w:styleId="WW8Num8">
    <w:name w:val="WW8Num8"/>
    <w:qFormat/>
    <w:rsid w:val="00414CEB"/>
  </w:style>
  <w:style w:type="paragraph" w:styleId="Stopka">
    <w:name w:val="footer"/>
    <w:basedOn w:val="Normalny"/>
    <w:link w:val="StopkaZnak3"/>
    <w:uiPriority w:val="99"/>
    <w:unhideWhenUsed/>
    <w:rsid w:val="00650559"/>
    <w:pPr>
      <w:tabs>
        <w:tab w:val="center" w:pos="4536"/>
        <w:tab w:val="right" w:pos="9072"/>
      </w:tabs>
    </w:pPr>
  </w:style>
  <w:style w:type="character" w:customStyle="1" w:styleId="StopkaZnak3">
    <w:name w:val="Stopka Znak3"/>
    <w:basedOn w:val="Domylnaczcionkaakapitu"/>
    <w:link w:val="Stopka"/>
    <w:uiPriority w:val="99"/>
    <w:rsid w:val="006505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03411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0EA46-8FD5-4201-A684-26B2A679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1749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Agnieszka Długosz</cp:lastModifiedBy>
  <cp:revision>3</cp:revision>
  <cp:lastPrinted>2023-07-24T09:19:00Z</cp:lastPrinted>
  <dcterms:created xsi:type="dcterms:W3CDTF">2025-12-12T07:15:00Z</dcterms:created>
  <dcterms:modified xsi:type="dcterms:W3CDTF">2025-12-12T09:57:00Z</dcterms:modified>
  <dc:language>pl-PL</dc:language>
</cp:coreProperties>
</file>