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5A4" w:rsidRDefault="004505A4" w:rsidP="004505A4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OPIS PRZEDMIOTU ZAMÓWIENIA</w:t>
      </w:r>
    </w:p>
    <w:p w:rsidR="004505A4" w:rsidRDefault="004505A4" w:rsidP="004505A4">
      <w:pPr>
        <w:jc w:val="center"/>
        <w:rPr>
          <w:rFonts w:asciiTheme="majorHAnsi" w:hAnsiTheme="majorHAnsi" w:cstheme="majorHAnsi"/>
          <w:b/>
        </w:rPr>
      </w:pPr>
    </w:p>
    <w:p w:rsidR="004505A4" w:rsidRDefault="004505A4" w:rsidP="004505A4">
      <w:pPr>
        <w:jc w:val="center"/>
        <w:rPr>
          <w:rFonts w:asciiTheme="majorHAnsi" w:hAnsiTheme="majorHAnsi" w:cstheme="majorHAnsi"/>
          <w:b/>
        </w:rPr>
      </w:pPr>
    </w:p>
    <w:p w:rsidR="00DE4551" w:rsidRPr="00A823C3" w:rsidRDefault="00ED6CF7">
      <w:pPr>
        <w:rPr>
          <w:rFonts w:asciiTheme="majorHAnsi" w:hAnsiTheme="majorHAnsi" w:cstheme="majorHAnsi"/>
          <w:b/>
        </w:rPr>
      </w:pPr>
      <w:r w:rsidRPr="00A823C3">
        <w:rPr>
          <w:rFonts w:asciiTheme="majorHAnsi" w:hAnsiTheme="majorHAnsi" w:cstheme="majorHAnsi"/>
          <w:b/>
        </w:rPr>
        <w:t>Komputer stacjonarny (o podwyższonych parametrach wydajnościowych)</w:t>
      </w:r>
    </w:p>
    <w:p w:rsidR="00ED6CF7" w:rsidRPr="00A823C3" w:rsidRDefault="00ED6CF7">
      <w:pPr>
        <w:rPr>
          <w:rFonts w:asciiTheme="majorHAnsi" w:hAnsiTheme="majorHAnsi" w:cstheme="majorHAnsi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505"/>
        <w:gridCol w:w="5472"/>
        <w:gridCol w:w="1451"/>
      </w:tblGrid>
      <w:tr w:rsidR="008D33C6" w:rsidRPr="00A823C3" w:rsidTr="00443709">
        <w:trPr>
          <w:trHeight w:val="480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  <w:t>L.p.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  <w:t>Rodzaj parametru</w:t>
            </w:r>
          </w:p>
        </w:tc>
        <w:tc>
          <w:tcPr>
            <w:tcW w:w="5472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  <w:t>Wymagana wartość parametru</w:t>
            </w:r>
          </w:p>
        </w:tc>
        <w:tc>
          <w:tcPr>
            <w:tcW w:w="1451" w:type="dxa"/>
            <w:vAlign w:val="center"/>
          </w:tcPr>
          <w:p w:rsidR="008D33C6" w:rsidRPr="00A823C3" w:rsidRDefault="008D33C6" w:rsidP="00443709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  <w:t>Spełnia</w:t>
            </w:r>
            <w:r w:rsidR="00443709">
              <w:rPr>
                <w:rFonts w:asciiTheme="majorHAnsi" w:hAnsiTheme="majorHAnsi" w:cstheme="majorHAnsi"/>
                <w:b/>
                <w:sz w:val="18"/>
                <w:szCs w:val="18"/>
                <w:lang w:eastAsia="zh-CN" w:bidi="hi-IN"/>
              </w:rPr>
              <w:t xml:space="preserve"> *)</w:t>
            </w:r>
          </w:p>
        </w:tc>
      </w:tr>
      <w:tr w:rsidR="008D33C6" w:rsidRPr="00A823C3" w:rsidTr="008D33C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5472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Komputer będzie wykorzystywany dla potrzeb aplikacji biurowych, aplikacji edukacyjnych. Aplikacji obliczeniowych, aplikacji graficznych, dostępu do Internetu oraz poczty elektronicznej, obróbki video, przetwarzania trójwymiarowych materiałów graficznych.</w:t>
            </w:r>
          </w:p>
        </w:tc>
        <w:tc>
          <w:tcPr>
            <w:tcW w:w="1451" w:type="dxa"/>
            <w:vAlign w:val="center"/>
          </w:tcPr>
          <w:p w:rsidR="008D33C6" w:rsidRPr="00A823C3" w:rsidRDefault="008D33C6" w:rsidP="008D33C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lang w:eastAsia="zh-CN" w:bidi="hi-IN"/>
              </w:rPr>
              <w:t>Procesor</w:t>
            </w:r>
          </w:p>
        </w:tc>
        <w:tc>
          <w:tcPr>
            <w:tcW w:w="5472" w:type="dxa"/>
            <w:vAlign w:val="center"/>
          </w:tcPr>
          <w:p w:rsidR="008D33C6" w:rsidRPr="00A823C3" w:rsidRDefault="00B241B9" w:rsidP="00B241B9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Intel </w:t>
            </w:r>
            <w:proofErr w:type="spellStart"/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Core</w:t>
            </w:r>
            <w:proofErr w:type="spellEnd"/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 i7-14700</w:t>
            </w: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lub </w:t>
            </w:r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AMD </w:t>
            </w:r>
            <w:proofErr w:type="spellStart"/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Ryzen</w:t>
            </w:r>
            <w:proofErr w:type="spellEnd"/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 7 9800X3D</w:t>
            </w: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 lub równoważny </w:t>
            </w:r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ze zintegrowaną grafiką, umożliwiający osiągnięcie w benchmarku </w:t>
            </w:r>
            <w:proofErr w:type="spellStart"/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Pas</w:t>
            </w: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sMark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CPU Mark wyniku minimum </w:t>
            </w:r>
            <w:r w:rsidRPr="00B241B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39.900</w:t>
            </w:r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punktów „</w:t>
            </w:r>
            <w:proofErr w:type="spellStart"/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Average</w:t>
            </w:r>
            <w:proofErr w:type="spellEnd"/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CPU Mark”, według danych opublikowanych pod adresem </w:t>
            </w:r>
            <w:hyperlink r:id="rId6" w:history="1">
              <w:r w:rsidR="008D33C6" w:rsidRPr="00A823C3">
                <w:rPr>
                  <w:rStyle w:val="Hipercze"/>
                  <w:rFonts w:asciiTheme="majorHAnsi" w:hAnsiTheme="majorHAnsi" w:cstheme="majorHAnsi"/>
                  <w:bCs/>
                  <w:sz w:val="18"/>
                  <w:szCs w:val="18"/>
                </w:rPr>
                <w:t>https://www.cpubenchmark.net/high_end_cpus.html</w:t>
              </w:r>
            </w:hyperlink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nie dawniej niż na dzień ogłoszenia postępowania, zainstalowany fabrycznie przez producenta komputera.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shd w:val="clear" w:color="auto" w:fill="FFFFFF"/>
              <w:spacing w:line="285" w:lineRule="atLeast"/>
              <w:outlineLvl w:val="4"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Pamięć</w:t>
            </w:r>
          </w:p>
        </w:tc>
        <w:tc>
          <w:tcPr>
            <w:tcW w:w="5472" w:type="dxa"/>
            <w:vAlign w:val="center"/>
          </w:tcPr>
          <w:p w:rsidR="008D33C6" w:rsidRPr="00A823C3" w:rsidRDefault="0021518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color w:val="FF0000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Minimum </w:t>
            </w:r>
            <w:r w:rsidRPr="0021518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32</w:t>
            </w:r>
            <w:r w:rsidR="008D33C6" w:rsidRPr="0021518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 GB DDR5</w:t>
            </w: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w dwóch kościach po 16</w:t>
            </w:r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GB zainstalowanych fabrycznie przez producenta komputera, pracujących w trybie Dual Channel, z możliwością rozbudowy do </w:t>
            </w:r>
            <w:r w:rsidR="008D33C6"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128GB (płyta główna wyposażona w 4 </w:t>
            </w:r>
            <w:proofErr w:type="spellStart"/>
            <w:r w:rsidR="008D33C6"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sloty</w:t>
            </w:r>
            <w:proofErr w:type="spellEnd"/>
            <w:r w:rsidR="008D33C6"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pamięci).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665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Dysk</w:t>
            </w:r>
          </w:p>
        </w:tc>
        <w:tc>
          <w:tcPr>
            <w:tcW w:w="5472" w:type="dxa"/>
            <w:vAlign w:val="center"/>
          </w:tcPr>
          <w:p w:rsidR="008D33C6" w:rsidRPr="00A823C3" w:rsidRDefault="005A3908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Minimum </w:t>
            </w:r>
            <w:r w:rsidRPr="005A390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1000</w:t>
            </w:r>
            <w:r w:rsidR="008D33C6" w:rsidRPr="005A390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 GB SSD klasy </w:t>
            </w:r>
            <w:proofErr w:type="spellStart"/>
            <w:r w:rsidR="008D33C6" w:rsidRPr="005A390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PCIe</w:t>
            </w:r>
            <w:proofErr w:type="spellEnd"/>
            <w:r w:rsidR="008D33C6" w:rsidRPr="005A390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 M.2</w:t>
            </w:r>
            <w:r w:rsidR="008D33C6"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, zainstalowany fabrycznie przez producenta komputera. Możliwość montażu dodatkowego dysku, poprzez złącze M2.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EA5FD8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Napęd</w:t>
            </w:r>
          </w:p>
        </w:tc>
        <w:tc>
          <w:tcPr>
            <w:tcW w:w="5472" w:type="dxa"/>
            <w:vAlign w:val="center"/>
          </w:tcPr>
          <w:p w:rsidR="008D33C6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Wbudowany w obudowę komputera napęd DVD+/-RW, 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zainstalowany fabrycznie przez producenta komputera, </w:t>
            </w:r>
            <w:r w:rsidR="00E860F1">
              <w:rPr>
                <w:rFonts w:asciiTheme="majorHAnsi" w:hAnsiTheme="majorHAnsi" w:cstheme="majorHAnsi"/>
                <w:bCs/>
                <w:sz w:val="18"/>
                <w:szCs w:val="18"/>
              </w:rPr>
              <w:t>korzystający z interfejsu SATA.</w:t>
            </w:r>
          </w:p>
          <w:p w:rsidR="00E860F1" w:rsidRPr="00215186" w:rsidRDefault="00E860F1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Zamawiający dopuszcza zastosowanie zewnętrznego napędu USB.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val="en-US"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val="en-US" w:eastAsia="zh-CN" w:bidi="hi-IN"/>
              </w:rPr>
              <w:t>6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Płyta główna</w:t>
            </w:r>
          </w:p>
        </w:tc>
        <w:tc>
          <w:tcPr>
            <w:tcW w:w="5472" w:type="dxa"/>
            <w:vAlign w:val="center"/>
          </w:tcPr>
          <w:p w:rsidR="008D33C6" w:rsidRPr="00A823C3" w:rsidRDefault="008D33C6" w:rsidP="00EF4BEF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Posiadająca chipset dedykowany przez producenta procesora dla zaoferowanego procesora.</w:t>
            </w:r>
          </w:p>
          <w:p w:rsidR="008D33C6" w:rsidRPr="00A823C3" w:rsidRDefault="008D33C6" w:rsidP="00ED6CF7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Zintegrowana karta sieciowa Gigabit LAN ze złączem RJ-45.</w:t>
            </w:r>
            <w:r w:rsidR="00215186">
              <w:rPr>
                <w:rFonts w:asciiTheme="majorHAnsi" w:hAnsiTheme="majorHAnsi" w:cstheme="majorHAnsi"/>
                <w:sz w:val="18"/>
                <w:szCs w:val="18"/>
              </w:rPr>
              <w:t xml:space="preserve"> Zintegrowana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Bluetooth 5.0.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Zintegrowana karta </w:t>
            </w:r>
            <w:r w:rsidR="00443709">
              <w:rPr>
                <w:rFonts w:asciiTheme="majorHAnsi" w:hAnsiTheme="majorHAnsi" w:cstheme="majorHAnsi"/>
                <w:sz w:val="18"/>
                <w:szCs w:val="18"/>
              </w:rPr>
              <w:t>dźwiękowa klasy High Definition.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Wyposażona w następujące złącza/</w:t>
            </w:r>
            <w:proofErr w:type="spellStart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sloty</w:t>
            </w:r>
            <w:proofErr w:type="spellEnd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minimum dwa złącza PCI-Express x16;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minimum jedno złącze PCI-Express x1;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minimum jedno złącze PCI starszej generacji;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minimum dwa złącza M.2 z obsługą dysków SSD;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minimum jedno dedykowane złącze M.2 dla dodatkowej opcjonalnej karty sieci bezprzewodowej WLAN producenta komputera;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- minimum 4 </w:t>
            </w:r>
            <w:proofErr w:type="spellStart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sloty</w:t>
            </w:r>
            <w:proofErr w:type="spellEnd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 pamięci DDR5 z obsługą do 128 GB pamięci;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- minimum 4 porty SATA 6 </w:t>
            </w:r>
            <w:proofErr w:type="spellStart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Gb</w:t>
            </w:r>
            <w:proofErr w:type="spellEnd"/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/s.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024D73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024D73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val="en-US"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 w:eastAsia="zh-CN" w:bidi="hi-IN"/>
              </w:rPr>
              <w:lastRenderedPageBreak/>
              <w:t>7</w:t>
            </w:r>
          </w:p>
        </w:tc>
        <w:tc>
          <w:tcPr>
            <w:tcW w:w="1505" w:type="dxa"/>
            <w:vAlign w:val="center"/>
          </w:tcPr>
          <w:p w:rsidR="00024D73" w:rsidRPr="00A823C3" w:rsidRDefault="00024D73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Karta graficzna</w:t>
            </w:r>
          </w:p>
        </w:tc>
        <w:tc>
          <w:tcPr>
            <w:tcW w:w="5472" w:type="dxa"/>
            <w:vAlign w:val="center"/>
          </w:tcPr>
          <w:p w:rsidR="00024D73" w:rsidRPr="002E2408" w:rsidRDefault="00024D73" w:rsidP="00024D73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proofErr w:type="spellStart"/>
            <w:r w:rsidRPr="002E2408">
              <w:rPr>
                <w:rFonts w:asciiTheme="majorHAnsi" w:hAnsiTheme="majorHAnsi" w:cstheme="majorHAnsi"/>
                <w:b/>
                <w:sz w:val="18"/>
                <w:szCs w:val="18"/>
              </w:rPr>
              <w:t>GeForce</w:t>
            </w:r>
            <w:proofErr w:type="spellEnd"/>
            <w:r w:rsidRPr="002E2408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RTX 5060 </w:t>
            </w:r>
          </w:p>
          <w:p w:rsidR="00024D73" w:rsidRDefault="00024D73" w:rsidP="00024D73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Zainstalowana fabrycznie przez producenta kom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putera w slocie PCI-Express x16,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karta graficzna wyp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osażona w pamięć VRAM minimum </w:t>
            </w:r>
            <w:r w:rsidRPr="00024D73">
              <w:rPr>
                <w:rFonts w:asciiTheme="majorHAnsi" w:hAnsiTheme="majorHAnsi" w:cstheme="majorHAnsi"/>
                <w:b/>
                <w:sz w:val="18"/>
                <w:szCs w:val="18"/>
              </w:rPr>
              <w:t>8 GB typu GDDR6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, posiadająca minimum wyjścia</w:t>
            </w:r>
          </w:p>
          <w:p w:rsidR="00024D73" w:rsidRPr="00024D73" w:rsidRDefault="00024D73" w:rsidP="00024D73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24D7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 x HDMI, 1 x DisplayPort,</w:t>
            </w:r>
          </w:p>
          <w:p w:rsidR="00024D73" w:rsidRPr="002E2408" w:rsidRDefault="00024D73" w:rsidP="002E2408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E2408">
              <w:rPr>
                <w:rFonts w:asciiTheme="majorHAnsi" w:hAnsiTheme="majorHAnsi" w:cstheme="majorHAnsi"/>
                <w:sz w:val="18"/>
                <w:szCs w:val="18"/>
              </w:rPr>
              <w:t xml:space="preserve">lub równoważna 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umożliwiająca osiągnięcie w benchmarku 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PassMark</w:t>
            </w:r>
            <w:proofErr w:type="spellEnd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G3D Mark wyniku minimum </w:t>
            </w:r>
            <w:r w:rsidR="002E2408" w:rsidRPr="002E240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20</w:t>
            </w:r>
            <w:r w:rsidRPr="002E240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tys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. punktów „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Average</w:t>
            </w:r>
            <w:proofErr w:type="spellEnd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G3D Mark”, według danych opublikowanych pod adresem </w:t>
            </w:r>
            <w:r w:rsidRPr="00A823C3">
              <w:rPr>
                <w:rStyle w:val="Hipercze"/>
                <w:rFonts w:asciiTheme="majorHAnsi" w:hAnsiTheme="majorHAnsi" w:cstheme="majorHAnsi"/>
                <w:bCs/>
                <w:sz w:val="18"/>
                <w:szCs w:val="18"/>
              </w:rPr>
              <w:t>https://www.videocardbenchmark.net/high_end_gpus.html</w:t>
            </w: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nie dawniej niż na dzień ogłoszenia postępowania.</w:t>
            </w:r>
          </w:p>
        </w:tc>
        <w:tc>
          <w:tcPr>
            <w:tcW w:w="1451" w:type="dxa"/>
            <w:vAlign w:val="center"/>
          </w:tcPr>
          <w:p w:rsidR="00024D73" w:rsidRDefault="00024D73" w:rsidP="00215186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8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Zasilanie</w:t>
            </w:r>
          </w:p>
        </w:tc>
        <w:tc>
          <w:tcPr>
            <w:tcW w:w="5472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Wydajny zasilacz o mocy nie niższej niż 5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00W, 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zainstalowany fabrycznie przez producenta komputera.</w:t>
            </w:r>
          </w:p>
          <w:p w:rsidR="008D33C6" w:rsidRPr="00A823C3" w:rsidRDefault="008D33C6" w:rsidP="00215186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Zasilacz musi posiadać certyfikat sprawności minimum 80PLUS </w:t>
            </w:r>
            <w:r w:rsidR="00215186">
              <w:rPr>
                <w:rFonts w:asciiTheme="majorHAnsi" w:hAnsiTheme="majorHAnsi" w:cstheme="majorHAnsi"/>
                <w:bCs/>
                <w:sz w:val="18"/>
                <w:szCs w:val="18"/>
              </w:rPr>
              <w:t>GOLD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.</w:t>
            </w:r>
          </w:p>
        </w:tc>
        <w:tc>
          <w:tcPr>
            <w:tcW w:w="1451" w:type="dxa"/>
            <w:vAlign w:val="center"/>
          </w:tcPr>
          <w:p w:rsidR="008D33C6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9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Obudowa</w:t>
            </w:r>
          </w:p>
        </w:tc>
        <w:tc>
          <w:tcPr>
            <w:tcW w:w="5472" w:type="dxa"/>
            <w:vAlign w:val="center"/>
          </w:tcPr>
          <w:p w:rsidR="00840B9F" w:rsidRDefault="008D33C6" w:rsidP="00EF4BEF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Wyposażona </w:t>
            </w:r>
            <w:r w:rsidR="00840B9F">
              <w:rPr>
                <w:rFonts w:asciiTheme="majorHAnsi" w:hAnsiTheme="majorHAnsi" w:cstheme="majorHAnsi"/>
                <w:sz w:val="18"/>
                <w:szCs w:val="18"/>
              </w:rPr>
              <w:t>na przednim lub górnym panelu w minimum:</w:t>
            </w:r>
          </w:p>
          <w:p w:rsidR="00840B9F" w:rsidRPr="00840B9F" w:rsidRDefault="00840B9F" w:rsidP="00840B9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40B9F">
              <w:rPr>
                <w:rFonts w:asciiTheme="majorHAnsi" w:hAnsiTheme="majorHAnsi" w:cstheme="majorHAnsi"/>
                <w:sz w:val="18"/>
                <w:szCs w:val="18"/>
              </w:rPr>
              <w:t>2 porty USB 3.2 typu A</w:t>
            </w:r>
          </w:p>
          <w:p w:rsidR="002E2408" w:rsidRPr="00840B9F" w:rsidRDefault="00840B9F" w:rsidP="00840B9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40B9F">
              <w:rPr>
                <w:rFonts w:asciiTheme="majorHAnsi" w:hAnsiTheme="majorHAnsi" w:cstheme="majorHAnsi"/>
                <w:sz w:val="18"/>
                <w:szCs w:val="18"/>
              </w:rPr>
              <w:t xml:space="preserve">1 port USB 3.2 typu C </w:t>
            </w:r>
          </w:p>
          <w:p w:rsidR="008D33C6" w:rsidRPr="00840B9F" w:rsidRDefault="008D33C6" w:rsidP="00840B9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40B9F">
              <w:rPr>
                <w:rFonts w:asciiTheme="majorHAnsi" w:hAnsiTheme="majorHAnsi" w:cstheme="majorHAnsi"/>
                <w:sz w:val="18"/>
                <w:szCs w:val="18"/>
              </w:rPr>
              <w:t>złącze typu Com</w:t>
            </w:r>
            <w:r w:rsidR="00840B9F" w:rsidRPr="00840B9F">
              <w:rPr>
                <w:rFonts w:asciiTheme="majorHAnsi" w:hAnsiTheme="majorHAnsi" w:cstheme="majorHAnsi"/>
                <w:sz w:val="18"/>
                <w:szCs w:val="18"/>
              </w:rPr>
              <w:t>bo lub dwa osobne złącza audio,</w:t>
            </w:r>
          </w:p>
          <w:p w:rsidR="00840B9F" w:rsidRDefault="00840B9F" w:rsidP="00840B9F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(nie dopuszcza się stosowania konwerterów / przejściówek w celu uzyskania wymaganej ilości portów).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Kolor czarny.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BIOS</w:t>
            </w:r>
          </w:p>
        </w:tc>
        <w:tc>
          <w:tcPr>
            <w:tcW w:w="5472" w:type="dxa"/>
            <w:vAlign w:val="center"/>
          </w:tcPr>
          <w:p w:rsidR="008D33C6" w:rsidRPr="00A823C3" w:rsidRDefault="008D33C6" w:rsidP="00EF4BEF">
            <w:pPr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BIOS zgodny ze specyfikacją UEFI.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Możliwość zabezpieczenia wejścia do BIOS hasłem administratora oraz blokowania 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bootowania</w:t>
            </w:r>
            <w:proofErr w:type="spellEnd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z portów USB i zewnętrznych nośników.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Wsparcie technologii RAID.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11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Bezpieczeństwo</w:t>
            </w:r>
          </w:p>
        </w:tc>
        <w:tc>
          <w:tcPr>
            <w:tcW w:w="5472" w:type="dxa"/>
          </w:tcPr>
          <w:p w:rsidR="008D33C6" w:rsidRPr="007C6C9E" w:rsidRDefault="008D33C6" w:rsidP="00EF4BEF">
            <w:pPr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Komputer musi posiadać zintegrowane na płycie głównej rozwiązanie zgodne ze standardem 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>Trusted</w:t>
            </w:r>
            <w:proofErr w:type="spellEnd"/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Platform Module (TPM v2.0).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5472" w:type="dxa"/>
          </w:tcPr>
          <w:p w:rsidR="007C6C9E" w:rsidRDefault="008D33C6" w:rsidP="00EF4BEF">
            <w:pPr>
              <w:widowControl w:val="0"/>
              <w:autoSpaceDE w:val="0"/>
              <w:autoSpaceDN w:val="0"/>
              <w:adjustRightInd w:val="0"/>
              <w:ind w:right="36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M</w:t>
            </w:r>
            <w:r w:rsidRPr="00A823C3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en-US"/>
              </w:rPr>
              <w:t>i</w:t>
            </w:r>
            <w:r w:rsidRPr="00A823C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en-US"/>
              </w:rPr>
              <w:t>c</w:t>
            </w:r>
            <w:r w:rsidRPr="00A823C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en-US"/>
              </w:rPr>
              <w:t>r</w:t>
            </w:r>
            <w:r w:rsidRPr="00A823C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en-US"/>
              </w:rPr>
              <w:t>o</w:t>
            </w:r>
            <w:r w:rsidRPr="00A823C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en-US"/>
              </w:rPr>
              <w:t>s</w:t>
            </w:r>
            <w:r w:rsidRPr="00A823C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en-US"/>
              </w:rPr>
              <w:t>o</w:t>
            </w:r>
            <w:r w:rsidRPr="00A823C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en-US"/>
              </w:rPr>
              <w:t>f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t</w:t>
            </w:r>
            <w:r w:rsidRPr="00A823C3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en-US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en-US"/>
              </w:rPr>
              <w:t>W</w:t>
            </w:r>
            <w:r w:rsidRPr="00A823C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en-US"/>
              </w:rPr>
              <w:t>i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nd</w:t>
            </w:r>
            <w:r w:rsidRPr="00A823C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en-US"/>
              </w:rPr>
              <w:t>o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ws</w:t>
            </w:r>
            <w:r w:rsidRPr="00A823C3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en-US"/>
              </w:rPr>
              <w:t xml:space="preserve"> 11 </w:t>
            </w:r>
            <w:r w:rsidRPr="00A823C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en-US"/>
              </w:rPr>
              <w:t>P</w:t>
            </w:r>
            <w:r w:rsidRPr="00A823C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en-US"/>
              </w:rPr>
              <w:t>r</w:t>
            </w:r>
            <w:r w:rsidRPr="00A823C3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en-US"/>
              </w:rPr>
              <w:t>o</w:t>
            </w:r>
            <w:r w:rsidRPr="00A823C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en-US"/>
              </w:rPr>
              <w:t>f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e</w:t>
            </w:r>
            <w:r w:rsidRPr="00A823C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en-US"/>
              </w:rPr>
              <w:t>ss</w:t>
            </w:r>
            <w:r w:rsidRPr="00A823C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en-US"/>
              </w:rPr>
              <w:t>i</w:t>
            </w:r>
            <w:r w:rsidRPr="00A823C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en-US"/>
              </w:rPr>
              <w:t>o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nal</w:t>
            </w:r>
            <w:r w:rsidRPr="00A823C3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en-US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en-US"/>
              </w:rPr>
              <w:t>6</w:t>
            </w:r>
            <w:r w:rsidRPr="00A823C3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en-US"/>
              </w:rPr>
              <w:t>4</w:t>
            </w:r>
            <w:r w:rsidRPr="00A823C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en-US"/>
              </w:rPr>
              <w:t>-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b</w:t>
            </w:r>
            <w:r w:rsidRPr="00A823C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en-US"/>
              </w:rPr>
              <w:t>i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t</w:t>
            </w:r>
            <w:r w:rsidRPr="00A823C3">
              <w:rPr>
                <w:rFonts w:asciiTheme="majorHAnsi" w:hAnsiTheme="majorHAnsi" w:cstheme="majorHAnsi"/>
                <w:spacing w:val="8"/>
                <w:position w:val="1"/>
                <w:sz w:val="18"/>
                <w:szCs w:val="18"/>
                <w:lang w:val="en-US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en-US"/>
              </w:rPr>
              <w:t>P</w:t>
            </w:r>
            <w:r w:rsidRPr="00A823C3"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  <w:t>L.</w:t>
            </w:r>
            <w:r w:rsidRPr="00A823C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System musi być dedykowany przez producenta komputera, zainstalowany fabrycznie przez producenta komputera oraz musi być opatrzony nową, wcześniej nieużywaną, bezterminową licencją producenta systemu</w:t>
            </w:r>
            <w:r w:rsidR="007C6C9E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:rsidR="008D33C6" w:rsidRPr="00A823C3" w:rsidRDefault="008D33C6" w:rsidP="00EF4BEF">
            <w:pPr>
              <w:widowControl w:val="0"/>
              <w:autoSpaceDE w:val="0"/>
              <w:autoSpaceDN w:val="0"/>
              <w:adjustRightInd w:val="0"/>
              <w:ind w:right="36"/>
              <w:jc w:val="both"/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Zamawiający dopuszcza równoważny system operacyjny, spełniający następujące wymagania: </w:t>
            </w:r>
          </w:p>
          <w:p w:rsidR="008D33C6" w:rsidRPr="00A823C3" w:rsidRDefault="008D33C6" w:rsidP="007C6C9E">
            <w:pPr>
              <w:widowControl w:val="0"/>
              <w:autoSpaceDE w:val="0"/>
              <w:autoSpaceDN w:val="0"/>
              <w:adjustRightInd w:val="0"/>
              <w:ind w:right="36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- g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wa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an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tuje</w:t>
            </w:r>
            <w:r w:rsidRPr="00A823C3">
              <w:rPr>
                <w:rFonts w:asciiTheme="majorHAnsi" w:hAnsiTheme="majorHAnsi" w:cstheme="majorHAnsi"/>
                <w:spacing w:val="44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pe</w:t>
            </w:r>
            <w:r w:rsidRPr="00A823C3">
              <w:rPr>
                <w:rFonts w:asciiTheme="majorHAnsi" w:hAnsiTheme="majorHAnsi" w:cstheme="majorHAnsi"/>
                <w:spacing w:val="-2"/>
                <w:w w:val="101"/>
                <w:sz w:val="18"/>
                <w:szCs w:val="18"/>
              </w:rPr>
              <w:t>ł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ne wyk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pacing w:val="-3"/>
                <w:sz w:val="18"/>
                <w:szCs w:val="18"/>
              </w:rPr>
              <w:t>z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s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tan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e w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s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z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s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t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k</w:t>
            </w:r>
            <w:r w:rsidRPr="00A823C3">
              <w:rPr>
                <w:rFonts w:asciiTheme="majorHAnsi" w:hAnsiTheme="majorHAnsi" w:cstheme="majorHAnsi"/>
                <w:spacing w:val="-3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h</w:t>
            </w:r>
            <w:r w:rsidRPr="00A823C3">
              <w:rPr>
                <w:rFonts w:asciiTheme="majorHAnsi" w:hAnsiTheme="majorHAnsi" w:cstheme="majorHAnsi"/>
                <w:spacing w:val="5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w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y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g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any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h w</w:t>
            </w:r>
            <w:r w:rsidRPr="00A823C3">
              <w:rPr>
                <w:rFonts w:asciiTheme="majorHAnsi" w:hAnsiTheme="majorHAnsi" w:cstheme="majorHAnsi"/>
                <w:spacing w:val="4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niniejszym opisie</w:t>
            </w:r>
            <w:r w:rsidRPr="00A823C3">
              <w:rPr>
                <w:rFonts w:asciiTheme="majorHAnsi" w:hAnsiTheme="majorHAnsi" w:cstheme="majorHAnsi"/>
                <w:spacing w:val="7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p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et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ó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w</w:t>
            </w:r>
            <w:r w:rsidR="007C6C9E">
              <w:rPr>
                <w:rFonts w:asciiTheme="majorHAnsi" w:hAnsiTheme="majorHAnsi" w:cstheme="majorHAnsi"/>
                <w:spacing w:val="6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 xml:space="preserve"> f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un</w:t>
            </w:r>
            <w:r w:rsidRPr="00A823C3">
              <w:rPr>
                <w:rFonts w:asciiTheme="majorHAnsi" w:hAnsiTheme="majorHAnsi" w:cstheme="majorHAnsi"/>
                <w:spacing w:val="-5"/>
                <w:w w:val="101"/>
                <w:sz w:val="18"/>
                <w:szCs w:val="18"/>
              </w:rPr>
              <w:t>k</w:t>
            </w:r>
            <w:r w:rsidRPr="00A823C3">
              <w:rPr>
                <w:rFonts w:asciiTheme="majorHAnsi" w:hAnsiTheme="majorHAnsi" w:cstheme="majorHAnsi"/>
                <w:spacing w:val="1"/>
                <w:w w:val="10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j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na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l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n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ś</w:t>
            </w:r>
            <w:r w:rsidRPr="00A823C3">
              <w:rPr>
                <w:rFonts w:asciiTheme="majorHAnsi" w:hAnsiTheme="majorHAnsi" w:cstheme="majorHAnsi"/>
                <w:spacing w:val="-4"/>
                <w:w w:val="10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i k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put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>e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a, bez stosowania dodatkowego oprogramowania ani emulatorów;</w:t>
            </w:r>
          </w:p>
          <w:p w:rsidR="008D33C6" w:rsidRPr="00A823C3" w:rsidRDefault="008D33C6" w:rsidP="007C6C9E">
            <w:pPr>
              <w:widowControl w:val="0"/>
              <w:autoSpaceDE w:val="0"/>
              <w:autoSpaceDN w:val="0"/>
              <w:adjustRightInd w:val="0"/>
              <w:ind w:right="36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- u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-3"/>
                <w:sz w:val="18"/>
                <w:szCs w:val="18"/>
              </w:rPr>
              <w:t>ż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li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w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5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l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g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wa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n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A823C3">
              <w:rPr>
                <w:rFonts w:asciiTheme="majorHAnsi" w:hAnsiTheme="majorHAnsi" w:cstheme="majorHAnsi"/>
                <w:spacing w:val="4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d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3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d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eny 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t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ve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>D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ir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>e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t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y, bez stosowania dodatkowego oprogramowania ani emulatorów;</w:t>
            </w:r>
          </w:p>
          <w:p w:rsidR="008D33C6" w:rsidRPr="00A823C3" w:rsidRDefault="008D33C6" w:rsidP="007C6C9E">
            <w:pPr>
              <w:widowControl w:val="0"/>
              <w:autoSpaceDE w:val="0"/>
              <w:autoSpaceDN w:val="0"/>
              <w:adjustRightInd w:val="0"/>
              <w:ind w:right="36"/>
              <w:rPr>
                <w:rFonts w:asciiTheme="majorHAnsi" w:hAnsiTheme="majorHAnsi" w:cstheme="majorHAnsi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obsługuje</w:t>
            </w:r>
            <w:r w:rsidRPr="00A823C3">
              <w:rPr>
                <w:rFonts w:asciiTheme="majorHAnsi" w:hAnsiTheme="majorHAnsi" w:cstheme="majorHAnsi"/>
                <w:w w:val="101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ap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li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k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je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b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u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pacing w:val="-1"/>
                <w:sz w:val="18"/>
                <w:szCs w:val="18"/>
              </w:rPr>
              <w:t>o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we 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z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>w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>e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ają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c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 xml:space="preserve"> 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m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ak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r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a </w:t>
            </w:r>
            <w:r w:rsidRPr="00A823C3">
              <w:rPr>
                <w:rFonts w:asciiTheme="majorHAnsi" w:hAnsiTheme="majorHAnsi" w:cstheme="majorHAnsi"/>
                <w:spacing w:val="-4"/>
                <w:sz w:val="18"/>
                <w:szCs w:val="18"/>
              </w:rPr>
              <w:t>V</w:t>
            </w:r>
            <w:r w:rsidRPr="00A823C3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s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 xml:space="preserve">ual </w:t>
            </w:r>
            <w:r w:rsidRPr="00A823C3">
              <w:rPr>
                <w:rFonts w:asciiTheme="majorHAnsi" w:hAnsiTheme="majorHAnsi" w:cstheme="majorHAnsi"/>
                <w:spacing w:val="1"/>
                <w:sz w:val="18"/>
                <w:szCs w:val="18"/>
              </w:rPr>
              <w:t>B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a</w:t>
            </w:r>
            <w:r w:rsidRPr="00A823C3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s</w:t>
            </w:r>
            <w:r w:rsidRPr="00A823C3">
              <w:rPr>
                <w:rFonts w:asciiTheme="majorHAnsi" w:hAnsiTheme="majorHAnsi" w:cstheme="majorHAnsi"/>
                <w:spacing w:val="-3"/>
                <w:sz w:val="18"/>
                <w:szCs w:val="18"/>
              </w:rPr>
              <w:t>i</w:t>
            </w:r>
            <w:r w:rsidRPr="00A823C3">
              <w:rPr>
                <w:rFonts w:asciiTheme="majorHAnsi" w:hAnsiTheme="majorHAnsi" w:cstheme="majorHAnsi"/>
                <w:w w:val="101"/>
                <w:sz w:val="18"/>
                <w:szCs w:val="18"/>
              </w:rPr>
              <w:t xml:space="preserve">c,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bez stosowania dodatkowego oprogramowania ani emulatorów;</w:t>
            </w:r>
          </w:p>
          <w:p w:rsidR="008D33C6" w:rsidRPr="00A823C3" w:rsidRDefault="008D33C6" w:rsidP="007C6C9E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- jest dedykowany przez producenta komputera, zainstalowany fabrycznie przez producenta komputera oraz opatrzony nową, wcześniej nieużywaną, beztermino</w:t>
            </w:r>
            <w:r w:rsidR="007C6C9E">
              <w:rPr>
                <w:rFonts w:asciiTheme="majorHAnsi" w:hAnsiTheme="majorHAnsi" w:cstheme="majorHAnsi"/>
                <w:sz w:val="18"/>
                <w:szCs w:val="18"/>
              </w:rPr>
              <w:t>wą licencją producenta systemu.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autoSpaceDE w:val="0"/>
              <w:autoSpaceDN w:val="0"/>
              <w:adjustRightInd w:val="0"/>
              <w:ind w:right="36"/>
              <w:jc w:val="center"/>
              <w:rPr>
                <w:rFonts w:asciiTheme="majorHAnsi" w:hAnsiTheme="majorHAnsi" w:cstheme="majorHAnsi"/>
                <w:position w:val="1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5A3908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13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shd w:val="clear" w:color="auto" w:fill="FFFFFF"/>
              <w:spacing w:line="285" w:lineRule="atLeast"/>
              <w:outlineLvl w:val="4"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5472" w:type="dxa"/>
          </w:tcPr>
          <w:p w:rsidR="008D33C6" w:rsidRPr="00A823C3" w:rsidRDefault="008D33C6" w:rsidP="007C6C9E">
            <w:pPr>
              <w:jc w:val="both"/>
              <w:rPr>
                <w:rFonts w:asciiTheme="majorHAnsi" w:hAnsiTheme="majorHAnsi" w:cstheme="majorHAnsi"/>
                <w:sz w:val="18"/>
                <w:szCs w:val="18"/>
                <w:highlight w:val="yellow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Gwarancja producenta komputera minimum 3 lata, realizowana przez producenta komputera lub jego upoważnionego i autoryzowanego </w:t>
            </w: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lastRenderedPageBreak/>
              <w:t>partnera serwisowego w siedzibie Zamawiającego, w trybie „on-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site</w:t>
            </w:r>
            <w:proofErr w:type="spellEnd"/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” z czasem reakcji serwisowej, rozumianej jako podjęcie działań serwisowych w miejscu użytkowania sprzętu, najpóźniej w następnym dniu</w:t>
            </w:r>
            <w:r w:rsidR="007C6C9E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roboczym („</w:t>
            </w:r>
            <w:proofErr w:type="spellStart"/>
            <w:r w:rsidR="007C6C9E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Next</w:t>
            </w:r>
            <w:proofErr w:type="spellEnd"/>
            <w:r w:rsidR="007C6C9E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Business Day”)</w:t>
            </w: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. Gwarancja w całym okresie musi również obejmować usługę Producenta komputera umożliwiającą zatrzymanie dysku przez Zamawiającego, tj. w przypadku awarii dysku zostanie dostarczony w ramach gwarancji nowy dysk, a uszkodzony dysk pozostanie własnością Zamawiającego. </w:t>
            </w:r>
            <w:r w:rsidRPr="00A823C3">
              <w:rPr>
                <w:rFonts w:asciiTheme="majorHAnsi" w:hAnsiTheme="majorHAnsi" w:cstheme="majorHAnsi"/>
                <w:sz w:val="18"/>
                <w:szCs w:val="18"/>
              </w:rPr>
              <w:t>Zamawiający wymaga, aby wszystkie egzemplarze dostarczanych komputerów objęte były oficjalnym pakietem gwarancyjnym Producenta komputera lub jego upoważnionego i autoryzowanego partnera serwisowego, speł</w:t>
            </w:r>
            <w:r w:rsidR="007C6C9E">
              <w:rPr>
                <w:rFonts w:asciiTheme="majorHAnsi" w:hAnsiTheme="majorHAnsi" w:cstheme="majorHAnsi"/>
                <w:sz w:val="18"/>
                <w:szCs w:val="18"/>
              </w:rPr>
              <w:t>niającym wszystkie w/w warunki.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lastRenderedPageBreak/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14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shd w:val="clear" w:color="auto" w:fill="FFFFFF"/>
              <w:spacing w:line="285" w:lineRule="atLeast"/>
              <w:outlineLvl w:val="4"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Dostępność</w:t>
            </w:r>
          </w:p>
        </w:tc>
        <w:tc>
          <w:tcPr>
            <w:tcW w:w="5472" w:type="dxa"/>
          </w:tcPr>
          <w:p w:rsidR="008D33C6" w:rsidRPr="007C6C9E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Wszystkie egzemplarze zaoferowanego modelu komputera wraz z wchodzącymi w skład zestawu peryferiami muszą być fabrycznie nowe, wyprodukowane nie dawniej niż w 2025r., oraz jednolite w ramach całej dostawy</w:t>
            </w: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. </w:t>
            </w: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Zamawiający wymaga dostarczenia wszystkich egzemplarzy zaoferowanego modelu komputera wraz z wchodzącymi w skład zestawu peryferiami w nienaruszonych opakowaniach fabrycznych producenta.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15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shd w:val="clear" w:color="auto" w:fill="FFFFFF"/>
              <w:spacing w:line="285" w:lineRule="atLeast"/>
              <w:outlineLvl w:val="4"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Certyfikaty</w:t>
            </w:r>
          </w:p>
        </w:tc>
        <w:tc>
          <w:tcPr>
            <w:tcW w:w="5472" w:type="dxa"/>
          </w:tcPr>
          <w:p w:rsidR="0063091E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oferowane komputery muszą spełniać minimum następując</w:t>
            </w:r>
            <w:r w:rsidR="0063091E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ą normę:</w:t>
            </w:r>
          </w:p>
          <w:p w:rsidR="008D33C6" w:rsidRPr="0063091E" w:rsidRDefault="008D33C6" w:rsidP="0063091E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deklarację zgodności CE, 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widowControl w:val="0"/>
              <w:tabs>
                <w:tab w:val="left" w:pos="709"/>
              </w:tabs>
              <w:suppressAutoHyphens/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  <w:tr w:rsidR="008D33C6" w:rsidRPr="00A823C3" w:rsidTr="00215186">
        <w:trPr>
          <w:trHeight w:val="389"/>
          <w:jc w:val="center"/>
        </w:trPr>
        <w:tc>
          <w:tcPr>
            <w:tcW w:w="498" w:type="dxa"/>
            <w:vAlign w:val="center"/>
          </w:tcPr>
          <w:p w:rsidR="008D33C6" w:rsidRPr="00A823C3" w:rsidRDefault="008D33C6" w:rsidP="00ED6CF7">
            <w:pPr>
              <w:widowControl w:val="0"/>
              <w:suppressAutoHyphens/>
              <w:spacing w:after="200" w:line="276" w:lineRule="auto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  <w:t>16</w:t>
            </w:r>
          </w:p>
        </w:tc>
        <w:tc>
          <w:tcPr>
            <w:tcW w:w="1505" w:type="dxa"/>
            <w:vAlign w:val="center"/>
          </w:tcPr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rPr>
                <w:rFonts w:asciiTheme="majorHAnsi" w:hAnsiTheme="majorHAnsi" w:cstheme="majorHAnsi"/>
                <w:i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Wymagania dodatkowe</w:t>
            </w:r>
          </w:p>
        </w:tc>
        <w:tc>
          <w:tcPr>
            <w:tcW w:w="5472" w:type="dxa"/>
          </w:tcPr>
          <w:p w:rsidR="008D33C6" w:rsidRPr="00A823C3" w:rsidRDefault="008D33C6" w:rsidP="00EF4BEF">
            <w:pPr>
              <w:jc w:val="both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Komputer musi zostać dostarczony z akcesoriami:</w:t>
            </w:r>
          </w:p>
          <w:p w:rsidR="008D33C6" w:rsidRPr="00A823C3" w:rsidRDefault="008D33C6" w:rsidP="00EF4BEF">
            <w:pPr>
              <w:jc w:val="both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-klawiatura: w układzie US-QWERTY - USB, kolor czarny lub czarno-srebrny;</w:t>
            </w:r>
          </w:p>
          <w:p w:rsidR="008D33C6" w:rsidRPr="00A823C3" w:rsidRDefault="008D33C6" w:rsidP="00EF4BEF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asciiTheme="majorHAnsi" w:hAnsiTheme="majorHAnsi" w:cstheme="majorHAnsi"/>
                <w:sz w:val="18"/>
                <w:szCs w:val="18"/>
                <w:lang w:eastAsia="zh-CN" w:bidi="hi-IN"/>
              </w:rPr>
            </w:pPr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-myszka: optyczna - USB, z min. 2 klawiszami oraz rolką (</w:t>
            </w:r>
            <w:proofErr w:type="spellStart"/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scroll</w:t>
            </w:r>
            <w:proofErr w:type="spellEnd"/>
            <w:r w:rsidRPr="00A823C3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), kolor czarny lub czarno-srebrny.</w:t>
            </w:r>
          </w:p>
        </w:tc>
        <w:tc>
          <w:tcPr>
            <w:tcW w:w="1451" w:type="dxa"/>
            <w:vAlign w:val="center"/>
          </w:tcPr>
          <w:p w:rsidR="008D33C6" w:rsidRPr="00A823C3" w:rsidRDefault="00215186" w:rsidP="00215186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TAK / NIE</w:t>
            </w:r>
          </w:p>
        </w:tc>
      </w:tr>
    </w:tbl>
    <w:p w:rsidR="00443709" w:rsidRDefault="00443709">
      <w:pPr>
        <w:rPr>
          <w:rFonts w:asciiTheme="majorHAnsi" w:hAnsiTheme="majorHAnsi" w:cstheme="majorHAnsi"/>
        </w:rPr>
      </w:pPr>
    </w:p>
    <w:p w:rsidR="00ED6CF7" w:rsidRPr="00D811A9" w:rsidRDefault="00443709">
      <w:pPr>
        <w:rPr>
          <w:rFonts w:asciiTheme="majorHAnsi" w:hAnsiTheme="majorHAnsi" w:cstheme="majorHAnsi"/>
          <w:i/>
        </w:rPr>
      </w:pPr>
      <w:r w:rsidRPr="00443709">
        <w:rPr>
          <w:rFonts w:asciiTheme="majorHAnsi" w:hAnsiTheme="majorHAnsi" w:cstheme="majorHAnsi"/>
          <w:i/>
        </w:rPr>
        <w:t>*) niepotrzebne skreślić</w:t>
      </w:r>
    </w:p>
    <w:p w:rsidR="00147FC7" w:rsidRPr="00147FC7" w:rsidRDefault="00147FC7" w:rsidP="00147FC7">
      <w:pPr>
        <w:pStyle w:val="Tekstpodstawowy"/>
        <w:jc w:val="left"/>
        <w:rPr>
          <w:rFonts w:asciiTheme="majorHAnsi" w:hAnsiTheme="majorHAnsi" w:cstheme="majorHAnsi"/>
          <w:b/>
          <w:sz w:val="20"/>
          <w:u w:val="single"/>
        </w:rPr>
      </w:pPr>
      <w:r w:rsidRPr="00147FC7">
        <w:rPr>
          <w:rFonts w:asciiTheme="majorHAnsi" w:hAnsiTheme="majorHAnsi" w:cstheme="majorHAnsi"/>
          <w:b/>
          <w:sz w:val="20"/>
          <w:u w:val="single"/>
        </w:rPr>
        <w:t>UWAGA</w:t>
      </w:r>
    </w:p>
    <w:p w:rsidR="00147FC7" w:rsidRPr="00147FC7" w:rsidRDefault="00147FC7" w:rsidP="00147FC7">
      <w:pPr>
        <w:pStyle w:val="Tekstpodstawowy"/>
        <w:jc w:val="left"/>
        <w:rPr>
          <w:rFonts w:asciiTheme="majorHAnsi" w:hAnsiTheme="majorHAnsi" w:cstheme="majorHAnsi"/>
          <w:b/>
          <w:sz w:val="20"/>
          <w:u w:val="single"/>
        </w:rPr>
      </w:pPr>
    </w:p>
    <w:p w:rsidR="00147FC7" w:rsidRPr="00147FC7" w:rsidRDefault="005A3908" w:rsidP="00147FC7">
      <w:pPr>
        <w:jc w:val="both"/>
        <w:rPr>
          <w:rFonts w:asciiTheme="majorHAnsi" w:hAnsiTheme="majorHAnsi" w:cstheme="majorHAnsi"/>
          <w:bCs/>
          <w:sz w:val="20"/>
        </w:rPr>
      </w:pPr>
      <w:r>
        <w:rPr>
          <w:rFonts w:asciiTheme="majorHAnsi" w:hAnsiTheme="majorHAnsi" w:cstheme="majorHAnsi"/>
          <w:bCs/>
          <w:sz w:val="20"/>
        </w:rPr>
        <w:t xml:space="preserve">W formularzu ofertowym </w:t>
      </w:r>
      <w:r w:rsidR="00147FC7" w:rsidRPr="00147FC7">
        <w:rPr>
          <w:rFonts w:asciiTheme="majorHAnsi" w:hAnsiTheme="majorHAnsi" w:cstheme="majorHAnsi"/>
          <w:bCs/>
          <w:sz w:val="20"/>
        </w:rPr>
        <w:t>wymagane jest podanie przez Wykonawcę:</w:t>
      </w:r>
    </w:p>
    <w:p w:rsidR="00147FC7" w:rsidRPr="00147FC7" w:rsidRDefault="00147FC7" w:rsidP="00147FC7">
      <w:pPr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Cs/>
          <w:sz w:val="20"/>
          <w:szCs w:val="18"/>
        </w:rPr>
      </w:pPr>
      <w:r w:rsidRPr="00147FC7">
        <w:rPr>
          <w:rFonts w:asciiTheme="majorHAnsi" w:hAnsiTheme="majorHAnsi" w:cstheme="majorHAnsi"/>
          <w:bCs/>
          <w:sz w:val="20"/>
          <w:szCs w:val="18"/>
        </w:rPr>
        <w:t>producenta i modelu oferowanego w/w komputera stacjonarnego;</w:t>
      </w:r>
    </w:p>
    <w:p w:rsidR="00147FC7" w:rsidRDefault="00147FC7" w:rsidP="00147FC7">
      <w:pPr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Cs/>
          <w:sz w:val="20"/>
          <w:szCs w:val="18"/>
        </w:rPr>
      </w:pPr>
      <w:r w:rsidRPr="00147FC7">
        <w:rPr>
          <w:rFonts w:asciiTheme="majorHAnsi" w:hAnsiTheme="majorHAnsi" w:cstheme="majorHAnsi"/>
          <w:bCs/>
          <w:sz w:val="20"/>
          <w:szCs w:val="18"/>
        </w:rPr>
        <w:t>producenta i modelu oferowanego w/w procesora;</w:t>
      </w:r>
      <w:bookmarkStart w:id="0" w:name="_GoBack"/>
      <w:bookmarkEnd w:id="0"/>
    </w:p>
    <w:p w:rsidR="005A3908" w:rsidRPr="005A3908" w:rsidRDefault="005A3908" w:rsidP="00147FC7">
      <w:pPr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Cs/>
          <w:sz w:val="20"/>
          <w:szCs w:val="18"/>
        </w:rPr>
      </w:pPr>
      <w:r w:rsidRPr="005A3908">
        <w:rPr>
          <w:rFonts w:asciiTheme="majorHAnsi" w:hAnsiTheme="majorHAnsi" w:cstheme="majorHAnsi"/>
          <w:bCs/>
          <w:sz w:val="20"/>
          <w:szCs w:val="18"/>
        </w:rPr>
        <w:t>producenta i modelu oferowane</w:t>
      </w:r>
      <w:r>
        <w:rPr>
          <w:rFonts w:asciiTheme="majorHAnsi" w:hAnsiTheme="majorHAnsi" w:cstheme="majorHAnsi"/>
          <w:bCs/>
          <w:sz w:val="20"/>
          <w:szCs w:val="18"/>
        </w:rPr>
        <w:t>j</w:t>
      </w:r>
      <w:r w:rsidRPr="005A3908">
        <w:rPr>
          <w:rFonts w:asciiTheme="majorHAnsi" w:hAnsiTheme="majorHAnsi" w:cstheme="majorHAnsi"/>
          <w:bCs/>
          <w:sz w:val="20"/>
          <w:szCs w:val="18"/>
        </w:rPr>
        <w:t xml:space="preserve"> w/w karty graficznej</w:t>
      </w:r>
      <w:r>
        <w:rPr>
          <w:rFonts w:asciiTheme="majorHAnsi" w:hAnsiTheme="majorHAnsi" w:cstheme="majorHAnsi"/>
          <w:bCs/>
          <w:sz w:val="20"/>
          <w:szCs w:val="18"/>
        </w:rPr>
        <w:t>;</w:t>
      </w:r>
    </w:p>
    <w:p w:rsidR="00056BAE" w:rsidRDefault="005A3908" w:rsidP="00056BAE">
      <w:pPr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  <w:r>
        <w:rPr>
          <w:rFonts w:asciiTheme="majorHAnsi" w:hAnsiTheme="majorHAnsi" w:cstheme="majorHAnsi"/>
          <w:position w:val="1"/>
          <w:sz w:val="20"/>
          <w:szCs w:val="18"/>
        </w:rPr>
        <w:t>producenta i wersji oferowanego</w:t>
      </w:r>
      <w:r w:rsidR="00147FC7" w:rsidRPr="00147FC7">
        <w:rPr>
          <w:rFonts w:asciiTheme="majorHAnsi" w:hAnsiTheme="majorHAnsi" w:cstheme="majorHAnsi"/>
          <w:position w:val="1"/>
          <w:sz w:val="20"/>
          <w:szCs w:val="18"/>
        </w:rPr>
        <w:t xml:space="preserve"> w/w systemu operacyjnego;</w:t>
      </w:r>
    </w:p>
    <w:p w:rsidR="00682316" w:rsidRDefault="00682316" w:rsidP="00682316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p w:rsidR="00682316" w:rsidRDefault="00682316" w:rsidP="00682316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p w:rsidR="00D811A9" w:rsidRPr="00D811A9" w:rsidRDefault="00D811A9" w:rsidP="00D811A9">
      <w:pPr>
        <w:spacing w:after="0" w:line="240" w:lineRule="auto"/>
        <w:rPr>
          <w:rFonts w:asciiTheme="majorHAnsi" w:hAnsiTheme="majorHAnsi" w:cstheme="majorHAnsi"/>
          <w:b/>
          <w:position w:val="1"/>
          <w:sz w:val="20"/>
          <w:szCs w:val="18"/>
        </w:rPr>
      </w:pPr>
      <w:r w:rsidRPr="00D811A9">
        <w:rPr>
          <w:rFonts w:asciiTheme="majorHAnsi" w:hAnsiTheme="majorHAnsi" w:cstheme="majorHAnsi"/>
          <w:b/>
          <w:position w:val="1"/>
          <w:sz w:val="20"/>
          <w:szCs w:val="18"/>
        </w:rPr>
        <w:t>* cena jednostkowa brutto nie może być równa lub przekroczyć kwoty 10.000,-</w:t>
      </w:r>
    </w:p>
    <w:p w:rsidR="00D811A9" w:rsidRPr="00D811A9" w:rsidRDefault="00D811A9" w:rsidP="00D811A9">
      <w:pPr>
        <w:spacing w:after="0" w:line="240" w:lineRule="auto"/>
        <w:rPr>
          <w:rFonts w:asciiTheme="majorHAnsi" w:hAnsiTheme="majorHAnsi" w:cstheme="majorHAnsi"/>
          <w:b/>
          <w:position w:val="1"/>
          <w:sz w:val="20"/>
          <w:szCs w:val="18"/>
        </w:rPr>
      </w:pPr>
      <w:r w:rsidRPr="00D811A9">
        <w:rPr>
          <w:rFonts w:asciiTheme="majorHAnsi" w:hAnsiTheme="majorHAnsi" w:cstheme="majorHAnsi"/>
          <w:b/>
          <w:position w:val="1"/>
          <w:sz w:val="20"/>
          <w:szCs w:val="18"/>
        </w:rPr>
        <w:t>Zamawiający przewiduje możliwość złożenia Zamówienia dostarczenia większej ilości komputerów o max. 5 szt. Zamawiający zastrzega, że skorzystanie z prawa opcji jest jego uprawnieniem, nie zaś obowiązkiem i realizowane będzie zgodnie z rzeczywistym zapotrzebowaniem Zamawiającego.</w:t>
      </w:r>
    </w:p>
    <w:p w:rsidR="00682316" w:rsidRPr="00D811A9" w:rsidRDefault="00D811A9" w:rsidP="00D811A9">
      <w:pPr>
        <w:spacing w:after="0" w:line="240" w:lineRule="auto"/>
        <w:rPr>
          <w:rFonts w:asciiTheme="majorHAnsi" w:hAnsiTheme="majorHAnsi" w:cstheme="majorHAnsi"/>
          <w:b/>
          <w:position w:val="1"/>
          <w:sz w:val="20"/>
          <w:szCs w:val="18"/>
        </w:rPr>
      </w:pPr>
      <w:r w:rsidRPr="00D811A9">
        <w:rPr>
          <w:rFonts w:asciiTheme="majorHAnsi" w:hAnsiTheme="majorHAnsi" w:cstheme="majorHAnsi"/>
          <w:b/>
          <w:position w:val="1"/>
          <w:sz w:val="20"/>
          <w:szCs w:val="18"/>
        </w:rPr>
        <w:t>W przypadku nie skorzystania z prawa opcji Wykonawcy nie przysługują z tego tytułu żadne roszczenia wobec Zamawiającego.</w:t>
      </w:r>
    </w:p>
    <w:p w:rsidR="00682316" w:rsidRDefault="00682316" w:rsidP="00682316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p w:rsidR="00682316" w:rsidRDefault="00682316" w:rsidP="00682316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p w:rsidR="00682316" w:rsidRDefault="00682316" w:rsidP="00682316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p w:rsidR="00682316" w:rsidRPr="00682316" w:rsidRDefault="00682316" w:rsidP="00682316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sz w:val="16"/>
          <w:szCs w:val="16"/>
          <w:lang w:eastAsia="pl-PL"/>
        </w:rPr>
      </w:pPr>
      <w:r w:rsidRPr="00682316">
        <w:rPr>
          <w:rFonts w:ascii="Arial" w:eastAsia="SimSun" w:hAnsi="Arial" w:cs="Arial"/>
          <w:sz w:val="16"/>
          <w:szCs w:val="16"/>
          <w:lang w:eastAsia="pl-PL"/>
        </w:rPr>
        <w:t>…………………………………………………………….</w:t>
      </w:r>
    </w:p>
    <w:p w:rsidR="00682316" w:rsidRPr="00682316" w:rsidRDefault="00682316" w:rsidP="00682316">
      <w:pPr>
        <w:tabs>
          <w:tab w:val="center" w:pos="4819"/>
        </w:tabs>
        <w:spacing w:after="0" w:line="240" w:lineRule="auto"/>
        <w:ind w:right="-1"/>
        <w:rPr>
          <w:rFonts w:ascii="Arial" w:eastAsia="SimSun" w:hAnsi="Arial" w:cs="Arial"/>
          <w:sz w:val="16"/>
          <w:szCs w:val="16"/>
          <w:lang w:eastAsia="pl-PL"/>
        </w:rPr>
      </w:pPr>
    </w:p>
    <w:p w:rsidR="00682316" w:rsidRPr="00682316" w:rsidRDefault="00682316" w:rsidP="00682316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sz w:val="16"/>
          <w:szCs w:val="16"/>
          <w:lang w:eastAsia="pl-PL"/>
        </w:rPr>
      </w:pPr>
      <w:r w:rsidRPr="00682316">
        <w:rPr>
          <w:rFonts w:ascii="Arial" w:eastAsia="SimSun" w:hAnsi="Arial" w:cs="Arial"/>
          <w:sz w:val="16"/>
          <w:szCs w:val="16"/>
          <w:lang w:eastAsia="pl-PL"/>
        </w:rPr>
        <w:t>( pieczęć i podpis/y osób/osoby uprawnionej/</w:t>
      </w:r>
      <w:proofErr w:type="spellStart"/>
      <w:r w:rsidRPr="00682316">
        <w:rPr>
          <w:rFonts w:ascii="Arial" w:eastAsia="SimSun" w:hAnsi="Arial" w:cs="Arial"/>
          <w:sz w:val="16"/>
          <w:szCs w:val="16"/>
          <w:lang w:eastAsia="pl-PL"/>
        </w:rPr>
        <w:t>ych</w:t>
      </w:r>
      <w:proofErr w:type="spellEnd"/>
    </w:p>
    <w:p w:rsidR="00682316" w:rsidRPr="00682316" w:rsidRDefault="00682316" w:rsidP="00682316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sz w:val="16"/>
          <w:szCs w:val="16"/>
          <w:lang w:eastAsia="pl-PL"/>
        </w:rPr>
      </w:pPr>
      <w:r w:rsidRPr="00682316">
        <w:rPr>
          <w:rFonts w:ascii="Arial" w:eastAsia="SimSun" w:hAnsi="Arial" w:cs="Arial"/>
          <w:sz w:val="16"/>
          <w:szCs w:val="16"/>
          <w:lang w:eastAsia="pl-PL"/>
        </w:rPr>
        <w:t>do reprezentowania wykonawcy)</w:t>
      </w:r>
    </w:p>
    <w:p w:rsidR="00682316" w:rsidRPr="00682316" w:rsidRDefault="00682316" w:rsidP="00682316">
      <w:pPr>
        <w:spacing w:after="0" w:line="240" w:lineRule="auto"/>
        <w:rPr>
          <w:rFonts w:ascii="Times New Roman" w:eastAsia="SimSun" w:hAnsi="Times New Roman"/>
          <w:sz w:val="20"/>
          <w:szCs w:val="20"/>
          <w:lang w:eastAsia="pl-PL"/>
        </w:rPr>
      </w:pPr>
    </w:p>
    <w:p w:rsidR="00682316" w:rsidRPr="005A3908" w:rsidRDefault="00682316" w:rsidP="00D811A9">
      <w:pPr>
        <w:spacing w:after="0" w:line="240" w:lineRule="auto"/>
        <w:rPr>
          <w:rFonts w:asciiTheme="majorHAnsi" w:hAnsiTheme="majorHAnsi" w:cstheme="majorHAnsi"/>
          <w:position w:val="1"/>
          <w:sz w:val="20"/>
          <w:szCs w:val="18"/>
        </w:rPr>
      </w:pPr>
    </w:p>
    <w:sectPr w:rsidR="00682316" w:rsidRPr="005A3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919EB"/>
    <w:multiLevelType w:val="hybridMultilevel"/>
    <w:tmpl w:val="1E7CEE02"/>
    <w:lvl w:ilvl="0" w:tplc="A33CBB40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CE551B"/>
    <w:multiLevelType w:val="hybridMultilevel"/>
    <w:tmpl w:val="4414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B1525"/>
    <w:multiLevelType w:val="hybridMultilevel"/>
    <w:tmpl w:val="DEF8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D17E8"/>
    <w:multiLevelType w:val="hybridMultilevel"/>
    <w:tmpl w:val="1E7CEE02"/>
    <w:lvl w:ilvl="0" w:tplc="FFFFFFFF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1D1DF4"/>
    <w:multiLevelType w:val="hybridMultilevel"/>
    <w:tmpl w:val="9AD6986E"/>
    <w:lvl w:ilvl="0" w:tplc="4C3E6B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CF7"/>
    <w:rsid w:val="00024D73"/>
    <w:rsid w:val="00056BAE"/>
    <w:rsid w:val="00147FC7"/>
    <w:rsid w:val="00215186"/>
    <w:rsid w:val="002E2408"/>
    <w:rsid w:val="00443709"/>
    <w:rsid w:val="004505A4"/>
    <w:rsid w:val="00511E8C"/>
    <w:rsid w:val="005A3908"/>
    <w:rsid w:val="0063091E"/>
    <w:rsid w:val="00682316"/>
    <w:rsid w:val="006F1C65"/>
    <w:rsid w:val="007C6C9E"/>
    <w:rsid w:val="00840B9F"/>
    <w:rsid w:val="008C5AD9"/>
    <w:rsid w:val="008D33C6"/>
    <w:rsid w:val="00A823C3"/>
    <w:rsid w:val="00B241B9"/>
    <w:rsid w:val="00D811A9"/>
    <w:rsid w:val="00E860F1"/>
    <w:rsid w:val="00EA5FD8"/>
    <w:rsid w:val="00ED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80F1"/>
  <w15:chartTrackingRefBased/>
  <w15:docId w15:val="{C16992A4-90BD-46AA-9501-EDF15509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6C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ED6CF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56BAE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56BAE"/>
    <w:rPr>
      <w:rFonts w:ascii="Arial Narrow" w:eastAsia="Times New Roman" w:hAnsi="Arial Narrow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56BAE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pubenchmark.net/high_end_cpu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3AAEB-36C2-40CE-88F4-A3D3E1B3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Kamasiński</dc:creator>
  <cp:keywords/>
  <dc:description/>
  <cp:lastModifiedBy>A50739</cp:lastModifiedBy>
  <cp:revision>4</cp:revision>
  <dcterms:created xsi:type="dcterms:W3CDTF">2025-12-05T14:45:00Z</dcterms:created>
  <dcterms:modified xsi:type="dcterms:W3CDTF">2025-12-05T15:11:00Z</dcterms:modified>
</cp:coreProperties>
</file>