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pPr w:leftFromText="141" w:rightFromText="141" w:horzAnchor="margin" w:tblpY="1209"/>
        <w:tblW w:w="9067" w:type="dxa"/>
        <w:tblLook w:val="04A0" w:firstRow="1" w:lastRow="0" w:firstColumn="1" w:lastColumn="0" w:noHBand="0" w:noVBand="1"/>
      </w:tblPr>
      <w:tblGrid>
        <w:gridCol w:w="520"/>
        <w:gridCol w:w="6705"/>
        <w:gridCol w:w="992"/>
        <w:gridCol w:w="850"/>
      </w:tblGrid>
      <w:tr w:rsidR="0066756D" w:rsidRPr="0066756D" w14:paraId="74BCD0C9" w14:textId="77777777" w:rsidTr="0066756D">
        <w:trPr>
          <w:trHeight w:val="645"/>
        </w:trPr>
        <w:tc>
          <w:tcPr>
            <w:tcW w:w="520" w:type="dxa"/>
            <w:vMerge w:val="restart"/>
            <w:noWrap/>
            <w:hideMark/>
          </w:tcPr>
          <w:p w14:paraId="280FF597" w14:textId="77777777" w:rsidR="0066756D" w:rsidRPr="0066756D" w:rsidRDefault="0066756D" w:rsidP="0066756D">
            <w:pPr>
              <w:rPr>
                <w:b/>
                <w:bCs/>
              </w:rPr>
            </w:pPr>
            <w:r w:rsidRPr="0066756D">
              <w:rPr>
                <w:b/>
                <w:bCs/>
              </w:rPr>
              <w:t xml:space="preserve">Lp. </w:t>
            </w:r>
          </w:p>
        </w:tc>
        <w:tc>
          <w:tcPr>
            <w:tcW w:w="6705" w:type="dxa"/>
            <w:vMerge w:val="restart"/>
            <w:noWrap/>
            <w:hideMark/>
          </w:tcPr>
          <w:p w14:paraId="074D73D5" w14:textId="77777777" w:rsidR="0066756D" w:rsidRPr="0066756D" w:rsidRDefault="0066756D" w:rsidP="0066756D">
            <w:pPr>
              <w:rPr>
                <w:b/>
                <w:bCs/>
              </w:rPr>
            </w:pPr>
            <w:r w:rsidRPr="0066756D">
              <w:rPr>
                <w:b/>
                <w:bCs/>
              </w:rPr>
              <w:t xml:space="preserve">Przedmiot zamówienia </w:t>
            </w:r>
          </w:p>
        </w:tc>
        <w:tc>
          <w:tcPr>
            <w:tcW w:w="992" w:type="dxa"/>
            <w:vMerge w:val="restart"/>
            <w:noWrap/>
            <w:hideMark/>
          </w:tcPr>
          <w:p w14:paraId="41615AEA" w14:textId="77777777" w:rsidR="0066756D" w:rsidRPr="0066756D" w:rsidRDefault="0066756D" w:rsidP="0066756D">
            <w:pPr>
              <w:rPr>
                <w:b/>
                <w:bCs/>
              </w:rPr>
            </w:pPr>
            <w:r w:rsidRPr="0066756D">
              <w:rPr>
                <w:b/>
                <w:bCs/>
              </w:rPr>
              <w:t xml:space="preserve">ilość </w:t>
            </w:r>
          </w:p>
        </w:tc>
        <w:tc>
          <w:tcPr>
            <w:tcW w:w="850" w:type="dxa"/>
            <w:vMerge w:val="restart"/>
            <w:hideMark/>
          </w:tcPr>
          <w:p w14:paraId="4EE9A71D" w14:textId="77777777" w:rsidR="0066756D" w:rsidRPr="0066756D" w:rsidRDefault="0066756D" w:rsidP="0066756D">
            <w:pPr>
              <w:rPr>
                <w:b/>
                <w:bCs/>
              </w:rPr>
            </w:pPr>
            <w:r w:rsidRPr="0066756D">
              <w:rPr>
                <w:b/>
                <w:bCs/>
              </w:rPr>
              <w:t>jedn. miary</w:t>
            </w:r>
          </w:p>
        </w:tc>
      </w:tr>
      <w:tr w:rsidR="0066756D" w:rsidRPr="0066756D" w14:paraId="50A91B48" w14:textId="77777777" w:rsidTr="0066756D">
        <w:trPr>
          <w:trHeight w:val="450"/>
        </w:trPr>
        <w:tc>
          <w:tcPr>
            <w:tcW w:w="520" w:type="dxa"/>
            <w:vMerge/>
            <w:hideMark/>
          </w:tcPr>
          <w:p w14:paraId="0AA29347" w14:textId="77777777" w:rsidR="0066756D" w:rsidRPr="0066756D" w:rsidRDefault="0066756D" w:rsidP="0066756D">
            <w:pPr>
              <w:rPr>
                <w:b/>
                <w:bCs/>
              </w:rPr>
            </w:pPr>
          </w:p>
        </w:tc>
        <w:tc>
          <w:tcPr>
            <w:tcW w:w="6705" w:type="dxa"/>
            <w:vMerge/>
            <w:hideMark/>
          </w:tcPr>
          <w:p w14:paraId="19F8BFC5" w14:textId="77777777" w:rsidR="0066756D" w:rsidRPr="0066756D" w:rsidRDefault="0066756D" w:rsidP="0066756D">
            <w:pPr>
              <w:rPr>
                <w:b/>
                <w:bCs/>
              </w:rPr>
            </w:pPr>
          </w:p>
        </w:tc>
        <w:tc>
          <w:tcPr>
            <w:tcW w:w="992" w:type="dxa"/>
            <w:vMerge/>
            <w:hideMark/>
          </w:tcPr>
          <w:p w14:paraId="76E1AC26" w14:textId="77777777" w:rsidR="0066756D" w:rsidRPr="0066756D" w:rsidRDefault="0066756D" w:rsidP="0066756D">
            <w:pPr>
              <w:rPr>
                <w:b/>
                <w:bCs/>
              </w:rPr>
            </w:pPr>
          </w:p>
        </w:tc>
        <w:tc>
          <w:tcPr>
            <w:tcW w:w="850" w:type="dxa"/>
            <w:vMerge/>
            <w:hideMark/>
          </w:tcPr>
          <w:p w14:paraId="4A9627DD" w14:textId="77777777" w:rsidR="0066756D" w:rsidRPr="0066756D" w:rsidRDefault="0066756D" w:rsidP="0066756D">
            <w:pPr>
              <w:rPr>
                <w:b/>
                <w:bCs/>
              </w:rPr>
            </w:pPr>
          </w:p>
        </w:tc>
      </w:tr>
      <w:tr w:rsidR="0066756D" w:rsidRPr="0066756D" w14:paraId="05C0719F" w14:textId="77777777" w:rsidTr="0066756D">
        <w:trPr>
          <w:trHeight w:val="4470"/>
        </w:trPr>
        <w:tc>
          <w:tcPr>
            <w:tcW w:w="520" w:type="dxa"/>
            <w:vMerge w:val="restart"/>
            <w:noWrap/>
            <w:hideMark/>
          </w:tcPr>
          <w:p w14:paraId="02886AE8" w14:textId="77777777" w:rsidR="0066756D" w:rsidRPr="0066756D" w:rsidRDefault="0066756D" w:rsidP="0066756D">
            <w:r w:rsidRPr="0066756D">
              <w:t>1.</w:t>
            </w:r>
          </w:p>
        </w:tc>
        <w:tc>
          <w:tcPr>
            <w:tcW w:w="6705" w:type="dxa"/>
            <w:hideMark/>
          </w:tcPr>
          <w:p w14:paraId="42FC6F1B" w14:textId="46A4E677" w:rsidR="0066756D" w:rsidRDefault="0066756D" w:rsidP="0066756D">
            <w:r w:rsidRPr="0066756D">
              <w:rPr>
                <w:b/>
                <w:bCs/>
              </w:rPr>
              <w:t xml:space="preserve">wiata rowerowa, zabudowana na 15  stanowisk z rynienką :                                                                      </w:t>
            </w:r>
            <w:r w:rsidRPr="0066756D">
              <w:t xml:space="preserve">                               - </w:t>
            </w:r>
            <w:r>
              <w:t xml:space="preserve">szerokość </w:t>
            </w:r>
            <w:r w:rsidRPr="0066756D">
              <w:t>630 cm</w:t>
            </w:r>
          </w:p>
          <w:p w14:paraId="5538CD65" w14:textId="77777777" w:rsidR="0066756D" w:rsidRDefault="0066756D" w:rsidP="0066756D">
            <w:r w:rsidRPr="0066756D">
              <w:t xml:space="preserve"> - głębokość 200 cm                                                                                             </w:t>
            </w:r>
            <w:r>
              <w:t xml:space="preserve">                    </w:t>
            </w:r>
            <w:r w:rsidRPr="0066756D">
              <w:t xml:space="preserve">  - wysokość 233 cm                                                                                              </w:t>
            </w:r>
            <w:r>
              <w:t xml:space="preserve">                      </w:t>
            </w:r>
            <w:r w:rsidRPr="0066756D">
              <w:t xml:space="preserve"> - zadaszenie: poliwęglan komorowy,  przezroczysty 0,8 cm                                                                 - konstrukcja nośna: profile 50x50x3 mm                                                                    - konstrukcja zadaszenia: profile 50x30x3 mm                                                         - materiał konstrukcji: stal ocynkowana i malowana, kolor grafitowy matowy                                                                                           </w:t>
            </w:r>
          </w:p>
          <w:p w14:paraId="467A0047" w14:textId="6AE18ED4" w:rsidR="0066756D" w:rsidRPr="0066756D" w:rsidRDefault="0066756D" w:rsidP="0066756D">
            <w:r w:rsidRPr="0066756D">
              <w:t xml:space="preserve"> - mocowanie: do przykręcenia                                                                           ściany: tył i boki zabudowane listwami drewnianymi w kolorze naturalnym (palisander),                                                                                                                                                                  - demontaż istniejących stojaków rowerowych i kostki,</w:t>
            </w:r>
          </w:p>
        </w:tc>
        <w:tc>
          <w:tcPr>
            <w:tcW w:w="992" w:type="dxa"/>
            <w:hideMark/>
          </w:tcPr>
          <w:p w14:paraId="51696DE6" w14:textId="77777777" w:rsidR="0066756D" w:rsidRPr="0066756D" w:rsidRDefault="0066756D" w:rsidP="0066756D">
            <w:r w:rsidRPr="0066756D">
              <w:t>1</w:t>
            </w:r>
          </w:p>
        </w:tc>
        <w:tc>
          <w:tcPr>
            <w:tcW w:w="850" w:type="dxa"/>
            <w:hideMark/>
          </w:tcPr>
          <w:p w14:paraId="54A9F3AF" w14:textId="77777777" w:rsidR="0066756D" w:rsidRPr="0066756D" w:rsidRDefault="0066756D" w:rsidP="0066756D">
            <w:r w:rsidRPr="0066756D">
              <w:t>szt.</w:t>
            </w:r>
          </w:p>
        </w:tc>
      </w:tr>
      <w:tr w:rsidR="0066756D" w:rsidRPr="0066756D" w14:paraId="0FC8B4E1" w14:textId="77777777" w:rsidTr="0066756D">
        <w:trPr>
          <w:trHeight w:val="750"/>
        </w:trPr>
        <w:tc>
          <w:tcPr>
            <w:tcW w:w="520" w:type="dxa"/>
            <w:vMerge/>
            <w:hideMark/>
          </w:tcPr>
          <w:p w14:paraId="42D390B7" w14:textId="77777777" w:rsidR="0066756D" w:rsidRPr="0066756D" w:rsidRDefault="0066756D" w:rsidP="0066756D"/>
        </w:tc>
        <w:tc>
          <w:tcPr>
            <w:tcW w:w="6705" w:type="dxa"/>
            <w:hideMark/>
          </w:tcPr>
          <w:p w14:paraId="49639FE9" w14:textId="77777777" w:rsidR="0066756D" w:rsidRPr="0066756D" w:rsidRDefault="0066756D" w:rsidP="0066756D">
            <w:r w:rsidRPr="0066756D">
              <w:rPr>
                <w:b/>
                <w:bCs/>
              </w:rPr>
              <w:t>stojak rowerowy 5 stanowiskowy z barierką</w:t>
            </w:r>
            <w:r w:rsidRPr="0066756D">
              <w:t xml:space="preserve"> typu CROSS-5 1800mm x 440mm </w:t>
            </w:r>
            <w:proofErr w:type="spellStart"/>
            <w:r w:rsidRPr="0066756D">
              <w:t>wysok</w:t>
            </w:r>
            <w:proofErr w:type="spellEnd"/>
            <w:r w:rsidRPr="0066756D">
              <w:t xml:space="preserve">. (barierka 800mm </w:t>
            </w:r>
            <w:proofErr w:type="spellStart"/>
            <w:r w:rsidRPr="0066756D">
              <w:t>wysok</w:t>
            </w:r>
            <w:proofErr w:type="spellEnd"/>
            <w:r w:rsidRPr="0066756D">
              <w:t>.)</w:t>
            </w:r>
          </w:p>
        </w:tc>
        <w:tc>
          <w:tcPr>
            <w:tcW w:w="992" w:type="dxa"/>
            <w:hideMark/>
          </w:tcPr>
          <w:p w14:paraId="0DFA88E9" w14:textId="77777777" w:rsidR="0066756D" w:rsidRPr="0066756D" w:rsidRDefault="0066756D" w:rsidP="0066756D">
            <w:r w:rsidRPr="0066756D">
              <w:t>3</w:t>
            </w:r>
          </w:p>
        </w:tc>
        <w:tc>
          <w:tcPr>
            <w:tcW w:w="850" w:type="dxa"/>
            <w:hideMark/>
          </w:tcPr>
          <w:p w14:paraId="5F630F43" w14:textId="77777777" w:rsidR="0066756D" w:rsidRPr="0066756D" w:rsidRDefault="0066756D" w:rsidP="0066756D">
            <w:r w:rsidRPr="0066756D">
              <w:t>szt.</w:t>
            </w:r>
          </w:p>
        </w:tc>
      </w:tr>
      <w:tr w:rsidR="0066756D" w:rsidRPr="0066756D" w14:paraId="3EEE8C3D" w14:textId="77777777" w:rsidTr="0066756D">
        <w:trPr>
          <w:trHeight w:val="2400"/>
        </w:trPr>
        <w:tc>
          <w:tcPr>
            <w:tcW w:w="520" w:type="dxa"/>
            <w:vMerge/>
            <w:hideMark/>
          </w:tcPr>
          <w:p w14:paraId="21CFCB05" w14:textId="77777777" w:rsidR="0066756D" w:rsidRPr="0066756D" w:rsidRDefault="0066756D" w:rsidP="0066756D"/>
        </w:tc>
        <w:tc>
          <w:tcPr>
            <w:tcW w:w="6705" w:type="dxa"/>
            <w:hideMark/>
          </w:tcPr>
          <w:p w14:paraId="3BAC49E5" w14:textId="77777777" w:rsidR="0066756D" w:rsidRPr="0066756D" w:rsidRDefault="0066756D" w:rsidP="0066756D">
            <w:r w:rsidRPr="0066756D">
              <w:rPr>
                <w:b/>
                <w:bCs/>
              </w:rPr>
              <w:t>ławka z oparciem</w:t>
            </w:r>
            <w:r w:rsidRPr="0066756D">
              <w:t>, dł. 189,5 cm, wys. całkowita 89 cm, wys. siedziska 45 cm, gł. siedziska 40,5 cm, gł. całkowita ławki 53 cm, profil 45x45 mm, mocowanie (do przykręcenia), listwy drewniane 180x9x3,7 cm (kolor palisander), konstrukcja profil stalowy, w całości wykonana  ze stali ocynkowanej i malowanej (kolor grafitowy matowy), siedzisko i oparcie stanowią listwy drzewa iglastego w kolorze palisander,</w:t>
            </w:r>
          </w:p>
        </w:tc>
        <w:tc>
          <w:tcPr>
            <w:tcW w:w="992" w:type="dxa"/>
            <w:hideMark/>
          </w:tcPr>
          <w:p w14:paraId="5B9BB02E" w14:textId="77777777" w:rsidR="0066756D" w:rsidRPr="0066756D" w:rsidRDefault="0066756D" w:rsidP="0066756D">
            <w:r w:rsidRPr="0066756D">
              <w:t>1</w:t>
            </w:r>
          </w:p>
        </w:tc>
        <w:tc>
          <w:tcPr>
            <w:tcW w:w="850" w:type="dxa"/>
            <w:hideMark/>
          </w:tcPr>
          <w:p w14:paraId="7EC2B451" w14:textId="77777777" w:rsidR="0066756D" w:rsidRPr="0066756D" w:rsidRDefault="0066756D" w:rsidP="0066756D">
            <w:r w:rsidRPr="0066756D">
              <w:t>szt.</w:t>
            </w:r>
          </w:p>
        </w:tc>
      </w:tr>
      <w:tr w:rsidR="0066756D" w:rsidRPr="0066756D" w14:paraId="7ACC61AF" w14:textId="77777777" w:rsidTr="0066756D">
        <w:trPr>
          <w:trHeight w:val="2520"/>
        </w:trPr>
        <w:tc>
          <w:tcPr>
            <w:tcW w:w="520" w:type="dxa"/>
            <w:vMerge/>
            <w:hideMark/>
          </w:tcPr>
          <w:p w14:paraId="6086CBD6" w14:textId="77777777" w:rsidR="0066756D" w:rsidRPr="0066756D" w:rsidRDefault="0066756D" w:rsidP="0066756D"/>
        </w:tc>
        <w:tc>
          <w:tcPr>
            <w:tcW w:w="6705" w:type="dxa"/>
            <w:hideMark/>
          </w:tcPr>
          <w:p w14:paraId="2E46BC1E" w14:textId="6A315D50" w:rsidR="0066756D" w:rsidRPr="0066756D" w:rsidRDefault="0066756D" w:rsidP="0066756D">
            <w:r w:rsidRPr="0066756D">
              <w:rPr>
                <w:b/>
                <w:bCs/>
              </w:rPr>
              <w:t>kosz na odpady</w:t>
            </w:r>
            <w:r w:rsidRPr="0066756D">
              <w:t xml:space="preserve"> typu </w:t>
            </w:r>
            <w:proofErr w:type="spellStart"/>
            <w:r w:rsidRPr="0066756D">
              <w:t>Onyx</w:t>
            </w:r>
            <w:proofErr w:type="spellEnd"/>
            <w:r w:rsidRPr="0066756D">
              <w:t xml:space="preserve"> B stal nierdzewna, ocynkowana i malowana, kolor grafitowo matowy, ewentualnie z dodatkiem drewna w kolorze palisander (</w:t>
            </w:r>
            <w:proofErr w:type="spellStart"/>
            <w:r w:rsidRPr="0066756D">
              <w:t>wys.kosza</w:t>
            </w:r>
            <w:proofErr w:type="spellEnd"/>
            <w:r w:rsidRPr="0066756D">
              <w:t xml:space="preserve"> 86cm, </w:t>
            </w:r>
            <w:proofErr w:type="spellStart"/>
            <w:r w:rsidRPr="0066756D">
              <w:t>szer.kosza</w:t>
            </w:r>
            <w:proofErr w:type="spellEnd"/>
            <w:r w:rsidRPr="0066756D">
              <w:t xml:space="preserve"> </w:t>
            </w:r>
            <w:r w:rsidRPr="0066756D">
              <w:br/>
              <w:t xml:space="preserve">36cm, głębokość k. 36cm, </w:t>
            </w:r>
            <w:proofErr w:type="spellStart"/>
            <w:r w:rsidRPr="0066756D">
              <w:t>pojemn.wsadu</w:t>
            </w:r>
            <w:proofErr w:type="spellEnd"/>
            <w:r w:rsidRPr="0066756D">
              <w:t xml:space="preserve"> 56l, ocynkowany, komponenty k. profil 35x35x1,5mm, wymiary wsadu (</w:t>
            </w:r>
            <w:proofErr w:type="spellStart"/>
            <w:r w:rsidRPr="0066756D">
              <w:t>szer</w:t>
            </w:r>
            <w:proofErr w:type="spellEnd"/>
            <w:r w:rsidRPr="0066756D">
              <w:t xml:space="preserve"> x </w:t>
            </w:r>
            <w:proofErr w:type="spellStart"/>
            <w:r w:rsidRPr="0066756D">
              <w:t>gł</w:t>
            </w:r>
            <w:proofErr w:type="spellEnd"/>
            <w:r w:rsidRPr="0066756D">
              <w:t xml:space="preserve"> x </w:t>
            </w:r>
            <w:proofErr w:type="spellStart"/>
            <w:r w:rsidRPr="0066756D">
              <w:t>wys</w:t>
            </w:r>
            <w:proofErr w:type="spellEnd"/>
            <w:r w:rsidRPr="0066756D">
              <w:t xml:space="preserve">): 28x28x70cm, mocowanie : do przykręcenia, opróżnianie kosza: od góry, </w:t>
            </w:r>
            <w:proofErr w:type="spellStart"/>
            <w:r w:rsidRPr="0066756D">
              <w:t>kstałt</w:t>
            </w:r>
            <w:proofErr w:type="spellEnd"/>
            <w:r w:rsidRPr="0066756D">
              <w:t>: prostokątny</w:t>
            </w:r>
          </w:p>
        </w:tc>
        <w:tc>
          <w:tcPr>
            <w:tcW w:w="992" w:type="dxa"/>
            <w:hideMark/>
          </w:tcPr>
          <w:p w14:paraId="6AAB8989" w14:textId="77777777" w:rsidR="0066756D" w:rsidRPr="0066756D" w:rsidRDefault="0066756D" w:rsidP="0066756D">
            <w:r w:rsidRPr="0066756D">
              <w:t>1</w:t>
            </w:r>
          </w:p>
        </w:tc>
        <w:tc>
          <w:tcPr>
            <w:tcW w:w="850" w:type="dxa"/>
            <w:hideMark/>
          </w:tcPr>
          <w:p w14:paraId="51C84747" w14:textId="77777777" w:rsidR="0066756D" w:rsidRPr="0066756D" w:rsidRDefault="0066756D" w:rsidP="0066756D">
            <w:r w:rsidRPr="0066756D">
              <w:t>szt.</w:t>
            </w:r>
          </w:p>
        </w:tc>
      </w:tr>
      <w:tr w:rsidR="0066756D" w:rsidRPr="0066756D" w14:paraId="687EE02B" w14:textId="77777777" w:rsidTr="0066756D">
        <w:trPr>
          <w:trHeight w:val="300"/>
        </w:trPr>
        <w:tc>
          <w:tcPr>
            <w:tcW w:w="520" w:type="dxa"/>
            <w:vMerge/>
            <w:hideMark/>
          </w:tcPr>
          <w:p w14:paraId="0DCC750E" w14:textId="77777777" w:rsidR="0066756D" w:rsidRPr="0066756D" w:rsidRDefault="0066756D" w:rsidP="0066756D"/>
        </w:tc>
        <w:tc>
          <w:tcPr>
            <w:tcW w:w="6705" w:type="dxa"/>
            <w:hideMark/>
          </w:tcPr>
          <w:p w14:paraId="77B364F0" w14:textId="77777777" w:rsidR="0066756D" w:rsidRPr="0066756D" w:rsidRDefault="0066756D" w:rsidP="0066756D">
            <w:r w:rsidRPr="0066756D">
              <w:t>dostawa</w:t>
            </w:r>
          </w:p>
        </w:tc>
        <w:tc>
          <w:tcPr>
            <w:tcW w:w="992" w:type="dxa"/>
            <w:hideMark/>
          </w:tcPr>
          <w:p w14:paraId="383436A3" w14:textId="77777777" w:rsidR="0066756D" w:rsidRPr="0066756D" w:rsidRDefault="0066756D" w:rsidP="0066756D">
            <w:r w:rsidRPr="0066756D">
              <w:t>1</w:t>
            </w:r>
          </w:p>
        </w:tc>
        <w:tc>
          <w:tcPr>
            <w:tcW w:w="850" w:type="dxa"/>
            <w:hideMark/>
          </w:tcPr>
          <w:p w14:paraId="4620D0F9" w14:textId="77777777" w:rsidR="0066756D" w:rsidRPr="0066756D" w:rsidRDefault="0066756D" w:rsidP="0066756D">
            <w:r w:rsidRPr="0066756D">
              <w:t>szt.</w:t>
            </w:r>
          </w:p>
        </w:tc>
      </w:tr>
      <w:tr w:rsidR="0066756D" w:rsidRPr="0066756D" w14:paraId="65025351" w14:textId="77777777" w:rsidTr="0066756D">
        <w:trPr>
          <w:trHeight w:val="300"/>
        </w:trPr>
        <w:tc>
          <w:tcPr>
            <w:tcW w:w="520" w:type="dxa"/>
            <w:vMerge/>
            <w:hideMark/>
          </w:tcPr>
          <w:p w14:paraId="666AAE9B" w14:textId="77777777" w:rsidR="0066756D" w:rsidRPr="0066756D" w:rsidRDefault="0066756D" w:rsidP="0066756D"/>
        </w:tc>
        <w:tc>
          <w:tcPr>
            <w:tcW w:w="6705" w:type="dxa"/>
            <w:hideMark/>
          </w:tcPr>
          <w:p w14:paraId="25B95A1C" w14:textId="77777777" w:rsidR="0066756D" w:rsidRPr="0066756D" w:rsidRDefault="0066756D" w:rsidP="0066756D">
            <w:r w:rsidRPr="0066756D">
              <w:t>montaż</w:t>
            </w:r>
          </w:p>
        </w:tc>
        <w:tc>
          <w:tcPr>
            <w:tcW w:w="992" w:type="dxa"/>
            <w:hideMark/>
          </w:tcPr>
          <w:p w14:paraId="52C2A9EE" w14:textId="77777777" w:rsidR="0066756D" w:rsidRPr="0066756D" w:rsidRDefault="0066756D" w:rsidP="0066756D">
            <w:r w:rsidRPr="0066756D">
              <w:t>1</w:t>
            </w:r>
          </w:p>
        </w:tc>
        <w:tc>
          <w:tcPr>
            <w:tcW w:w="850" w:type="dxa"/>
            <w:hideMark/>
          </w:tcPr>
          <w:p w14:paraId="10FDED6D" w14:textId="77777777" w:rsidR="0066756D" w:rsidRPr="0066756D" w:rsidRDefault="0066756D" w:rsidP="0066756D">
            <w:r w:rsidRPr="0066756D">
              <w:t>szt.</w:t>
            </w:r>
          </w:p>
        </w:tc>
      </w:tr>
    </w:tbl>
    <w:p w14:paraId="334D956B" w14:textId="77777777" w:rsidR="0066756D" w:rsidRDefault="0066756D" w:rsidP="0066756D">
      <w:pPr>
        <w:ind w:left="4248" w:firstLine="708"/>
        <w:rPr>
          <w:sz w:val="20"/>
          <w:szCs w:val="20"/>
        </w:rPr>
      </w:pPr>
      <w:r w:rsidRPr="0066756D">
        <w:rPr>
          <w:sz w:val="20"/>
          <w:szCs w:val="20"/>
        </w:rPr>
        <w:t>Załącznik nr 1 Opis Przedmiotu Zamówienia</w:t>
      </w:r>
    </w:p>
    <w:p w14:paraId="7C135985" w14:textId="77777777" w:rsidR="0066756D" w:rsidRPr="0066756D" w:rsidRDefault="0066756D" w:rsidP="0066756D">
      <w:pPr>
        <w:ind w:left="4248" w:firstLine="708"/>
        <w:rPr>
          <w:sz w:val="20"/>
          <w:szCs w:val="20"/>
        </w:rPr>
      </w:pPr>
    </w:p>
    <w:p w14:paraId="3E972A6E" w14:textId="772DE1D4" w:rsidR="00AE0F26" w:rsidRDefault="0066756D" w:rsidP="0066756D">
      <w:pPr>
        <w:jc w:val="center"/>
        <w:rPr>
          <w:b/>
          <w:bCs/>
          <w:sz w:val="28"/>
          <w:szCs w:val="28"/>
        </w:rPr>
      </w:pPr>
      <w:r w:rsidRPr="0066756D">
        <w:rPr>
          <w:b/>
          <w:bCs/>
          <w:sz w:val="28"/>
          <w:szCs w:val="28"/>
        </w:rPr>
        <w:t>Opis Przedmiotu Zamówienia</w:t>
      </w:r>
    </w:p>
    <w:p w14:paraId="75FD63B7" w14:textId="77777777" w:rsidR="0066756D" w:rsidRDefault="0066756D" w:rsidP="0066756D">
      <w:pPr>
        <w:jc w:val="center"/>
        <w:rPr>
          <w:b/>
          <w:bCs/>
          <w:sz w:val="28"/>
          <w:szCs w:val="28"/>
        </w:rPr>
      </w:pPr>
    </w:p>
    <w:p w14:paraId="02091A14" w14:textId="77777777" w:rsidR="0066756D" w:rsidRPr="0066756D" w:rsidRDefault="0066756D" w:rsidP="0066756D">
      <w:pPr>
        <w:jc w:val="center"/>
        <w:rPr>
          <w:b/>
          <w:bCs/>
          <w:sz w:val="28"/>
          <w:szCs w:val="28"/>
        </w:rPr>
      </w:pPr>
    </w:p>
    <w:sectPr w:rsidR="0066756D" w:rsidRPr="0066756D" w:rsidSect="0066756D">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56D"/>
    <w:rsid w:val="0004165A"/>
    <w:rsid w:val="001675D9"/>
    <w:rsid w:val="003E5F51"/>
    <w:rsid w:val="0066756D"/>
    <w:rsid w:val="00916C72"/>
    <w:rsid w:val="00AE0F26"/>
    <w:rsid w:val="00C870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604BD"/>
  <w15:chartTrackingRefBased/>
  <w15:docId w15:val="{999FF12B-1927-4C32-8090-207E21F81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675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675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6756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6756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6756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6756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6756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6756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6756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6756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6756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6756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6756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6756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6756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6756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6756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6756D"/>
    <w:rPr>
      <w:rFonts w:eastAsiaTheme="majorEastAsia" w:cstheme="majorBidi"/>
      <w:color w:val="272727" w:themeColor="text1" w:themeTint="D8"/>
    </w:rPr>
  </w:style>
  <w:style w:type="paragraph" w:styleId="Tytu">
    <w:name w:val="Title"/>
    <w:basedOn w:val="Normalny"/>
    <w:next w:val="Normalny"/>
    <w:link w:val="TytuZnak"/>
    <w:uiPriority w:val="10"/>
    <w:qFormat/>
    <w:rsid w:val="006675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6756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6756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6756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6756D"/>
    <w:pPr>
      <w:spacing w:before="160"/>
      <w:jc w:val="center"/>
    </w:pPr>
    <w:rPr>
      <w:i/>
      <w:iCs/>
      <w:color w:val="404040" w:themeColor="text1" w:themeTint="BF"/>
    </w:rPr>
  </w:style>
  <w:style w:type="character" w:customStyle="1" w:styleId="CytatZnak">
    <w:name w:val="Cytat Znak"/>
    <w:basedOn w:val="Domylnaczcionkaakapitu"/>
    <w:link w:val="Cytat"/>
    <w:uiPriority w:val="29"/>
    <w:rsid w:val="0066756D"/>
    <w:rPr>
      <w:i/>
      <w:iCs/>
      <w:color w:val="404040" w:themeColor="text1" w:themeTint="BF"/>
    </w:rPr>
  </w:style>
  <w:style w:type="paragraph" w:styleId="Akapitzlist">
    <w:name w:val="List Paragraph"/>
    <w:basedOn w:val="Normalny"/>
    <w:uiPriority w:val="34"/>
    <w:qFormat/>
    <w:rsid w:val="0066756D"/>
    <w:pPr>
      <w:ind w:left="720"/>
      <w:contextualSpacing/>
    </w:pPr>
  </w:style>
  <w:style w:type="character" w:styleId="Wyrnienieintensywne">
    <w:name w:val="Intense Emphasis"/>
    <w:basedOn w:val="Domylnaczcionkaakapitu"/>
    <w:uiPriority w:val="21"/>
    <w:qFormat/>
    <w:rsid w:val="0066756D"/>
    <w:rPr>
      <w:i/>
      <w:iCs/>
      <w:color w:val="0F4761" w:themeColor="accent1" w:themeShade="BF"/>
    </w:rPr>
  </w:style>
  <w:style w:type="paragraph" w:styleId="Cytatintensywny">
    <w:name w:val="Intense Quote"/>
    <w:basedOn w:val="Normalny"/>
    <w:next w:val="Normalny"/>
    <w:link w:val="CytatintensywnyZnak"/>
    <w:uiPriority w:val="30"/>
    <w:qFormat/>
    <w:rsid w:val="006675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6756D"/>
    <w:rPr>
      <w:i/>
      <w:iCs/>
      <w:color w:val="0F4761" w:themeColor="accent1" w:themeShade="BF"/>
    </w:rPr>
  </w:style>
  <w:style w:type="character" w:styleId="Odwoanieintensywne">
    <w:name w:val="Intense Reference"/>
    <w:basedOn w:val="Domylnaczcionkaakapitu"/>
    <w:uiPriority w:val="32"/>
    <w:qFormat/>
    <w:rsid w:val="0066756D"/>
    <w:rPr>
      <w:b/>
      <w:bCs/>
      <w:smallCaps/>
      <w:color w:val="0F4761" w:themeColor="accent1" w:themeShade="BF"/>
      <w:spacing w:val="5"/>
    </w:rPr>
  </w:style>
  <w:style w:type="table" w:styleId="Tabela-Siatka">
    <w:name w:val="Table Grid"/>
    <w:basedOn w:val="Standardowy"/>
    <w:uiPriority w:val="39"/>
    <w:rsid w:val="0066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26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346</Words>
  <Characters>2081</Characters>
  <Application>Microsoft Office Word</Application>
  <DocSecurity>0</DocSecurity>
  <Lines>17</Lines>
  <Paragraphs>4</Paragraphs>
  <ScaleCrop>false</ScaleCrop>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Konczynska</dc:creator>
  <cp:keywords/>
  <dc:description/>
  <cp:lastModifiedBy>Justyna Konczynska</cp:lastModifiedBy>
  <cp:revision>1</cp:revision>
  <dcterms:created xsi:type="dcterms:W3CDTF">2025-07-04T10:12:00Z</dcterms:created>
  <dcterms:modified xsi:type="dcterms:W3CDTF">2025-07-04T10:19:00Z</dcterms:modified>
</cp:coreProperties>
</file>