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03A3B" w14:textId="77777777" w:rsidR="00A72F38" w:rsidRPr="0087053C" w:rsidRDefault="00A72F38" w:rsidP="00A72F38">
      <w:pPr>
        <w:jc w:val="center"/>
        <w:rPr>
          <w:b/>
          <w:bCs/>
        </w:rPr>
      </w:pPr>
    </w:p>
    <w:p w14:paraId="3566E0F2" w14:textId="77777777" w:rsidR="00A72F38" w:rsidRPr="0087053C" w:rsidRDefault="00A72F38" w:rsidP="00A72F38">
      <w:pPr>
        <w:jc w:val="center"/>
        <w:rPr>
          <w:b/>
          <w:bCs/>
        </w:rPr>
      </w:pPr>
      <w:r w:rsidRPr="0087053C">
        <w:rPr>
          <w:b/>
          <w:bCs/>
        </w:rPr>
        <w:t>ZASADY DNSH</w:t>
      </w:r>
      <w:r w:rsidRPr="0087053C">
        <w:rPr>
          <w:b/>
          <w:bCs/>
        </w:rPr>
        <w:br/>
      </w:r>
      <w:r w:rsidRPr="0087053C">
        <w:t>„NIE CZYŃ POWAŻNYCH SZKÓD”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A72F38" w:rsidRPr="0087053C" w14:paraId="71A45B2B" w14:textId="77777777" w:rsidTr="00CC540C">
        <w:tc>
          <w:tcPr>
            <w:tcW w:w="2830" w:type="dxa"/>
          </w:tcPr>
          <w:p w14:paraId="46D072F7" w14:textId="77777777" w:rsidR="00A72F38" w:rsidRPr="0087053C" w:rsidRDefault="00A72F38" w:rsidP="00CC540C">
            <w:pPr>
              <w:rPr>
                <w:sz w:val="20"/>
                <w:szCs w:val="20"/>
              </w:rPr>
            </w:pPr>
            <w:bookmarkStart w:id="0" w:name="_Hlk164327135"/>
            <w:r w:rsidRPr="0087053C">
              <w:rPr>
                <w:sz w:val="20"/>
                <w:szCs w:val="20"/>
              </w:rPr>
              <w:t>1) Adaptacja do zmian klimatu</w:t>
            </w:r>
          </w:p>
        </w:tc>
        <w:tc>
          <w:tcPr>
            <w:tcW w:w="6232" w:type="dxa"/>
          </w:tcPr>
          <w:p w14:paraId="45D73968" w14:textId="77777777" w:rsidR="00A72F38" w:rsidRPr="0087053C" w:rsidRDefault="00A72F38" w:rsidP="00CC540C">
            <w:pPr>
              <w:rPr>
                <w:sz w:val="20"/>
                <w:szCs w:val="20"/>
              </w:rPr>
            </w:pPr>
            <w:r w:rsidRPr="0087053C">
              <w:rPr>
                <w:sz w:val="20"/>
                <w:szCs w:val="20"/>
              </w:rPr>
              <w:t xml:space="preserve">Podczas projektowania i wznoszenia budynku mają być uwzględnione ekstremalne zdarzenia pogodowe (np. tornado, pożar samoistny, fala upałów, fala mrozu). </w:t>
            </w:r>
          </w:p>
          <w:p w14:paraId="6CC23627" w14:textId="77777777" w:rsidR="00A72F38" w:rsidRPr="0087053C" w:rsidRDefault="00A72F38" w:rsidP="00CC540C">
            <w:pPr>
              <w:rPr>
                <w:sz w:val="20"/>
                <w:szCs w:val="20"/>
              </w:rPr>
            </w:pPr>
            <w:r w:rsidRPr="0087053C">
              <w:rPr>
                <w:sz w:val="20"/>
                <w:szCs w:val="20"/>
              </w:rPr>
              <w:t>Działalność ta jest zgodna z kryteriami określonymi w dodatku A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1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</w:t>
            </w:r>
            <w:r w:rsidRPr="0087053C">
              <w:rPr>
                <w:sz w:val="20"/>
                <w:szCs w:val="20"/>
              </w:rPr>
              <w:t xml:space="preserve"> do niniejszego załącznika.</w:t>
            </w:r>
          </w:p>
        </w:tc>
      </w:tr>
      <w:bookmarkEnd w:id="0"/>
      <w:tr w:rsidR="00A72F38" w:rsidRPr="0087053C" w14:paraId="41BB45B7" w14:textId="77777777" w:rsidTr="00CC540C">
        <w:tc>
          <w:tcPr>
            <w:tcW w:w="2830" w:type="dxa"/>
          </w:tcPr>
          <w:p w14:paraId="494A7B21" w14:textId="77777777" w:rsidR="00A72F38" w:rsidRPr="0087053C" w:rsidRDefault="00A72F38" w:rsidP="00CC540C">
            <w:pPr>
              <w:jc w:val="left"/>
              <w:rPr>
                <w:sz w:val="20"/>
                <w:szCs w:val="20"/>
              </w:rPr>
            </w:pPr>
            <w:r w:rsidRPr="0087053C">
              <w:rPr>
                <w:sz w:val="20"/>
                <w:szCs w:val="20"/>
              </w:rPr>
              <w:t>2) Zrównoważone wykorzystywanie i ochrona zasobów wodnych i morskich</w:t>
            </w:r>
          </w:p>
        </w:tc>
        <w:tc>
          <w:tcPr>
            <w:tcW w:w="6232" w:type="dxa"/>
          </w:tcPr>
          <w:p w14:paraId="49627A3A" w14:textId="77777777" w:rsidR="00A72F38" w:rsidRPr="0087053C" w:rsidRDefault="00A72F38" w:rsidP="00CC540C">
            <w:pPr>
              <w:rPr>
                <w:sz w:val="20"/>
                <w:szCs w:val="20"/>
              </w:rPr>
            </w:pPr>
            <w:r w:rsidRPr="0087053C">
              <w:rPr>
                <w:sz w:val="20"/>
                <w:szCs w:val="20"/>
              </w:rPr>
              <w:t>Z wyjątkiem instalacji w lokalach mieszkalnych w przypadku zainstalowanych następujących urządzeń związanych z wodą zużycie wody jest potwierdzone kartą charakterystyki produktu, certyfikatem budynku lub obowiązującym w Unii oznakowaniem produktu, zgodnie ze specyfikacją techniczną określoną w dodatku E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1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</w:t>
            </w:r>
            <w:r w:rsidRPr="0087053C">
              <w:rPr>
                <w:sz w:val="20"/>
                <w:szCs w:val="20"/>
              </w:rPr>
              <w:t xml:space="preserve">   do niniejszego załącznika: </w:t>
            </w:r>
          </w:p>
          <w:p w14:paraId="61F7E9B8" w14:textId="77777777" w:rsidR="00A72F38" w:rsidRPr="0087053C" w:rsidRDefault="00A72F38" w:rsidP="00A72F38">
            <w:pPr>
              <w:pStyle w:val="Akapitzlist"/>
              <w:numPr>
                <w:ilvl w:val="0"/>
                <w:numId w:val="1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87053C">
              <w:rPr>
                <w:sz w:val="20"/>
                <w:szCs w:val="20"/>
              </w:rPr>
              <w:t xml:space="preserve">maksymalny przepływ wody w kranach umywalek i kranach zlewów wynosi 6 litrów/min; </w:t>
            </w:r>
          </w:p>
          <w:p w14:paraId="7ECE3233" w14:textId="77777777" w:rsidR="00A72F38" w:rsidRPr="0087053C" w:rsidRDefault="00A72F38" w:rsidP="00A72F38">
            <w:pPr>
              <w:pStyle w:val="Akapitzlist"/>
              <w:numPr>
                <w:ilvl w:val="0"/>
                <w:numId w:val="1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87053C">
              <w:rPr>
                <w:sz w:val="20"/>
                <w:szCs w:val="20"/>
              </w:rPr>
              <w:t xml:space="preserve">maksymalny przepływ wody w prysznicach wynosi 8 litrów/min; </w:t>
            </w:r>
          </w:p>
          <w:p w14:paraId="4768C01E" w14:textId="77777777" w:rsidR="00A72F38" w:rsidRPr="0087053C" w:rsidRDefault="00A72F38" w:rsidP="00A72F38">
            <w:pPr>
              <w:pStyle w:val="Akapitzlist"/>
              <w:numPr>
                <w:ilvl w:val="0"/>
                <w:numId w:val="1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87053C">
              <w:rPr>
                <w:sz w:val="20"/>
                <w:szCs w:val="20"/>
              </w:rPr>
              <w:t xml:space="preserve">w toaletach, w tym kompaktach, muszlach i spłuczkach całkowita objętość wody wykorzystywanej do spłukiwania nie może przekraczać 6 litrów, a średnia objętość wody wykorzystywanej do spłukiwania nie może przekraczać 3,5 litra; </w:t>
            </w:r>
          </w:p>
          <w:p w14:paraId="189F26D4" w14:textId="77777777" w:rsidR="00A72F38" w:rsidRPr="0087053C" w:rsidRDefault="00A72F38" w:rsidP="00A72F38">
            <w:pPr>
              <w:pStyle w:val="Akapitzlist"/>
              <w:numPr>
                <w:ilvl w:val="0"/>
                <w:numId w:val="1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87053C">
              <w:rPr>
                <w:sz w:val="20"/>
                <w:szCs w:val="20"/>
              </w:rPr>
              <w:t xml:space="preserve">zużycie wody w pisuarach wynosi maksymalnie 2 litry na muszlę na godzinę. W pisuarach ze spłukiwaniem całkowita objętość wody wykorzystywanej do spłukiwania nie może przekraczać </w:t>
            </w:r>
            <w:r w:rsidRPr="0087053C">
              <w:rPr>
                <w:sz w:val="20"/>
                <w:szCs w:val="20"/>
              </w:rPr>
              <w:br/>
              <w:t xml:space="preserve">1 litra. </w:t>
            </w:r>
          </w:p>
          <w:p w14:paraId="2CA14405" w14:textId="77777777" w:rsidR="00A72F38" w:rsidRPr="0087053C" w:rsidRDefault="00A72F38" w:rsidP="00CC540C">
            <w:pPr>
              <w:rPr>
                <w:sz w:val="20"/>
                <w:szCs w:val="20"/>
              </w:rPr>
            </w:pPr>
            <w:r w:rsidRPr="0087053C">
              <w:rPr>
                <w:sz w:val="20"/>
                <w:szCs w:val="20"/>
              </w:rPr>
              <w:t>Aby uniknąć negatywnych skutków prac budowlanych, działalność ta jest zgodna z kryteriami określonymi w dodatku B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1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</w:t>
            </w:r>
            <w:r w:rsidRPr="0087053C">
              <w:rPr>
                <w:sz w:val="20"/>
                <w:szCs w:val="20"/>
              </w:rPr>
              <w:t xml:space="preserve">   do niniejszego załącznika.</w:t>
            </w:r>
          </w:p>
        </w:tc>
      </w:tr>
      <w:tr w:rsidR="00A72F38" w:rsidRPr="0087053C" w14:paraId="775FCA63" w14:textId="77777777" w:rsidTr="00CC540C">
        <w:tc>
          <w:tcPr>
            <w:tcW w:w="2830" w:type="dxa"/>
          </w:tcPr>
          <w:p w14:paraId="486E4569" w14:textId="77777777" w:rsidR="00A72F38" w:rsidRPr="0087053C" w:rsidRDefault="00A72F38" w:rsidP="00CC540C">
            <w:pPr>
              <w:rPr>
                <w:sz w:val="20"/>
                <w:szCs w:val="20"/>
              </w:rPr>
            </w:pPr>
            <w:r w:rsidRPr="0087053C">
              <w:rPr>
                <w:sz w:val="20"/>
                <w:szCs w:val="20"/>
              </w:rPr>
              <w:t>3) Przejście na gospodarkę o obiegu zamkniętym</w:t>
            </w:r>
          </w:p>
        </w:tc>
        <w:tc>
          <w:tcPr>
            <w:tcW w:w="6232" w:type="dxa"/>
          </w:tcPr>
          <w:p w14:paraId="4969B55F" w14:textId="77777777" w:rsidR="00A72F38" w:rsidRPr="0087053C" w:rsidRDefault="00A72F38" w:rsidP="00CC540C">
            <w:pPr>
              <w:rPr>
                <w:sz w:val="20"/>
                <w:szCs w:val="20"/>
              </w:rPr>
            </w:pP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Co najmniej 70 % (masy) innych niż niebezpieczne odpadów z budowy i rozbiórki (wyłączając naturalnie występujące materiały, o których mowa w kategorii 17 05 04 w europejskim wykazie odpadów ustanowionym w decyzji 2000/532/WE) wytwarzanych na placu budowy jest gotowe do ponownego użycia, recyklingu i innych procesów odzysku materiału, takich jak wypełnianie wyrobisk z wykorzystaniem odpadów zastępujących inne materiały, zgodnie z hierarchią postępowania z odpadami i Protokołem UE dotyczącym gospodarowania odpadami z budowy i rozbiórki 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2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). Operatorzy ograniczają wytwarzanie odpadów w procesach związanych z budową i rozbiórką, zgodnie z Protokołem UE dotyczącym gospodarowania odpadami z budowy i rozbiórki oraz uwzględniając najlepsze dostępne techniki i stosując selektywną rozbiórkę w celu umożliwienia usunięcia substancji niebezpiecznych i bezpiecznego postępowania z nimi oraz ułatwienia ponownego użycia i wysokiej jakości recyklingu w drodze selektywnego usuwania materiałów z wykorzystaniem dostępnych systemów sortowania odpadów z budowy i rozbiórki. Projekty budynków i techniki konstrukcyjne wspomagają obieg zamknięty, a w szczególności wskazują – z uwzględnieniem odniesienia do normy ISO 20887 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3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>)</w:t>
            </w:r>
            <w:r w:rsidRPr="0087053C">
              <w:rPr>
                <w:rStyle w:val="Odwoanieprzypisudolnego"/>
                <w:rFonts w:cs="EU Albertina"/>
                <w:sz w:val="20"/>
                <w:szCs w:val="20"/>
              </w:rPr>
              <w:t xml:space="preserve"> </w:t>
            </w:r>
            <w:r w:rsidRPr="0087053C">
              <w:rPr>
                <w:rStyle w:val="Odwoanieprzypisudolnego"/>
                <w:rFonts w:cs="EU Albertina"/>
                <w:color w:val="FFFFFF" w:themeColor="background1"/>
                <w:sz w:val="20"/>
                <w:szCs w:val="20"/>
              </w:rPr>
              <w:footnoteReference w:id="1"/>
            </w:r>
            <w:r w:rsidRPr="0087053C">
              <w:rPr>
                <w:rFonts w:cs="EU Albertina"/>
                <w:color w:val="FFFFFF" w:themeColor="background1"/>
                <w:sz w:val="20"/>
                <w:szCs w:val="20"/>
              </w:rPr>
              <w:t xml:space="preserve"> 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lub innych norm w zakresie oceny możliwości demontażu lub dostosowania budynków – w jaki sposób w ramach projektu zapewniono wyższy poziom </w:t>
            </w:r>
            <w:proofErr w:type="spellStart"/>
            <w:r w:rsidRPr="0087053C">
              <w:rPr>
                <w:rFonts w:cs="EU Albertina"/>
                <w:color w:val="000000"/>
                <w:sz w:val="20"/>
                <w:szCs w:val="20"/>
              </w:rPr>
              <w:lastRenderedPageBreak/>
              <w:t>zasobooszczędności</w:t>
            </w:r>
            <w:proofErr w:type="spellEnd"/>
            <w:r w:rsidRPr="0087053C">
              <w:rPr>
                <w:rFonts w:cs="EU Albertina"/>
                <w:color w:val="000000"/>
                <w:sz w:val="20"/>
                <w:szCs w:val="20"/>
              </w:rPr>
              <w:t>, możliwości dostosowania, elastyczności i możliwości demontażu w celu umożliwienia ponownego użycia i recyklingu.</w:t>
            </w:r>
          </w:p>
        </w:tc>
      </w:tr>
      <w:tr w:rsidR="00A72F38" w:rsidRPr="0087053C" w14:paraId="129984B7" w14:textId="77777777" w:rsidTr="00CC540C">
        <w:tc>
          <w:tcPr>
            <w:tcW w:w="2830" w:type="dxa"/>
          </w:tcPr>
          <w:p w14:paraId="30E41FBE" w14:textId="77777777" w:rsidR="00A72F38" w:rsidRPr="0087053C" w:rsidRDefault="00A72F38" w:rsidP="00CC540C">
            <w:pPr>
              <w:rPr>
                <w:sz w:val="20"/>
                <w:szCs w:val="20"/>
              </w:rPr>
            </w:pPr>
            <w:r w:rsidRPr="0087053C">
              <w:rPr>
                <w:sz w:val="20"/>
                <w:szCs w:val="20"/>
              </w:rPr>
              <w:lastRenderedPageBreak/>
              <w:t>4)Zapobieganie zanieczyszczeniom i ich kontrola</w:t>
            </w:r>
          </w:p>
        </w:tc>
        <w:tc>
          <w:tcPr>
            <w:tcW w:w="6232" w:type="dxa"/>
          </w:tcPr>
          <w:p w14:paraId="3AA28587" w14:textId="77777777" w:rsidR="00A72F38" w:rsidRPr="0087053C" w:rsidRDefault="00A72F38" w:rsidP="00CC540C">
            <w:pPr>
              <w:rPr>
                <w:sz w:val="20"/>
                <w:szCs w:val="20"/>
              </w:rPr>
            </w:pPr>
            <w:r w:rsidRPr="0087053C">
              <w:rPr>
                <w:sz w:val="20"/>
                <w:szCs w:val="20"/>
              </w:rPr>
              <w:t>Elementy budynków i materiały budowlane wykorzystane przy budowie są zgodne z kryteriami określonymi w dodatku C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1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</w:t>
            </w:r>
            <w:r w:rsidRPr="0087053C">
              <w:rPr>
                <w:sz w:val="20"/>
                <w:szCs w:val="20"/>
              </w:rPr>
              <w:t xml:space="preserve">   do niniejszego załącznika.</w:t>
            </w:r>
          </w:p>
          <w:p w14:paraId="07E96D27" w14:textId="77777777" w:rsidR="00A72F38" w:rsidRPr="0087053C" w:rsidRDefault="00A72F38" w:rsidP="00CC540C">
            <w:pPr>
              <w:pStyle w:val="CM3"/>
              <w:rPr>
                <w:rFonts w:cs="EU Albertina"/>
                <w:color w:val="000000"/>
                <w:sz w:val="20"/>
                <w:szCs w:val="20"/>
              </w:rPr>
            </w:pPr>
          </w:p>
          <w:p w14:paraId="210D343B" w14:textId="77777777" w:rsidR="00A72F38" w:rsidRPr="0087053C" w:rsidRDefault="00A72F38" w:rsidP="00CC540C">
            <w:pPr>
              <w:rPr>
                <w:sz w:val="20"/>
                <w:szCs w:val="20"/>
              </w:rPr>
            </w:pP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Elementy budynków i materiały budowlane wykorzystane przy budowie, z którymi mieszkańcy mogą mieć kontakt 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4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), emitują mniej niż 0,06 mg formaldehydu na m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3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materiału lub elementu na podstawie badania zgodnie z warunkami określonymi w załączniku XVII do rozporządzenia (WE) nr 1907/2006 oraz mniej niż 0,001 mg innych rakotwórczych lotnych związków organicznych kategorii 1A i 1B na m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3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materiału lub elementu, co należy ustalić w ramach badań przeprowadzonych zgodnie z normą CEN/EN 16516 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5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 i ISO 16000- 3:2011 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6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 lub innymi równoważnymi znormalizowanymi warunkami badania i metodami oznaczania 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7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). Jeżeli nowy budynek jest wznoszony na terenie potencjalnie zanieczyszczonym (teren zdegradowany), taki teren poddano badaniu pod kątem potencjalnych zanieczyszczeń, na przykład z wykorzystaniem normy ISO 18400 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 xml:space="preserve">8 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>). Wprowadzono środki służące redukcji emisji hałasu, kurzu i zanieczyszczeń w trakcie robót budowlanych lub konserwacyjnych.</w:t>
            </w:r>
          </w:p>
        </w:tc>
      </w:tr>
      <w:tr w:rsidR="00A72F38" w:rsidRPr="0087053C" w14:paraId="5A8F99F2" w14:textId="77777777" w:rsidTr="00CC540C">
        <w:tc>
          <w:tcPr>
            <w:tcW w:w="2830" w:type="dxa"/>
          </w:tcPr>
          <w:p w14:paraId="26852CAF" w14:textId="77777777" w:rsidR="00A72F38" w:rsidRPr="0087053C" w:rsidRDefault="00A72F38" w:rsidP="00CC540C">
            <w:pPr>
              <w:jc w:val="left"/>
              <w:rPr>
                <w:sz w:val="20"/>
                <w:szCs w:val="20"/>
              </w:rPr>
            </w:pPr>
            <w:r w:rsidRPr="0087053C">
              <w:rPr>
                <w:rFonts w:cs="EU Albertina"/>
                <w:color w:val="000000"/>
                <w:sz w:val="20"/>
                <w:szCs w:val="20"/>
              </w:rPr>
              <w:t>5) Ochrona i odbudowa bioróżnorodności i ekosystemów</w:t>
            </w:r>
          </w:p>
        </w:tc>
        <w:tc>
          <w:tcPr>
            <w:tcW w:w="6232" w:type="dxa"/>
          </w:tcPr>
          <w:p w14:paraId="5E1004FF" w14:textId="77777777" w:rsidR="00A72F38" w:rsidRPr="0087053C" w:rsidRDefault="00A72F38" w:rsidP="00CC540C">
            <w:pPr>
              <w:rPr>
                <w:rFonts w:cs="EU Albertina"/>
                <w:color w:val="000000"/>
                <w:sz w:val="20"/>
                <w:szCs w:val="20"/>
              </w:rPr>
            </w:pP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Działalność ta jest zgodna z kryteriami określonymi w dodatku D(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1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</w:t>
            </w:r>
            <w:r w:rsidRPr="0087053C">
              <w:rPr>
                <w:sz w:val="20"/>
                <w:szCs w:val="20"/>
              </w:rPr>
              <w:t xml:space="preserve">  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do niniejszego załącznika. Nowego budynku nie wznosi się na żadnym z następujących terenów: </w:t>
            </w:r>
          </w:p>
          <w:p w14:paraId="279C9928" w14:textId="77777777" w:rsidR="00A72F38" w:rsidRPr="0087053C" w:rsidRDefault="00A72F38" w:rsidP="00A72F38">
            <w:pPr>
              <w:pStyle w:val="Akapitzlist"/>
              <w:numPr>
                <w:ilvl w:val="0"/>
                <w:numId w:val="2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grunty orne i grunty uprawne o średnim lub wysokim poziomie żyzności gleby i podziemnej bioróżnorodności, o czym mowa w unijnym badaniu LUCAS 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9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);</w:t>
            </w:r>
          </w:p>
          <w:p w14:paraId="3DAC6A4C" w14:textId="77777777" w:rsidR="00A72F38" w:rsidRPr="0087053C" w:rsidRDefault="00A72F38" w:rsidP="00A72F38">
            <w:pPr>
              <w:pStyle w:val="Akapitzlist"/>
              <w:numPr>
                <w:ilvl w:val="0"/>
                <w:numId w:val="2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teren niezagospodarowany o uznanej wysokiej wartości pod względem bioróżnorodności oraz teren służący za siedlisko gatunków zagrożonych (fauny i flory) wymienionych w Europejskiej czerwonej księdze 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>10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 lub czerwonej księdze IUCN (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 xml:space="preserve"> 11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 ); </w:t>
            </w:r>
          </w:p>
          <w:p w14:paraId="1A76CC7D" w14:textId="77777777" w:rsidR="00A72F38" w:rsidRPr="0087053C" w:rsidRDefault="00A72F38" w:rsidP="00A72F38">
            <w:pPr>
              <w:pStyle w:val="Akapitzlist"/>
              <w:numPr>
                <w:ilvl w:val="0"/>
                <w:numId w:val="2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87053C">
              <w:rPr>
                <w:rFonts w:cs="EU Albertina"/>
                <w:color w:val="000000"/>
                <w:sz w:val="20"/>
                <w:szCs w:val="20"/>
              </w:rPr>
              <w:t xml:space="preserve">teren odpowiadający definicji lasu określonej w prawie krajowym i stosowanej w krajowym bilansie emisji gazów cieplarnianych lub, jeżeli nie jest ona dostępna, odpowiadający definicji lasu ustanowionej przez FAO ( </w:t>
            </w:r>
            <w:r w:rsidRPr="0087053C">
              <w:rPr>
                <w:rFonts w:cs="EU Albertina"/>
                <w:color w:val="000000"/>
                <w:sz w:val="20"/>
                <w:szCs w:val="20"/>
                <w:vertAlign w:val="superscript"/>
              </w:rPr>
              <w:t xml:space="preserve">12 </w:t>
            </w:r>
            <w:r w:rsidRPr="0087053C">
              <w:rPr>
                <w:rFonts w:cs="EU Albertina"/>
                <w:color w:val="000000"/>
                <w:sz w:val="20"/>
                <w:szCs w:val="20"/>
              </w:rPr>
              <w:t>).</w:t>
            </w:r>
          </w:p>
        </w:tc>
      </w:tr>
      <w:tr w:rsidR="00A72F38" w:rsidRPr="0087053C" w14:paraId="738042C9" w14:textId="77777777" w:rsidTr="00CC540C">
        <w:tc>
          <w:tcPr>
            <w:tcW w:w="2830" w:type="dxa"/>
            <w:shd w:val="clear" w:color="auto" w:fill="auto"/>
          </w:tcPr>
          <w:p w14:paraId="5211BE24" w14:textId="77777777" w:rsidR="00A72F38" w:rsidRPr="0087053C" w:rsidRDefault="00A72F38" w:rsidP="00CC540C">
            <w:pPr>
              <w:rPr>
                <w:rFonts w:cs="EU Albertina"/>
                <w:color w:val="000000"/>
                <w:sz w:val="20"/>
                <w:szCs w:val="20"/>
              </w:rPr>
            </w:pPr>
            <w:r w:rsidRPr="0087053C">
              <w:rPr>
                <w:rFonts w:cs="EU Albertina"/>
                <w:color w:val="000000"/>
                <w:sz w:val="20"/>
                <w:szCs w:val="20"/>
              </w:rPr>
              <w:t>6)Energia pierwotna</w:t>
            </w:r>
          </w:p>
        </w:tc>
        <w:tc>
          <w:tcPr>
            <w:tcW w:w="6232" w:type="dxa"/>
            <w:shd w:val="clear" w:color="auto" w:fill="auto"/>
          </w:tcPr>
          <w:p w14:paraId="0DB85422" w14:textId="77777777" w:rsidR="00A72F38" w:rsidRPr="0087053C" w:rsidRDefault="00A72F38" w:rsidP="00CC540C">
            <w:pPr>
              <w:pStyle w:val="Default"/>
              <w:rPr>
                <w:rFonts w:asciiTheme="minorHAnsi" w:hAnsiTheme="minorHAnsi" w:cs="EU Albertina"/>
                <w:kern w:val="2"/>
                <w:sz w:val="20"/>
                <w:szCs w:val="20"/>
              </w:rPr>
            </w:pPr>
            <w:r w:rsidRPr="0087053C">
              <w:rPr>
                <w:rFonts w:asciiTheme="minorHAnsi" w:hAnsiTheme="minorHAnsi" w:cs="EU Albertina"/>
                <w:kern w:val="2"/>
                <w:sz w:val="20"/>
                <w:szCs w:val="20"/>
              </w:rPr>
              <w:t xml:space="preserve">Zapotrzebowanie na energię pierwotną (PED1), decydujące o charakterystyce energetycznej budynku osiągniętej w wyniku robót budowlanych, jest przynajmniej o 20 % mniejsze niż próg określony w odniesieniu do wymagań dotyczących budynków określonych w przepisach rozdziału X i załącznika nr 2 do rozporządzenia Ministra Infrastruktury z dnia 12 kwietnia 2002 r. sprawie warunków technicznych, jakim powinny odpowiadać budynki i ich usytuowanie </w:t>
            </w:r>
          </w:p>
        </w:tc>
      </w:tr>
    </w:tbl>
    <w:p w14:paraId="1A8F2031" w14:textId="77777777" w:rsidR="00A72F38" w:rsidRPr="0087053C" w:rsidRDefault="00A72F38" w:rsidP="00A72F38">
      <w:pPr>
        <w:pStyle w:val="CM3"/>
        <w:jc w:val="both"/>
        <w:rPr>
          <w:rFonts w:cs="EU Albertina"/>
          <w:color w:val="000000"/>
          <w:sz w:val="17"/>
          <w:szCs w:val="17"/>
        </w:rPr>
      </w:pPr>
    </w:p>
    <w:p w14:paraId="7FD2C559" w14:textId="77777777" w:rsidR="00A72F38" w:rsidRPr="0087053C" w:rsidRDefault="00A72F38" w:rsidP="00A72F38">
      <w:pPr>
        <w:rPr>
          <w:rFonts w:cstheme="minorHAnsi"/>
          <w:sz w:val="20"/>
          <w:szCs w:val="20"/>
        </w:rPr>
      </w:pPr>
    </w:p>
    <w:p w14:paraId="53E9E775" w14:textId="77777777" w:rsidR="00A72F38" w:rsidRPr="0087053C" w:rsidRDefault="00A72F38" w:rsidP="00A72F38">
      <w:pPr>
        <w:rPr>
          <w:rFonts w:cstheme="minorHAnsi"/>
          <w:color w:val="000000"/>
          <w:sz w:val="20"/>
          <w:szCs w:val="20"/>
        </w:rPr>
      </w:pPr>
      <w:r w:rsidRPr="0087053C">
        <w:rPr>
          <w:rFonts w:cstheme="minorHAnsi"/>
          <w:sz w:val="20"/>
          <w:szCs w:val="20"/>
        </w:rPr>
        <w:t xml:space="preserve">( </w:t>
      </w:r>
      <w:r w:rsidRPr="0087053C">
        <w:rPr>
          <w:rFonts w:cstheme="minorHAnsi"/>
          <w:sz w:val="20"/>
          <w:szCs w:val="20"/>
          <w:vertAlign w:val="superscript"/>
        </w:rPr>
        <w:t>1</w:t>
      </w:r>
      <w:r w:rsidRPr="0087053C">
        <w:rPr>
          <w:rFonts w:cstheme="minorHAnsi"/>
          <w:sz w:val="20"/>
          <w:szCs w:val="20"/>
        </w:rPr>
        <w:t xml:space="preserve"> ) Dodatki są integralną częścią rozporządzenia „DELEGOWANE KOMISJI (UE) 2021/2139 z dnia 4 czerwca 2021 r. </w:t>
      </w:r>
      <w:r w:rsidRPr="0087053C">
        <w:rPr>
          <w:rFonts w:cstheme="minorHAnsi"/>
          <w:color w:val="000000"/>
          <w:sz w:val="20"/>
          <w:szCs w:val="20"/>
        </w:rPr>
        <w:t>uzupełniające rozporządzenie Parlamentu Europejskiego i Rady (UE) 2020/852 poprzez ustanowienie technicznych kryteriów kwalifikacji służących określeniu warunków, na jakich dana działalność gospodarcza kwalifikuje się jako wnosząca istotny</w:t>
      </w:r>
      <w:bookmarkStart w:id="1" w:name="_Hlk164327350"/>
      <w:r w:rsidRPr="0087053C">
        <w:rPr>
          <w:rFonts w:cstheme="minorHAnsi"/>
          <w:color w:val="000000"/>
          <w:sz w:val="20"/>
          <w:szCs w:val="20"/>
        </w:rPr>
        <w:t xml:space="preserve"> wkład w łagodzenie zmian klimatu lub w adaptację</w:t>
      </w:r>
      <w:r w:rsidRPr="0087053C"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Pr="0087053C">
        <w:rPr>
          <w:rFonts w:cstheme="minorHAnsi"/>
          <w:color w:val="000000"/>
          <w:sz w:val="20"/>
          <w:szCs w:val="20"/>
        </w:rPr>
        <w:t xml:space="preserve">do zmian klimatu, a także określeniu, czy ta działalność gospodarcza nie wyrządza poważnych szkód względem żadnego z pozostałych celów środowiskowych” </w:t>
      </w:r>
      <w:bookmarkEnd w:id="1"/>
    </w:p>
    <w:p w14:paraId="4F6164B8" w14:textId="77777777" w:rsidR="00A72F38" w:rsidRPr="0087053C" w:rsidRDefault="00A72F38" w:rsidP="00A72F38">
      <w:pPr>
        <w:pStyle w:val="CM1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( </w:t>
      </w:r>
      <w:r w:rsidRPr="0087053C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2</w:t>
      </w: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 ) Protokół UE dotyczący gospodarowania odpadami z budowy i rozbiórki (wersja z dnia 4.6.2021: https://ec.europa.eu/growth/ </w:t>
      </w:r>
      <w:proofErr w:type="spellStart"/>
      <w:r w:rsidRPr="0087053C">
        <w:rPr>
          <w:rFonts w:asciiTheme="minorHAnsi" w:hAnsiTheme="minorHAnsi" w:cstheme="minorHAnsi"/>
          <w:color w:val="000000"/>
          <w:sz w:val="20"/>
          <w:szCs w:val="20"/>
        </w:rPr>
        <w:t>content</w:t>
      </w:r>
      <w:proofErr w:type="spellEnd"/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/eu-construction-and-demolition-waste-protocol-0_en). </w:t>
      </w:r>
    </w:p>
    <w:p w14:paraId="6661D24A" w14:textId="77777777" w:rsidR="00A72F38" w:rsidRPr="0087053C" w:rsidRDefault="00A72F38" w:rsidP="00A72F38">
      <w:pPr>
        <w:rPr>
          <w:rFonts w:cstheme="minorHAnsi"/>
          <w:sz w:val="20"/>
          <w:szCs w:val="20"/>
        </w:rPr>
      </w:pPr>
    </w:p>
    <w:p w14:paraId="51CD4CDB" w14:textId="77777777" w:rsidR="00A72F38" w:rsidRPr="0087053C" w:rsidRDefault="00A72F38" w:rsidP="00A72F38">
      <w:pPr>
        <w:rPr>
          <w:rFonts w:cstheme="minorHAnsi"/>
          <w:sz w:val="20"/>
          <w:szCs w:val="20"/>
        </w:rPr>
      </w:pPr>
    </w:p>
    <w:p w14:paraId="4C0A3D95" w14:textId="77777777" w:rsidR="00A72F38" w:rsidRPr="0087053C" w:rsidRDefault="00A72F38" w:rsidP="00A72F38">
      <w:pPr>
        <w:pStyle w:val="CM3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( </w:t>
      </w:r>
      <w:r w:rsidRPr="0087053C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3</w:t>
      </w: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 ) ISO 20887:2020, Zrównoważony charakter budynków i robót budowlanych związanych z inżynierią lądową – Projektowanie do celów możliwości demontażu i adaptacji – Zasady, wymagania i wytyczne, (wersja z dnia 4.6.2021: https://www.iso.org/ standard/69370.html).</w:t>
      </w:r>
    </w:p>
    <w:p w14:paraId="3FE956AB" w14:textId="77777777" w:rsidR="00A72F38" w:rsidRPr="0087053C" w:rsidRDefault="00A72F38" w:rsidP="00A72F38">
      <w:pPr>
        <w:pStyle w:val="CM4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( </w:t>
      </w:r>
      <w:r w:rsidRPr="0087053C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4</w:t>
      </w: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 ) Dotyczy farb i lakierów, paneli sufitu, pokryć podłogowych, w tym powiązanych spoiw, szczeliw, izolacji wewnętrznej i zewnętrznej obróbki powierzchni, w tym obróbki zapobiegającej wilgoci i pleśni. </w:t>
      </w:r>
    </w:p>
    <w:p w14:paraId="75AEBA48" w14:textId="77777777" w:rsidR="00A72F38" w:rsidRPr="0087053C" w:rsidRDefault="00A72F38" w:rsidP="00A72F38">
      <w:pPr>
        <w:pStyle w:val="CM4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7053C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Pr="0087053C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 xml:space="preserve"> 5</w:t>
      </w: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 ) CEN/TS 16516: 2013, „Wyroby budowlane – Ocena uwalniania substancji niebezpiecznych – Określenie emisji do wnętrza budynku”. </w:t>
      </w:r>
    </w:p>
    <w:p w14:paraId="4B2D4608" w14:textId="77777777" w:rsidR="00A72F38" w:rsidRPr="0087053C" w:rsidRDefault="00A72F38" w:rsidP="00A72F38">
      <w:pPr>
        <w:pStyle w:val="CM4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( </w:t>
      </w:r>
      <w:r w:rsidRPr="0087053C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6</w:t>
      </w: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 ) ISO 16000-3:2011, „Powietrze wnętrz – Część 3: Oznaczanie formaldehydu i innych związków karbonylowych w powietrzu wewnątrz pomieszczeń i w komorze badawczej – Pobieranie próbek metodą aktywną, (wersja z dnia 4.6.2021: https://www.iso. org/standard/51812.html). </w:t>
      </w:r>
    </w:p>
    <w:p w14:paraId="22E46DB6" w14:textId="77777777" w:rsidR="00A72F38" w:rsidRPr="0087053C" w:rsidRDefault="00A72F38" w:rsidP="00A72F38">
      <w:pPr>
        <w:pStyle w:val="CM4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( </w:t>
      </w:r>
      <w:r w:rsidRPr="0087053C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7</w:t>
      </w: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 ) Próg emisji rakotwórczych lotnych związków organicznych dotyczy 28-dniowego okresu badania. </w:t>
      </w:r>
    </w:p>
    <w:p w14:paraId="30519990" w14:textId="77777777" w:rsidR="00A72F38" w:rsidRPr="0087053C" w:rsidRDefault="00A72F38" w:rsidP="00A72F38">
      <w:pPr>
        <w:pStyle w:val="CM4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( </w:t>
      </w:r>
      <w:r w:rsidRPr="0087053C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8</w:t>
      </w: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 ) Seria ISO 18400 „Jakość gleby — Pobieranie próbek”. </w:t>
      </w:r>
    </w:p>
    <w:p w14:paraId="457CF6DD" w14:textId="77777777" w:rsidR="00A72F38" w:rsidRPr="0087053C" w:rsidRDefault="00A72F38" w:rsidP="00A72F38">
      <w:pPr>
        <w:pStyle w:val="CM4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( </w:t>
      </w:r>
      <w:r w:rsidRPr="0087053C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9</w:t>
      </w: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 ) JRC ESDCA, LUCAS: badanie terenowe użytkowania gruntów i pokrycia terenu, wersja z dnia 4.6.2021: https://esdac.jrc.ec.europa. </w:t>
      </w:r>
      <w:proofErr w:type="spellStart"/>
      <w:r w:rsidRPr="0087053C">
        <w:rPr>
          <w:rFonts w:asciiTheme="minorHAnsi" w:hAnsiTheme="minorHAnsi" w:cstheme="minorHAnsi"/>
          <w:color w:val="000000"/>
          <w:sz w:val="20"/>
          <w:szCs w:val="20"/>
        </w:rPr>
        <w:t>eu</w:t>
      </w:r>
      <w:proofErr w:type="spellEnd"/>
      <w:r w:rsidRPr="0087053C">
        <w:rPr>
          <w:rFonts w:asciiTheme="minorHAnsi" w:hAnsiTheme="minorHAnsi" w:cstheme="minorHAnsi"/>
          <w:color w:val="000000"/>
          <w:sz w:val="20"/>
          <w:szCs w:val="20"/>
        </w:rPr>
        <w:t>/</w:t>
      </w:r>
      <w:proofErr w:type="spellStart"/>
      <w:r w:rsidRPr="0087053C">
        <w:rPr>
          <w:rFonts w:asciiTheme="minorHAnsi" w:hAnsiTheme="minorHAnsi" w:cstheme="minorHAnsi"/>
          <w:color w:val="000000"/>
          <w:sz w:val="20"/>
          <w:szCs w:val="20"/>
        </w:rPr>
        <w:t>projects</w:t>
      </w:r>
      <w:proofErr w:type="spellEnd"/>
      <w:r w:rsidRPr="0087053C">
        <w:rPr>
          <w:rFonts w:asciiTheme="minorHAnsi" w:hAnsiTheme="minorHAnsi" w:cstheme="minorHAnsi"/>
          <w:color w:val="000000"/>
          <w:sz w:val="20"/>
          <w:szCs w:val="20"/>
        </w:rPr>
        <w:t>/</w:t>
      </w:r>
      <w:proofErr w:type="spellStart"/>
      <w:r w:rsidRPr="0087053C">
        <w:rPr>
          <w:rFonts w:asciiTheme="minorHAnsi" w:hAnsiTheme="minorHAnsi" w:cstheme="minorHAnsi"/>
          <w:color w:val="000000"/>
          <w:sz w:val="20"/>
          <w:szCs w:val="20"/>
        </w:rPr>
        <w:t>lucas</w:t>
      </w:r>
      <w:proofErr w:type="spellEnd"/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6617560C" w14:textId="77777777" w:rsidR="00A72F38" w:rsidRPr="0087053C" w:rsidRDefault="00A72F38" w:rsidP="00A72F38">
      <w:pPr>
        <w:pStyle w:val="CM4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7053C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Pr="0087053C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10</w:t>
      </w: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) IUCN, </w:t>
      </w:r>
      <w:r w:rsidRPr="0087053C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Europejska czerwona księga gatunków zagrożonych </w:t>
      </w: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(wersja z dnia 4.6.2021: https://www.iucn.org/regions/europe/our-work/ </w:t>
      </w:r>
      <w:proofErr w:type="spellStart"/>
      <w:r w:rsidRPr="0087053C">
        <w:rPr>
          <w:rFonts w:asciiTheme="minorHAnsi" w:hAnsiTheme="minorHAnsi" w:cstheme="minorHAnsi"/>
          <w:color w:val="000000"/>
          <w:sz w:val="20"/>
          <w:szCs w:val="20"/>
        </w:rPr>
        <w:t>biodiversity-conservation</w:t>
      </w:r>
      <w:proofErr w:type="spellEnd"/>
      <w:r w:rsidRPr="0087053C">
        <w:rPr>
          <w:rFonts w:asciiTheme="minorHAnsi" w:hAnsiTheme="minorHAnsi" w:cstheme="minorHAnsi"/>
          <w:color w:val="000000"/>
          <w:sz w:val="20"/>
          <w:szCs w:val="20"/>
        </w:rPr>
        <w:t>/</w:t>
      </w:r>
      <w:proofErr w:type="spellStart"/>
      <w:r w:rsidRPr="0087053C">
        <w:rPr>
          <w:rFonts w:asciiTheme="minorHAnsi" w:hAnsiTheme="minorHAnsi" w:cstheme="minorHAnsi"/>
          <w:color w:val="000000"/>
          <w:sz w:val="20"/>
          <w:szCs w:val="20"/>
        </w:rPr>
        <w:t>european</w:t>
      </w:r>
      <w:proofErr w:type="spellEnd"/>
      <w:r w:rsidRPr="0087053C">
        <w:rPr>
          <w:rFonts w:asciiTheme="minorHAnsi" w:hAnsiTheme="minorHAnsi" w:cstheme="minorHAnsi"/>
          <w:color w:val="000000"/>
          <w:sz w:val="20"/>
          <w:szCs w:val="20"/>
        </w:rPr>
        <w:t>-red-list-</w:t>
      </w:r>
      <w:proofErr w:type="spellStart"/>
      <w:r w:rsidRPr="0087053C">
        <w:rPr>
          <w:rFonts w:asciiTheme="minorHAnsi" w:hAnsiTheme="minorHAnsi" w:cstheme="minorHAnsi"/>
          <w:color w:val="000000"/>
          <w:sz w:val="20"/>
          <w:szCs w:val="20"/>
        </w:rPr>
        <w:t>threatened</w:t>
      </w:r>
      <w:proofErr w:type="spellEnd"/>
      <w:r w:rsidRPr="0087053C">
        <w:rPr>
          <w:rFonts w:asciiTheme="minorHAnsi" w:hAnsiTheme="minorHAnsi" w:cstheme="minorHAnsi"/>
          <w:color w:val="000000"/>
          <w:sz w:val="20"/>
          <w:szCs w:val="20"/>
        </w:rPr>
        <w:t>-</w:t>
      </w:r>
      <w:proofErr w:type="spellStart"/>
      <w:r w:rsidRPr="0087053C">
        <w:rPr>
          <w:rFonts w:asciiTheme="minorHAnsi" w:hAnsiTheme="minorHAnsi" w:cstheme="minorHAnsi"/>
          <w:color w:val="000000"/>
          <w:sz w:val="20"/>
          <w:szCs w:val="20"/>
        </w:rPr>
        <w:t>species</w:t>
      </w:r>
      <w:proofErr w:type="spellEnd"/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). </w:t>
      </w:r>
    </w:p>
    <w:p w14:paraId="284CFB6E" w14:textId="77777777" w:rsidR="00A72F38" w:rsidRPr="0087053C" w:rsidRDefault="00A72F38" w:rsidP="00A72F38">
      <w:pPr>
        <w:pStyle w:val="CM4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( </w:t>
      </w:r>
      <w:r w:rsidRPr="0087053C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11</w:t>
      </w: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 ) IUCN, </w:t>
      </w:r>
      <w:r w:rsidRPr="0087053C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Czerwona księga gatunków zagrożonych IUNC </w:t>
      </w:r>
      <w:r w:rsidRPr="0087053C">
        <w:rPr>
          <w:rFonts w:asciiTheme="minorHAnsi" w:hAnsiTheme="minorHAnsi" w:cstheme="minorHAnsi"/>
          <w:color w:val="000000"/>
          <w:sz w:val="20"/>
          <w:szCs w:val="20"/>
        </w:rPr>
        <w:t xml:space="preserve">(wersja z dnia 4.6.2021: https://www.iucnredlist.org). </w:t>
      </w:r>
    </w:p>
    <w:p w14:paraId="2C56621C" w14:textId="77777777" w:rsidR="00A72F38" w:rsidRPr="000B7009" w:rsidRDefault="00A72F38" w:rsidP="00A72F38">
      <w:pPr>
        <w:rPr>
          <w:rFonts w:cstheme="minorHAnsi"/>
          <w:sz w:val="20"/>
          <w:szCs w:val="20"/>
        </w:rPr>
      </w:pPr>
      <w:r w:rsidRPr="0087053C">
        <w:rPr>
          <w:rFonts w:cstheme="minorHAnsi"/>
          <w:color w:val="000000"/>
          <w:sz w:val="20"/>
          <w:szCs w:val="20"/>
        </w:rPr>
        <w:t xml:space="preserve">( </w:t>
      </w:r>
      <w:r w:rsidRPr="0087053C">
        <w:rPr>
          <w:rFonts w:cstheme="minorHAnsi"/>
          <w:color w:val="000000"/>
          <w:sz w:val="20"/>
          <w:szCs w:val="20"/>
          <w:vertAlign w:val="superscript"/>
        </w:rPr>
        <w:t>12</w:t>
      </w:r>
      <w:r w:rsidRPr="0087053C">
        <w:rPr>
          <w:rFonts w:cstheme="minorHAnsi"/>
          <w:color w:val="000000"/>
          <w:sz w:val="20"/>
          <w:szCs w:val="20"/>
        </w:rPr>
        <w:t xml:space="preserve"> ) Obszar obejmujący więcej niż 0,5 hektara z drzewami o wysokości powyżej pięciu metrów i o zwarciu drzewostanu powyżej 10 %, lub drzewami, które będą mogły osiągnąć te progi </w:t>
      </w:r>
      <w:r w:rsidRPr="0087053C">
        <w:rPr>
          <w:rFonts w:cstheme="minorHAnsi"/>
          <w:i/>
          <w:iCs/>
          <w:color w:val="000000"/>
          <w:sz w:val="20"/>
          <w:szCs w:val="20"/>
        </w:rPr>
        <w:t>in situ</w:t>
      </w:r>
      <w:r w:rsidRPr="0087053C">
        <w:rPr>
          <w:rFonts w:cstheme="minorHAnsi"/>
          <w:color w:val="000000"/>
          <w:sz w:val="20"/>
          <w:szCs w:val="20"/>
        </w:rPr>
        <w:t>. Z definicji tej wyklucza się grunty przeznaczone głównie do użytku rolnego lub miejskiego; FAO, „Ocena światowych zasobów leśnych z 2020 r. Terminy i definicje” (wersja z dnia 4.6.2021: http:// www.fao.org/3/I8661EN/i8661en.pdf).</w:t>
      </w:r>
    </w:p>
    <w:p w14:paraId="08FE9A07" w14:textId="77777777" w:rsidR="00A72F38" w:rsidRPr="000B7009" w:rsidRDefault="00A72F38" w:rsidP="00A72F38">
      <w:pPr>
        <w:spacing w:after="160" w:line="259" w:lineRule="auto"/>
        <w:jc w:val="left"/>
        <w:rPr>
          <w:rFonts w:cstheme="minorHAnsi"/>
          <w:b/>
          <w:bCs/>
          <w:sz w:val="20"/>
          <w:szCs w:val="20"/>
        </w:rPr>
      </w:pPr>
    </w:p>
    <w:p w14:paraId="75DC70EC" w14:textId="77777777" w:rsidR="00E644A4" w:rsidRDefault="00E644A4"/>
    <w:sectPr w:rsidR="00E64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21069" w14:textId="77777777" w:rsidR="00A72F38" w:rsidRDefault="00A72F38" w:rsidP="00A72F38">
      <w:pPr>
        <w:spacing w:line="240" w:lineRule="auto"/>
      </w:pPr>
      <w:r>
        <w:separator/>
      </w:r>
    </w:p>
  </w:endnote>
  <w:endnote w:type="continuationSeparator" w:id="0">
    <w:p w14:paraId="0D61DB21" w14:textId="77777777" w:rsidR="00A72F38" w:rsidRDefault="00A72F38" w:rsidP="00A72F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8C273" w14:textId="77777777" w:rsidR="00A72F38" w:rsidRDefault="00A72F38" w:rsidP="00A72F38">
      <w:pPr>
        <w:spacing w:line="240" w:lineRule="auto"/>
      </w:pPr>
      <w:r>
        <w:separator/>
      </w:r>
    </w:p>
  </w:footnote>
  <w:footnote w:type="continuationSeparator" w:id="0">
    <w:p w14:paraId="28AFEFFE" w14:textId="77777777" w:rsidR="00A72F38" w:rsidRDefault="00A72F38" w:rsidP="00A72F38">
      <w:pPr>
        <w:spacing w:line="240" w:lineRule="auto"/>
      </w:pPr>
      <w:r>
        <w:continuationSeparator/>
      </w:r>
    </w:p>
  </w:footnote>
  <w:footnote w:id="1">
    <w:p w14:paraId="2A67A775" w14:textId="77777777" w:rsidR="00A72F38" w:rsidRPr="0060147C" w:rsidRDefault="00A72F38" w:rsidP="00A72F38">
      <w:pPr>
        <w:pStyle w:val="CM1"/>
        <w:rPr>
          <w:rFonts w:cs="EU Albertina"/>
          <w:color w:val="0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3A4FF1"/>
    <w:multiLevelType w:val="hybridMultilevel"/>
    <w:tmpl w:val="09B25C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D1240"/>
    <w:multiLevelType w:val="hybridMultilevel"/>
    <w:tmpl w:val="83C8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951821">
    <w:abstractNumId w:val="1"/>
  </w:num>
  <w:num w:numId="2" w16cid:durableId="104539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38"/>
    <w:rsid w:val="00361F7E"/>
    <w:rsid w:val="00A72F38"/>
    <w:rsid w:val="00E17E11"/>
    <w:rsid w:val="00E6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487E5"/>
  <w15:chartTrackingRefBased/>
  <w15:docId w15:val="{43DC3759-8E66-4046-B440-04CCDC46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F38"/>
    <w:pPr>
      <w:spacing w:after="0" w:line="276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A72F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Akapitzlist">
    <w:name w:val="List Paragraph"/>
    <w:aliases w:val="L1,Numerowanie,List Paragraph,Akapit z listą BS,maz_wyliczenie,opis dzialania,K-P_odwolanie,A_wyliczenie,Akapit z listą5,Akapit z listą51,T_SZ_List Paragraph,Nagł. 4 SW,CW_Lista,Kolorowa lista — akcent 11,Signature,Jasna lista — akcent 51"/>
    <w:basedOn w:val="Normalny"/>
    <w:link w:val="AkapitzlistZnak"/>
    <w:uiPriority w:val="34"/>
    <w:qFormat/>
    <w:rsid w:val="00A72F38"/>
    <w:pPr>
      <w:ind w:left="720"/>
      <w:contextualSpacing/>
    </w:pPr>
  </w:style>
  <w:style w:type="table" w:styleId="Tabela-Siatka">
    <w:name w:val="Table Grid"/>
    <w:basedOn w:val="Standardowy"/>
    <w:uiPriority w:val="39"/>
    <w:rsid w:val="00A72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basedOn w:val="Domylnaczcionkaakapitu"/>
    <w:link w:val="Default"/>
    <w:rsid w:val="00A72F38"/>
    <w:rPr>
      <w:rFonts w:ascii="Arial" w:hAnsi="Arial" w:cs="Arial"/>
      <w:color w:val="000000"/>
      <w:kern w:val="0"/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 BS Znak,maz_wyliczenie Znak,opis dzialania Znak,K-P_odwolanie Znak,A_wyliczenie Znak,Akapit z listą5 Znak,Akapit z listą51 Znak,T_SZ_List Paragraph Znak,Nagł. 4 SW Znak"/>
    <w:link w:val="Akapitzlist"/>
    <w:uiPriority w:val="34"/>
    <w:qFormat/>
    <w:rsid w:val="00A72F38"/>
  </w:style>
  <w:style w:type="character" w:styleId="Odwoanieprzypisudolnego">
    <w:name w:val="footnote reference"/>
    <w:basedOn w:val="Domylnaczcionkaakapitu"/>
    <w:uiPriority w:val="99"/>
    <w:semiHidden/>
    <w:unhideWhenUsed/>
    <w:rsid w:val="00A72F38"/>
    <w:rPr>
      <w:vertAlign w:val="superscript"/>
    </w:rPr>
  </w:style>
  <w:style w:type="paragraph" w:customStyle="1" w:styleId="CM1">
    <w:name w:val="CM1"/>
    <w:basedOn w:val="Normalny"/>
    <w:next w:val="Normalny"/>
    <w:uiPriority w:val="99"/>
    <w:rsid w:val="00A72F38"/>
    <w:pPr>
      <w:autoSpaceDE w:val="0"/>
      <w:autoSpaceDN w:val="0"/>
      <w:adjustRightInd w:val="0"/>
      <w:spacing w:line="240" w:lineRule="auto"/>
      <w:jc w:val="left"/>
    </w:pPr>
    <w:rPr>
      <w:rFonts w:ascii="EU Albertina" w:hAnsi="EU Albertina"/>
      <w:kern w:val="0"/>
      <w:sz w:val="24"/>
      <w:szCs w:val="24"/>
    </w:rPr>
  </w:style>
  <w:style w:type="paragraph" w:customStyle="1" w:styleId="CM3">
    <w:name w:val="CM3"/>
    <w:basedOn w:val="Normalny"/>
    <w:next w:val="Normalny"/>
    <w:uiPriority w:val="99"/>
    <w:rsid w:val="00A72F38"/>
    <w:pPr>
      <w:autoSpaceDE w:val="0"/>
      <w:autoSpaceDN w:val="0"/>
      <w:adjustRightInd w:val="0"/>
      <w:spacing w:line="240" w:lineRule="auto"/>
      <w:jc w:val="left"/>
    </w:pPr>
    <w:rPr>
      <w:rFonts w:ascii="EU Albertina" w:hAnsi="EU Albertina"/>
      <w:kern w:val="0"/>
      <w:sz w:val="24"/>
      <w:szCs w:val="24"/>
    </w:rPr>
  </w:style>
  <w:style w:type="paragraph" w:customStyle="1" w:styleId="CM4">
    <w:name w:val="CM4"/>
    <w:basedOn w:val="Normalny"/>
    <w:next w:val="Normalny"/>
    <w:uiPriority w:val="99"/>
    <w:rsid w:val="00A72F38"/>
    <w:pPr>
      <w:autoSpaceDE w:val="0"/>
      <w:autoSpaceDN w:val="0"/>
      <w:adjustRightInd w:val="0"/>
      <w:spacing w:line="240" w:lineRule="auto"/>
      <w:jc w:val="left"/>
    </w:pPr>
    <w:rPr>
      <w:rFonts w:ascii="EU Albertina" w:hAnsi="EU Albertina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1153</Words>
  <Characters>6922</Characters>
  <Application>Microsoft Office Word</Application>
  <DocSecurity>0</DocSecurity>
  <Lines>57</Lines>
  <Paragraphs>16</Paragraphs>
  <ScaleCrop>false</ScaleCrop>
  <Company/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 Łódzkie</dc:creator>
  <cp:keywords/>
  <dc:description/>
  <cp:lastModifiedBy>SIM Łódzkie</cp:lastModifiedBy>
  <cp:revision>1</cp:revision>
  <dcterms:created xsi:type="dcterms:W3CDTF">2024-10-25T07:47:00Z</dcterms:created>
  <dcterms:modified xsi:type="dcterms:W3CDTF">2024-10-25T07:48:00Z</dcterms:modified>
</cp:coreProperties>
</file>