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9E" w:rsidRPr="00313844" w:rsidRDefault="008A539E" w:rsidP="00313844">
      <w:pPr>
        <w:pStyle w:val="Akapitzlist"/>
        <w:numPr>
          <w:ilvl w:val="0"/>
          <w:numId w:val="5"/>
        </w:numPr>
        <w:ind w:left="284" w:hanging="284"/>
        <w:rPr>
          <w:b/>
        </w:rPr>
      </w:pPr>
      <w:r w:rsidRPr="008A539E">
        <w:t xml:space="preserve">Przy ocenie ofert ważnych i wyborze najkorzystniejszej oferty Zamawiający będzie się kierował następującymi kryteriami i sposobem ich oceny </w:t>
      </w:r>
      <w:r w:rsidR="00313844">
        <w:t>w zakresie:</w:t>
      </w:r>
    </w:p>
    <w:p w:rsidR="008A539E" w:rsidRPr="008A539E" w:rsidRDefault="008A539E" w:rsidP="00313844">
      <w:pPr>
        <w:numPr>
          <w:ilvl w:val="2"/>
          <w:numId w:val="3"/>
        </w:numPr>
        <w:ind w:left="284" w:hanging="142"/>
      </w:pPr>
      <w:r w:rsidRPr="008A539E">
        <w:rPr>
          <w:b/>
          <w:bCs/>
        </w:rPr>
        <w:t>C - cena brutto za jedną roboczogodzinę obsługi i naprawy</w:t>
      </w:r>
      <w:r w:rsidRPr="008A539E">
        <w:rPr>
          <w:rFonts w:ascii="Arial" w:hAnsi="Arial" w:cs="Arial"/>
          <w:b/>
          <w:bCs/>
        </w:rPr>
        <w:t>⃰</w:t>
      </w:r>
      <w:r w:rsidRPr="008A539E">
        <w:rPr>
          <w:b/>
          <w:bCs/>
        </w:rPr>
        <w:t xml:space="preserve"> - 60% </w:t>
      </w:r>
      <w:r w:rsidRPr="008A539E">
        <w:rPr>
          <w:bCs/>
        </w:rPr>
        <w:t>(maksymalna ilość uzyskanych punktów = 60 pkt.)</w:t>
      </w:r>
    </w:p>
    <w:p w:rsidR="008A539E" w:rsidRPr="008A539E" w:rsidRDefault="008A539E" w:rsidP="008A539E">
      <w:r w:rsidRPr="008A539E">
        <w:rPr>
          <w:bCs/>
        </w:rPr>
        <w:t xml:space="preserve">Oferty będą oceniane na podstawie wartości brutto rbg oferty, podanej przez Wykonawcę na formularzu </w:t>
      </w:r>
      <w:r w:rsidR="00313844" w:rsidRPr="00313844">
        <w:rPr>
          <w:bCs/>
        </w:rPr>
        <w:t xml:space="preserve">cenowo - </w:t>
      </w:r>
      <w:r w:rsidRPr="008A539E">
        <w:rPr>
          <w:bCs/>
        </w:rPr>
        <w:t>ofertowym i obliczane wg następującego wzoru:</w:t>
      </w:r>
    </w:p>
    <w:p w:rsidR="008A539E" w:rsidRPr="008A539E" w:rsidRDefault="008A539E" w:rsidP="008A539E">
      <w:r w:rsidRPr="008A539E">
        <w:t>C = (Cn / Co) x 60% x 100, gdzie:</w:t>
      </w:r>
    </w:p>
    <w:p w:rsidR="008A539E" w:rsidRPr="008A539E" w:rsidRDefault="008A539E" w:rsidP="008A539E">
      <w:r w:rsidRPr="008A539E">
        <w:t>C – oznacza liczbę punktów przyznanych ocenianej ofercie w ramach kryterium cena brutto za 1 roboczogodzinę,</w:t>
      </w:r>
    </w:p>
    <w:p w:rsidR="008A539E" w:rsidRPr="008A539E" w:rsidRDefault="008A539E" w:rsidP="008A539E">
      <w:r w:rsidRPr="008A539E">
        <w:t xml:space="preserve">Cn – oznacza najniższą cenę brutto za 1 roboczogodzinę </w:t>
      </w:r>
      <w:r w:rsidRPr="008A539E">
        <w:rPr>
          <w:bCs/>
        </w:rPr>
        <w:t>obsługi i</w:t>
      </w:r>
      <w:r w:rsidRPr="008A539E">
        <w:rPr>
          <w:b/>
          <w:bCs/>
        </w:rPr>
        <w:t xml:space="preserve"> </w:t>
      </w:r>
      <w:r w:rsidRPr="008A539E">
        <w:t>naprawy wśród ocenianych ofert</w:t>
      </w:r>
      <w:r w:rsidRPr="008A539E">
        <w:rPr>
          <w:i/>
        </w:rPr>
        <w:t xml:space="preserve"> **</w:t>
      </w:r>
      <w:r w:rsidRPr="008A539E">
        <w:t xml:space="preserve"> </w:t>
      </w:r>
    </w:p>
    <w:p w:rsidR="008A539E" w:rsidRPr="008A539E" w:rsidRDefault="008A539E" w:rsidP="008A539E">
      <w:r w:rsidRPr="008A539E">
        <w:t xml:space="preserve">Co - oznacza cenę brutto za 1 roboczogodzinę </w:t>
      </w:r>
      <w:r w:rsidRPr="008A539E">
        <w:rPr>
          <w:bCs/>
        </w:rPr>
        <w:t>obsługi i</w:t>
      </w:r>
      <w:r w:rsidRPr="008A539E">
        <w:rPr>
          <w:b/>
          <w:bCs/>
        </w:rPr>
        <w:t xml:space="preserve"> </w:t>
      </w:r>
      <w:r w:rsidRPr="008A539E">
        <w:t xml:space="preserve">naprawy ocenianej oferty </w:t>
      </w:r>
    </w:p>
    <w:p w:rsidR="008A539E" w:rsidRPr="008A539E" w:rsidRDefault="008A539E" w:rsidP="008A539E">
      <w:r w:rsidRPr="008A539E">
        <w:rPr>
          <w:rFonts w:ascii="Arial" w:hAnsi="Arial" w:cs="Arial"/>
          <w:i/>
        </w:rPr>
        <w:t>⃰</w:t>
      </w:r>
      <w:r w:rsidRPr="008A539E">
        <w:rPr>
          <w:i/>
        </w:rPr>
        <w:t xml:space="preserve"> stawka roboczogodziny brutto musi:</w:t>
      </w:r>
    </w:p>
    <w:p w:rsidR="008A539E" w:rsidRPr="008A539E" w:rsidRDefault="008A539E" w:rsidP="008A539E">
      <w:r w:rsidRPr="008A539E">
        <w:rPr>
          <w:i/>
        </w:rPr>
        <w:t xml:space="preserve">  - zawierać wszelkie koszty związane z realizacją zamówienia;</w:t>
      </w:r>
    </w:p>
    <w:p w:rsidR="008A539E" w:rsidRPr="008A539E" w:rsidRDefault="008A539E" w:rsidP="008A539E">
      <w:r w:rsidRPr="008A539E">
        <w:rPr>
          <w:i/>
        </w:rPr>
        <w:t xml:space="preserve">- zostać obliczona z uwzględnieniem przepisów ustawy z dnia 10 października 2002r. o minimalnym wynagrodzeniu za pracę (Dz.U. 2020 0 poz. 2207 z póżn. zm) oraz </w:t>
      </w:r>
      <w:r w:rsidRPr="008A539E">
        <w:rPr>
          <w:i/>
          <w:iCs/>
        </w:rPr>
        <w:t>Rozporządzeniem Rady Ministrów z dnia 15 września 2021 r. w sprawie wysokości minimalnego wynagrodzenia za pracę oraz wysokości minimalnej stawki godzinowej w 2024 r. (Dz. U. z 2023 poz. 1893).</w:t>
      </w:r>
    </w:p>
    <w:p w:rsidR="008A539E" w:rsidRPr="008A539E" w:rsidRDefault="008A539E" w:rsidP="008A539E">
      <w:r w:rsidRPr="008A539E">
        <w:rPr>
          <w:i/>
        </w:rPr>
        <w:t>**spośród złożonych ofert niepodlegających odrzuceniu</w:t>
      </w:r>
    </w:p>
    <w:p w:rsidR="008A539E" w:rsidRPr="008A539E" w:rsidRDefault="008A539E" w:rsidP="00313844">
      <w:pPr>
        <w:numPr>
          <w:ilvl w:val="2"/>
          <w:numId w:val="3"/>
        </w:numPr>
        <w:ind w:left="284" w:hanging="142"/>
      </w:pPr>
      <w:r w:rsidRPr="008A539E">
        <w:rPr>
          <w:b/>
          <w:bCs/>
        </w:rPr>
        <w:t xml:space="preserve">M - marża do ceny zakupu części zamiennych wykorzystywanych podczas realizacji przedmiotu zamówienia - 40% </w:t>
      </w:r>
      <w:r w:rsidRPr="008A539E">
        <w:rPr>
          <w:bCs/>
        </w:rPr>
        <w:t>(maksymalna ilość uzyskanych punktów = 40 pkt).</w:t>
      </w:r>
    </w:p>
    <w:p w:rsidR="008A539E" w:rsidRPr="008A539E" w:rsidRDefault="008A539E" w:rsidP="008A539E">
      <w:bookmarkStart w:id="0" w:name="_Hlk89677720"/>
      <w:r w:rsidRPr="008A539E">
        <w:rPr>
          <w:bCs/>
        </w:rPr>
        <w:t>Oferty będą oceniane na podstawie marży oferty, podanej  przez Wykonawcę na formularzu</w:t>
      </w:r>
      <w:r w:rsidR="00313844" w:rsidRPr="00313844">
        <w:rPr>
          <w:bCs/>
        </w:rPr>
        <w:t xml:space="preserve"> cenowo - </w:t>
      </w:r>
      <w:r w:rsidR="00313844">
        <w:rPr>
          <w:bCs/>
        </w:rPr>
        <w:t xml:space="preserve"> </w:t>
      </w:r>
      <w:r w:rsidRPr="008A539E">
        <w:rPr>
          <w:bCs/>
        </w:rPr>
        <w:t xml:space="preserve"> ofertowym i przyznawane wg następującej zasady:</w:t>
      </w:r>
    </w:p>
    <w:p w:rsidR="008A539E" w:rsidRPr="008A539E" w:rsidRDefault="008A539E" w:rsidP="008A539E">
      <w:r w:rsidRPr="008A539E">
        <w:t>0 %</w:t>
      </w:r>
      <w:r w:rsidRPr="008A539E">
        <w:tab/>
        <w:t xml:space="preserve">marży na zakup </w:t>
      </w:r>
      <w:r w:rsidRPr="008A539E">
        <w:rPr>
          <w:bCs/>
        </w:rPr>
        <w:t>części</w:t>
      </w:r>
      <w:r w:rsidRPr="008A539E">
        <w:rPr>
          <w:b/>
          <w:bCs/>
        </w:rPr>
        <w:t xml:space="preserve"> </w:t>
      </w:r>
      <w:r w:rsidRPr="008A539E">
        <w:rPr>
          <w:bCs/>
        </w:rPr>
        <w:t>zamiennych</w:t>
      </w:r>
      <w:r w:rsidRPr="008A539E">
        <w:t xml:space="preserve"> –  40 pkt</w:t>
      </w:r>
    </w:p>
    <w:p w:rsidR="008A539E" w:rsidRPr="008A539E" w:rsidRDefault="008A539E" w:rsidP="008A539E">
      <w:r w:rsidRPr="008A539E">
        <w:t xml:space="preserve">1-5 % </w:t>
      </w:r>
      <w:r w:rsidRPr="008A539E">
        <w:tab/>
        <w:t xml:space="preserve">marży na zakup </w:t>
      </w:r>
      <w:r w:rsidRPr="008A539E">
        <w:rPr>
          <w:bCs/>
        </w:rPr>
        <w:t>części</w:t>
      </w:r>
      <w:r w:rsidRPr="008A539E">
        <w:rPr>
          <w:b/>
          <w:bCs/>
        </w:rPr>
        <w:t xml:space="preserve"> </w:t>
      </w:r>
      <w:r w:rsidRPr="008A539E">
        <w:rPr>
          <w:bCs/>
        </w:rPr>
        <w:t>zamiennych</w:t>
      </w:r>
      <w:r w:rsidRPr="008A539E">
        <w:t xml:space="preserve"> –  15 pkt</w:t>
      </w:r>
    </w:p>
    <w:p w:rsidR="008A539E" w:rsidRPr="008A539E" w:rsidRDefault="008A539E" w:rsidP="008A539E">
      <w:r w:rsidRPr="008A539E">
        <w:t>6-20%</w:t>
      </w:r>
      <w:r w:rsidRPr="008A539E">
        <w:tab/>
        <w:t xml:space="preserve">              marży na zakup </w:t>
      </w:r>
      <w:r w:rsidRPr="008A539E">
        <w:rPr>
          <w:bCs/>
        </w:rPr>
        <w:t>części</w:t>
      </w:r>
      <w:r w:rsidRPr="008A539E">
        <w:rPr>
          <w:b/>
          <w:bCs/>
        </w:rPr>
        <w:t xml:space="preserve"> </w:t>
      </w:r>
      <w:r w:rsidRPr="008A539E">
        <w:rPr>
          <w:bCs/>
        </w:rPr>
        <w:t>zamiennych</w:t>
      </w:r>
      <w:r w:rsidRPr="008A539E">
        <w:t xml:space="preserve"> – 0 pkt</w:t>
      </w:r>
    </w:p>
    <w:p w:rsidR="00313844" w:rsidRPr="00A0731A" w:rsidRDefault="008A539E" w:rsidP="00A0731A">
      <w:pPr>
        <w:spacing w:after="120"/>
        <w:rPr>
          <w:i/>
        </w:rPr>
      </w:pPr>
      <w:r w:rsidRPr="008A539E">
        <w:rPr>
          <w:i/>
        </w:rPr>
        <w:t>Marża rozumiana jako wyrażona w postaci procentu różnica między ceną detaliczną sprzedaży</w:t>
      </w:r>
      <w:r w:rsidRPr="008A539E">
        <w:rPr>
          <w:i/>
        </w:rPr>
        <w:br/>
        <w:t xml:space="preserve">przedmiotu zamówienia przez Wykonawcę Zamawiającemu a ceną zakupu u Dostawcy (w przypadku nieposiadania przedmiotu zamówienia we własnym zakresie). Wysokość marży nie może przekroczyć </w:t>
      </w:r>
      <w:bookmarkEnd w:id="0"/>
      <w:r w:rsidRPr="008A539E">
        <w:rPr>
          <w:i/>
        </w:rPr>
        <w:t>20 % udokumentowanej ceny zakupu. Oferta wykonawcy, który zaproponuje marżę wyższą niż 20% podlegać będzie odrzuceniu.</w:t>
      </w:r>
    </w:p>
    <w:p w:rsidR="00A0731A" w:rsidRPr="00A0731A" w:rsidRDefault="00A0731A" w:rsidP="00A0731A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rPr>
          <w:bCs/>
          <w:vanish/>
        </w:rPr>
      </w:pPr>
    </w:p>
    <w:p w:rsidR="008A539E" w:rsidRPr="008A539E" w:rsidRDefault="008A539E" w:rsidP="00A0731A">
      <w:pPr>
        <w:numPr>
          <w:ilvl w:val="0"/>
          <w:numId w:val="2"/>
        </w:numPr>
        <w:spacing w:after="120"/>
        <w:ind w:left="284" w:hanging="284"/>
      </w:pPr>
      <w:bookmarkStart w:id="1" w:name="_GoBack"/>
      <w:bookmarkEnd w:id="1"/>
      <w:r w:rsidRPr="008A539E">
        <w:rPr>
          <w:bCs/>
        </w:rPr>
        <w:t xml:space="preserve">Za najkorzystniejszą zostanie uznana niepodlegająca odrzuceniu oferta, która otrzyma </w:t>
      </w:r>
      <w:r w:rsidRPr="008A539E">
        <w:rPr>
          <w:bCs/>
        </w:rPr>
        <w:br/>
        <w:t xml:space="preserve"> najwyższą ilość punktów obliczoną według wzoru:</w:t>
      </w:r>
    </w:p>
    <w:p w:rsidR="008A539E" w:rsidRPr="008A539E" w:rsidRDefault="008A539E" w:rsidP="00313844">
      <w:pPr>
        <w:ind w:left="142"/>
      </w:pPr>
      <w:r w:rsidRPr="008A539E">
        <w:rPr>
          <w:b/>
          <w:bCs/>
        </w:rPr>
        <w:t>P – ilość punktów = C + M</w:t>
      </w:r>
    </w:p>
    <w:p w:rsidR="008A539E" w:rsidRPr="008A539E" w:rsidRDefault="008A539E" w:rsidP="00313844">
      <w:pPr>
        <w:ind w:left="142"/>
      </w:pPr>
      <w:r w:rsidRPr="008A539E">
        <w:t>W przypadku uzyskania przez dwie lub więcej ofert takiej samej ilości punktów, jako najkorzystniejsza zostanie wybrana oferta z najniższą ceną brutto za jedną roboczogodzinę naprawy.</w:t>
      </w:r>
    </w:p>
    <w:p w:rsidR="008A539E" w:rsidRPr="008A539E" w:rsidRDefault="008A539E" w:rsidP="00A0731A">
      <w:pPr>
        <w:numPr>
          <w:ilvl w:val="0"/>
          <w:numId w:val="2"/>
        </w:numPr>
        <w:ind w:left="284" w:hanging="284"/>
      </w:pPr>
      <w:r w:rsidRPr="008A539E">
        <w:lastRenderedPageBreak/>
        <w:t>Oferta, która przedstawi najkorzystniejszy bilans (maksymalna liczba przyznanych punktów w oparciu o ustalone kryteria) zostanie uznana za najkorzystniejszą, a pozostałe oferty będą sklasyfikowane zgodnie z liczbą uzyskanych punktów. Realizacja zamówienia zostanie powierzona Wykonawcy, którego oferta uzyska najwyższą liczbę punktów.</w:t>
      </w:r>
    </w:p>
    <w:p w:rsidR="008A539E" w:rsidRPr="008A539E" w:rsidRDefault="008A539E" w:rsidP="00A0731A">
      <w:pPr>
        <w:numPr>
          <w:ilvl w:val="0"/>
          <w:numId w:val="2"/>
        </w:numPr>
        <w:ind w:left="284" w:hanging="284"/>
      </w:pPr>
      <w:r w:rsidRPr="008A539E">
        <w:t>Jeżeli nie można wybrać oferty najkorzystniejszej z uwagi na to, że dwie lub więcej ofert przedstawia taki sam bilans ceny i innych kryteriów oceny ofert, Zamawiający spośród tych ofert wybiera ofertę z niższa ceną, a jeżeli zostały złożone oferty o takiej samej cenie, Zamawiający wzywa Wykonawców, którzy złożyli te oferty, do złożenia w terminie określonym przez Zamawiającego ofert. Wykonawcy, składając oferty dodatkowe, nie mogą oferować cen lub kosztów wyższych niż zaoferowane w uprzednio złożonych przez nich ofertach.</w:t>
      </w:r>
    </w:p>
    <w:p w:rsidR="008A539E" w:rsidRPr="008A539E" w:rsidRDefault="008A539E" w:rsidP="00A0731A">
      <w:pPr>
        <w:numPr>
          <w:ilvl w:val="0"/>
          <w:numId w:val="2"/>
        </w:numPr>
        <w:ind w:left="284" w:hanging="284"/>
      </w:pPr>
      <w:r w:rsidRPr="008A539E">
        <w:t>Oferta najkorzystniejsza to ta, dla której ilość punktów będzie największa.</w:t>
      </w:r>
    </w:p>
    <w:p w:rsidR="0050549B" w:rsidRDefault="00A0731A"/>
    <w:sectPr w:rsidR="00505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39E" w:rsidRDefault="008A539E" w:rsidP="008A539E">
      <w:pPr>
        <w:spacing w:after="0" w:line="240" w:lineRule="auto"/>
      </w:pPr>
      <w:r>
        <w:separator/>
      </w:r>
    </w:p>
  </w:endnote>
  <w:endnote w:type="continuationSeparator" w:id="0">
    <w:p w:rsidR="008A539E" w:rsidRDefault="008A539E" w:rsidP="008A5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39E" w:rsidRDefault="008A539E" w:rsidP="008A539E">
      <w:pPr>
        <w:spacing w:after="0" w:line="240" w:lineRule="auto"/>
      </w:pPr>
      <w:r>
        <w:separator/>
      </w:r>
    </w:p>
  </w:footnote>
  <w:footnote w:type="continuationSeparator" w:id="0">
    <w:p w:rsidR="008A539E" w:rsidRDefault="008A539E" w:rsidP="008A5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E589C"/>
    <w:multiLevelType w:val="hybridMultilevel"/>
    <w:tmpl w:val="F5A41608"/>
    <w:lvl w:ilvl="0" w:tplc="B9B25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74012"/>
    <w:multiLevelType w:val="hybridMultilevel"/>
    <w:tmpl w:val="FC3E8A10"/>
    <w:styleLink w:val="Zaimportowanystyl232"/>
    <w:lvl w:ilvl="0" w:tplc="1F4610C8">
      <w:start w:val="1"/>
      <w:numFmt w:val="lowerLetter"/>
      <w:suff w:val="space"/>
      <w:lvlText w:val="%1)"/>
      <w:lvlJc w:val="left"/>
      <w:pPr>
        <w:ind w:left="28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F122C"/>
    <w:multiLevelType w:val="hybridMultilevel"/>
    <w:tmpl w:val="B3265728"/>
    <w:styleLink w:val="Zaimportowanystyl51"/>
    <w:lvl w:ilvl="0" w:tplc="F59634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1B0AA58">
      <w:start w:val="1"/>
      <w:numFmt w:val="lowerLetter"/>
      <w:suff w:val="space"/>
      <w:lvlText w:val="%2)"/>
      <w:lvlJc w:val="left"/>
      <w:pPr>
        <w:ind w:left="1080" w:hanging="360"/>
      </w:pPr>
      <w:rPr>
        <w:rFonts w:hint="default"/>
      </w:rPr>
    </w:lvl>
    <w:lvl w:ilvl="2" w:tplc="2774FBF8">
      <w:start w:val="18"/>
      <w:numFmt w:val="upperRoman"/>
      <w:lvlText w:val="%3."/>
      <w:lvlJc w:val="left"/>
      <w:pPr>
        <w:ind w:left="2700" w:hanging="720"/>
      </w:pPr>
      <w:rPr>
        <w:rFonts w:hint="default"/>
        <w:b/>
        <w:sz w:val="24"/>
      </w:rPr>
    </w:lvl>
    <w:lvl w:ilvl="3" w:tplc="A5C402F2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6236262C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347DC"/>
    <w:multiLevelType w:val="hybridMultilevel"/>
    <w:tmpl w:val="6BF03F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B9544322">
      <w:start w:val="1"/>
      <w:numFmt w:val="lowerLetter"/>
      <w:lvlText w:val="%3)"/>
      <w:lvlJc w:val="left"/>
      <w:pPr>
        <w:ind w:left="2444" w:hanging="180"/>
      </w:pPr>
      <w:rPr>
        <w:rFonts w:asciiTheme="minorHAnsi" w:hAnsiTheme="minorHAnsi" w:cstheme="minorHAnsi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lvl w:ilvl="0" w:tplc="1F4610C8">
        <w:start w:val="1"/>
        <w:numFmt w:val="lowerLetter"/>
        <w:suff w:val="space"/>
        <w:lvlText w:val="%1)"/>
        <w:lvlJc w:val="left"/>
        <w:pPr>
          <w:ind w:left="2880" w:hanging="360"/>
        </w:pPr>
        <w:rPr>
          <w:rFonts w:asciiTheme="minorHAnsi" w:eastAsia="Times New Roman" w:hAnsiTheme="minorHAnsi" w:cstheme="minorHAnsi" w:hint="default"/>
          <w:b w:val="0"/>
        </w:rPr>
      </w:lvl>
    </w:lvlOverride>
  </w:num>
  <w:num w:numId="2">
    <w:abstractNumId w:val="2"/>
    <w:lvlOverride w:ilvl="0">
      <w:lvl w:ilvl="0" w:tplc="F5963434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 w:val="0"/>
          <w:color w:val="auto"/>
        </w:rPr>
      </w:lvl>
    </w:lvlOverride>
    <w:lvlOverride w:ilvl="1">
      <w:lvl w:ilvl="1" w:tplc="21B0AA58">
        <w:start w:val="1"/>
        <w:numFmt w:val="lowerLetter"/>
        <w:suff w:val="space"/>
        <w:lvlText w:val="%2)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 w:tplc="2774FBF8">
        <w:start w:val="18"/>
        <w:numFmt w:val="upperRoman"/>
        <w:lvlText w:val="%3."/>
        <w:lvlJc w:val="left"/>
        <w:pPr>
          <w:ind w:left="2700" w:hanging="720"/>
        </w:pPr>
        <w:rPr>
          <w:rFonts w:hint="default"/>
          <w:b/>
          <w:sz w:val="24"/>
        </w:rPr>
      </w:lvl>
    </w:lvlOverride>
    <w:lvlOverride w:ilvl="3">
      <w:lvl w:ilvl="3" w:tplc="A5C402F2">
        <w:start w:val="1"/>
        <w:numFmt w:val="decimal"/>
        <w:lvlText w:val="%4)"/>
        <w:lvlJc w:val="left"/>
        <w:pPr>
          <w:ind w:left="2880" w:hanging="360"/>
        </w:pPr>
        <w:rPr>
          <w:rFonts w:hint="default"/>
          <w:color w:val="auto"/>
        </w:rPr>
      </w:lvl>
    </w:lvlOverride>
    <w:lvlOverride w:ilvl="4">
      <w:lvl w:ilvl="4" w:tplc="6236262C">
        <w:numFmt w:val="bullet"/>
        <w:lvlText w:val="-"/>
        <w:lvlJc w:val="left"/>
        <w:pPr>
          <w:ind w:left="3600" w:hanging="360"/>
        </w:pPr>
        <w:rPr>
          <w:rFonts w:ascii="Calibri" w:eastAsia="Times New Roman" w:hAnsi="Calibri" w:cs="Calibri" w:hint="default"/>
        </w:r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D0"/>
    <w:rsid w:val="003074BE"/>
    <w:rsid w:val="00313844"/>
    <w:rsid w:val="00896BD0"/>
    <w:rsid w:val="008A539E"/>
    <w:rsid w:val="0098703F"/>
    <w:rsid w:val="00A0731A"/>
    <w:rsid w:val="00BE38DC"/>
    <w:rsid w:val="00D7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4F825"/>
  <w15:chartTrackingRefBased/>
  <w15:docId w15:val="{D1A08463-E9EB-4BC9-B565-494FBBBC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5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39E"/>
  </w:style>
  <w:style w:type="paragraph" w:styleId="Stopka">
    <w:name w:val="footer"/>
    <w:basedOn w:val="Normalny"/>
    <w:link w:val="StopkaZnak"/>
    <w:uiPriority w:val="99"/>
    <w:unhideWhenUsed/>
    <w:rsid w:val="008A5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39E"/>
  </w:style>
  <w:style w:type="numbering" w:customStyle="1" w:styleId="Zaimportowanystyl51">
    <w:name w:val="Zaimportowany styl 51"/>
    <w:rsid w:val="008A539E"/>
    <w:pPr>
      <w:numPr>
        <w:numId w:val="2"/>
      </w:numPr>
    </w:pPr>
  </w:style>
  <w:style w:type="numbering" w:customStyle="1" w:styleId="Zaimportowanystyl232">
    <w:name w:val="Zaimportowany styl 232"/>
    <w:rsid w:val="008A539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313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176E01-6E5A-4FCB-A00C-01F86519B8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 Sebastian</dc:creator>
  <cp:keywords/>
  <dc:description/>
  <cp:lastModifiedBy>Komar Sebastian</cp:lastModifiedBy>
  <cp:revision>2</cp:revision>
  <dcterms:created xsi:type="dcterms:W3CDTF">2025-03-26T07:35:00Z</dcterms:created>
  <dcterms:modified xsi:type="dcterms:W3CDTF">2025-03-26T11:21:00Z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2a066dde-08f5-4ea9-9cdf-e1700ed799f6</vt:lpwstr>
  </property>
  <property fmtid="{D5CDD505-2E9C-101B-9397-08002B2CF9AE}" pid="3" name="bjSaver">
    <vt:lpwstr>K1gbeSiQky17PqO4SE/PICzh8Adqpohe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Komar Sebastian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10.62.56.54</vt:lpwstr>
  </property>
  <property fmtid="{D5CDD505-2E9C-101B-9397-08002B2CF9AE}" pid="11" name="bjClsUserRVM">
    <vt:lpwstr>[]</vt:lpwstr>
  </property>
</Properties>
</file>