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9E" w:rsidRPr="00D364B1" w:rsidRDefault="002D21F5" w:rsidP="00F559B4">
      <w:pPr>
        <w:pStyle w:val="Nagwek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Załącznik nr 6 do zaproszenia</w:t>
      </w:r>
      <w:r w:rsidR="00D364B1" w:rsidRPr="005B18A6">
        <w:rPr>
          <w:rFonts w:ascii="Arial" w:hAnsi="Arial" w:cs="Arial"/>
          <w:sz w:val="20"/>
          <w:szCs w:val="20"/>
        </w:rPr>
        <w:t xml:space="preserve"> -</w:t>
      </w:r>
      <w:r w:rsidR="00830E9E" w:rsidRPr="005B18A6">
        <w:rPr>
          <w:rFonts w:ascii="Arial" w:hAnsi="Arial" w:cs="Arial"/>
          <w:sz w:val="20"/>
          <w:szCs w:val="20"/>
        </w:rPr>
        <w:t xml:space="preserve"> </w:t>
      </w:r>
      <w:r w:rsidR="0094085D">
        <w:rPr>
          <w:rFonts w:ascii="Arial" w:hAnsi="Arial" w:cs="Arial"/>
          <w:sz w:val="20"/>
          <w:szCs w:val="20"/>
        </w:rPr>
        <w:t xml:space="preserve">numer sprawy </w:t>
      </w:r>
      <w:r w:rsidR="003D46FD">
        <w:rPr>
          <w:rFonts w:ascii="Arial" w:hAnsi="Arial" w:cs="Arial"/>
          <w:sz w:val="20"/>
          <w:szCs w:val="20"/>
        </w:rPr>
        <w:t>267/PU/25</w:t>
      </w:r>
    </w:p>
    <w:p w:rsidR="00830E9E" w:rsidRPr="00F559B4" w:rsidRDefault="00830E9E" w:rsidP="00F559B4">
      <w:pPr>
        <w:pStyle w:val="Akapitzlist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830E9E" w:rsidRPr="00F559B4" w:rsidRDefault="00830E9E" w:rsidP="00F559B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B4">
        <w:rPr>
          <w:rFonts w:ascii="Arial" w:hAnsi="Arial" w:cs="Arial"/>
          <w:b/>
          <w:sz w:val="20"/>
          <w:szCs w:val="20"/>
        </w:rPr>
        <w:t>Szczegółowy opis przedmiotu</w:t>
      </w:r>
      <w:r w:rsidR="000373E3">
        <w:rPr>
          <w:rFonts w:ascii="Arial" w:hAnsi="Arial" w:cs="Arial"/>
          <w:b/>
          <w:sz w:val="20"/>
          <w:szCs w:val="20"/>
        </w:rPr>
        <w:t xml:space="preserve"> zamówienia </w:t>
      </w:r>
      <w:r w:rsidRPr="00F559B4">
        <w:rPr>
          <w:rFonts w:ascii="Arial" w:hAnsi="Arial" w:cs="Arial"/>
          <w:b/>
          <w:sz w:val="20"/>
          <w:szCs w:val="20"/>
        </w:rPr>
        <w:t>:</w:t>
      </w:r>
    </w:p>
    <w:p w:rsidR="00F559B4" w:rsidRPr="00F559B4" w:rsidRDefault="00F559B4" w:rsidP="00F559B4">
      <w:pPr>
        <w:keepNext/>
        <w:tabs>
          <w:tab w:val="num" w:pos="0"/>
        </w:tabs>
        <w:spacing w:before="240" w:after="0"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F559B4">
        <w:rPr>
          <w:rFonts w:ascii="Arial" w:hAnsi="Arial" w:cs="Arial"/>
          <w:bCs/>
          <w:i/>
          <w:sz w:val="20"/>
          <w:szCs w:val="20"/>
        </w:rPr>
        <w:t>A</w:t>
      </w:r>
      <w:r w:rsidRPr="00F559B4">
        <w:rPr>
          <w:rFonts w:ascii="Arial" w:hAnsi="Arial" w:cs="Arial"/>
          <w:b/>
          <w:bCs/>
          <w:i/>
          <w:sz w:val="20"/>
          <w:szCs w:val="20"/>
        </w:rPr>
        <w:t>).</w:t>
      </w:r>
      <w:r w:rsidRPr="00F559B4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Konserwacja</w:t>
      </w:r>
      <w:r w:rsidRPr="00F559B4">
        <w:rPr>
          <w:rFonts w:ascii="Arial" w:hAnsi="Arial" w:cs="Arial"/>
          <w:b/>
          <w:i/>
          <w:sz w:val="20"/>
          <w:szCs w:val="20"/>
          <w:u w:val="single"/>
        </w:rPr>
        <w:t xml:space="preserve"> serwisowa systemów dynamicznego osuszania</w:t>
      </w:r>
    </w:p>
    <w:p w:rsidR="00F559B4" w:rsidRPr="00F559B4" w:rsidRDefault="00F559B4" w:rsidP="00F559B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Usługa polegająca na konserwacji serwisowej systemów dynamicznego osuszania, zlokalizowanych</w:t>
      </w:r>
      <w:r w:rsidR="00FA6DCC">
        <w:rPr>
          <w:rFonts w:ascii="Arial" w:hAnsi="Arial" w:cs="Arial"/>
          <w:sz w:val="20"/>
          <w:szCs w:val="20"/>
        </w:rPr>
        <w:t xml:space="preserve">                     </w:t>
      </w:r>
      <w:r w:rsidRPr="00F559B4">
        <w:rPr>
          <w:rFonts w:ascii="Arial" w:hAnsi="Arial" w:cs="Arial"/>
          <w:sz w:val="20"/>
          <w:szCs w:val="20"/>
        </w:rPr>
        <w:t xml:space="preserve"> w kompleksach wojskowych 31 Zgierskiego Wojskowego Oddziału Gospodarczego w Zgierzu </w:t>
      </w:r>
      <w:r w:rsidR="00534D79">
        <w:rPr>
          <w:rFonts w:ascii="Arial" w:hAnsi="Arial" w:cs="Arial"/>
          <w:sz w:val="20"/>
          <w:szCs w:val="20"/>
        </w:rPr>
        <w:t xml:space="preserve">                                  </w:t>
      </w:r>
      <w:r w:rsidRPr="00F559B4">
        <w:rPr>
          <w:rFonts w:ascii="Arial" w:hAnsi="Arial" w:cs="Arial"/>
          <w:sz w:val="20"/>
          <w:szCs w:val="20"/>
        </w:rPr>
        <w:t>w Sekcjach Obsługi Infrastruktury:</w:t>
      </w:r>
    </w:p>
    <w:p w:rsidR="00F559B4" w:rsidRPr="00F559B4" w:rsidRDefault="00F559B4" w:rsidP="00F559B4">
      <w:pPr>
        <w:pStyle w:val="Akapitzlist"/>
        <w:numPr>
          <w:ilvl w:val="0"/>
          <w:numId w:val="9"/>
        </w:numPr>
        <w:tabs>
          <w:tab w:val="left" w:pos="426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Kompleks wojskowy 97-</w:t>
      </w:r>
      <w:r>
        <w:rPr>
          <w:rFonts w:ascii="Arial" w:hAnsi="Arial" w:cs="Arial"/>
          <w:sz w:val="20"/>
          <w:szCs w:val="20"/>
        </w:rPr>
        <w:t xml:space="preserve"> </w:t>
      </w:r>
      <w:r w:rsidRPr="00F559B4">
        <w:rPr>
          <w:rFonts w:ascii="Arial" w:hAnsi="Arial" w:cs="Arial"/>
          <w:sz w:val="20"/>
          <w:szCs w:val="20"/>
        </w:rPr>
        <w:t>217 Nowy Glinnik</w:t>
      </w:r>
    </w:p>
    <w:p w:rsidR="00F559B4" w:rsidRPr="00F559B4" w:rsidRDefault="00F559B4" w:rsidP="00F559B4">
      <w:pPr>
        <w:pStyle w:val="Akapitzlist"/>
        <w:numPr>
          <w:ilvl w:val="0"/>
          <w:numId w:val="9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Kompleks wojskowy 95 - 040</w:t>
      </w:r>
      <w:r w:rsidRPr="00F559B4">
        <w:rPr>
          <w:rFonts w:ascii="Arial" w:hAnsi="Arial" w:cs="Arial"/>
          <w:sz w:val="20"/>
          <w:szCs w:val="20"/>
        </w:rPr>
        <w:t xml:space="preserve"> Tomaszów Mazowiecki rejon Regny</w:t>
      </w:r>
    </w:p>
    <w:p w:rsidR="00F559B4" w:rsidRDefault="00F559B4" w:rsidP="00F559B4">
      <w:pPr>
        <w:pStyle w:val="Akapitzlist"/>
        <w:numPr>
          <w:ilvl w:val="0"/>
          <w:numId w:val="9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Kompleks wojskowy 97 - 200 Tomaszów Mazowiecki</w:t>
      </w:r>
    </w:p>
    <w:p w:rsidR="00F559B4" w:rsidRPr="00F559B4" w:rsidRDefault="00F559B4" w:rsidP="00F559B4">
      <w:pPr>
        <w:pStyle w:val="Akapitzlist"/>
        <w:numPr>
          <w:ilvl w:val="0"/>
          <w:numId w:val="9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Kompleks wojskowy 95</w:t>
      </w:r>
      <w:r>
        <w:rPr>
          <w:rFonts w:ascii="Arial" w:hAnsi="Arial" w:cs="Arial"/>
          <w:sz w:val="20"/>
          <w:szCs w:val="20"/>
        </w:rPr>
        <w:t xml:space="preserve"> </w:t>
      </w:r>
      <w:r w:rsidRPr="00F559B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F559B4">
        <w:rPr>
          <w:rFonts w:ascii="Arial" w:hAnsi="Arial" w:cs="Arial"/>
          <w:sz w:val="20"/>
          <w:szCs w:val="20"/>
        </w:rPr>
        <w:t>043 Leźnica Wielka</w:t>
      </w:r>
    </w:p>
    <w:p w:rsidR="00F559B4" w:rsidRPr="00F559B4" w:rsidRDefault="00F559B4" w:rsidP="00F559B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Opis przedmiotu zamówienia: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Wykonanie konserwacji systemów dynamicznego osuszania w zakresie określonym </w:t>
      </w:r>
      <w:r w:rsidRPr="00F559B4">
        <w:rPr>
          <w:rFonts w:ascii="Arial" w:hAnsi="Arial" w:cs="Arial"/>
          <w:sz w:val="20"/>
          <w:szCs w:val="20"/>
        </w:rPr>
        <w:br/>
        <w:t xml:space="preserve">w „Wykaz systemów dynamicznego osuszania </w:t>
      </w:r>
      <w:r w:rsidR="003D46FD">
        <w:rPr>
          <w:rFonts w:ascii="Arial" w:hAnsi="Arial" w:cs="Arial"/>
          <w:sz w:val="20"/>
          <w:szCs w:val="20"/>
        </w:rPr>
        <w:t xml:space="preserve">podlegających konserwacji w 2025 </w:t>
      </w:r>
      <w:r w:rsidRPr="00F559B4">
        <w:rPr>
          <w:rFonts w:ascii="Arial" w:hAnsi="Arial" w:cs="Arial"/>
          <w:sz w:val="20"/>
          <w:szCs w:val="20"/>
        </w:rPr>
        <w:t>r.”, stanowiącym załącznik nr 2, zgodnie z Dokumentacją Techniczno – Ruchową oraz Instrukcją eksploatacji w zakresie: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Kontroli parametrów technicznych systemów dynamicznego osuszania;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Czyszczenia wkładów filtracyjnych (pranie środkami chemicznymi wraz z ich suszeniem);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Czyszczenia sprężonym powietrzem pochłaniaczy pary wodnej z usunięciem zagrzybienia; 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Poprawności działania klapy przeciwpożarowej;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Prawidłowości działania urządzeń sterujących i sygnalizacyjnych;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Smarowania mechanicznych elementów napędowych;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clear" w:pos="1080"/>
          <w:tab w:val="left" w:pos="0"/>
          <w:tab w:val="num" w:pos="120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Działania elementów bezpieczeństwa.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Kontroli parametrów i konserwacji następujących podzespołów: skrzynek SZOS, sterowników LB termohigrometrów LB, sygnalizatorów akustyczno</w:t>
      </w:r>
      <w:r w:rsidRPr="00F559B4">
        <w:rPr>
          <w:rFonts w:ascii="Arial" w:hAnsi="Arial" w:cs="Arial"/>
          <w:sz w:val="20"/>
          <w:szCs w:val="20"/>
        </w:rPr>
        <w:noBreakHyphen/>
        <w:t>optycznych SZOA, osprzętu dystrybucji powietrza, przyłączy zasilających, systemów zabezpieczeń, klap p.poż., pochłaniaczy pary, silniki, sprzęgła, napędy wentylatorów i sygnalizacji stanów.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Okresowej wymianie i regulacji podlegają elementy eksploatacyjne w tym wkładki styków, filtry ,elementy ruchome przegubów klap, materiały smarno- konserwujące, środki czyszczące, odkurzania itp.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Sprawdzenie przez oględziny stanu: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7"/>
        </w:numPr>
        <w:tabs>
          <w:tab w:val="clear" w:pos="1080"/>
          <w:tab w:val="left" w:pos="0"/>
          <w:tab w:val="num" w:pos="851"/>
          <w:tab w:val="left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konstrukcji nośnej, w szczególności połączeń spawanych, nitowanych i skręcanych,</w:t>
      </w:r>
    </w:p>
    <w:p w:rsidR="00F559B4" w:rsidRPr="00F559B4" w:rsidRDefault="00F559B4" w:rsidP="00F559B4">
      <w:pPr>
        <w:pStyle w:val="Akapitzlist"/>
        <w:widowControl w:val="0"/>
        <w:numPr>
          <w:ilvl w:val="0"/>
          <w:numId w:val="7"/>
        </w:numPr>
        <w:tabs>
          <w:tab w:val="clear" w:pos="1080"/>
          <w:tab w:val="left" w:pos="0"/>
          <w:tab w:val="num" w:pos="851"/>
          <w:tab w:val="left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instalacji ochrony przeciwporażeniowej.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Odnotowanie wykonanych czynności i wyników konserwacji serwisowej w dzienniku konserwacji (z podaniem daty i potwierdzeniem pieczątką serwisu), oraz w dokumentacji technicznej.</w:t>
      </w:r>
    </w:p>
    <w:p w:rsid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Wymiana drobnych elementów systemów dynamicznego osuszania (żarówki, diody sygnalizacyjne, bezpieczniki, przełączniki, wyłączniki, śruby, przyciski itp.).</w:t>
      </w:r>
    </w:p>
    <w:p w:rsidR="00F559B4" w:rsidRPr="00F559B4" w:rsidRDefault="00F559B4" w:rsidP="00F559B4">
      <w:pPr>
        <w:pStyle w:val="Akapitzlist"/>
        <w:widowControl w:val="0"/>
        <w:tabs>
          <w:tab w:val="num" w:pos="600"/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F559B4" w:rsidRPr="00AD56C7" w:rsidRDefault="00F559B4" w:rsidP="00AD56C7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lastRenderedPageBreak/>
        <w:t>Zgłoszenie Kierownikowi SOI oraz do 31. WOG nieprawidłowego działania i potrzeb naprawy systemów dynamicznego osuszania w celu zapobiegania awariom.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Wykonywanie pomiarów ochrony przeciwporażeniowej i rezystancji izolacji dla każdego systemu dynamicznego osuszania wyposażonego w urządzenia elektryczne.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Sporządzenie protokołu po wykonaniu pomiarów elektrycznych, który należy dołączyć do dokumentów systemu dynamicznego osuszania.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Pozostawienie systemów dynamicznego osuszania, po konserwacji serwisowej w stanie pełnego bezpieczeństwa dla obsługi.</w:t>
      </w:r>
    </w:p>
    <w:p w:rsidR="00F559B4" w:rsidRPr="00F559B4" w:rsidRDefault="00F559B4" w:rsidP="00F559B4">
      <w:pPr>
        <w:pStyle w:val="Akapitzlist"/>
        <w:widowControl w:val="0"/>
        <w:numPr>
          <w:ilvl w:val="1"/>
          <w:numId w:val="5"/>
        </w:numPr>
        <w:tabs>
          <w:tab w:val="clear" w:pos="720"/>
          <w:tab w:val="num" w:pos="600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Po wykonaniu konserwacji Wykonawca zobowiązany jest do sporządzenia protokołu stanu technicznego każdego urządzenia określającego wymagane naprawy.</w:t>
      </w:r>
    </w:p>
    <w:p w:rsidR="00F559B4" w:rsidRPr="00F559B4" w:rsidRDefault="00F559B4" w:rsidP="00F559B4">
      <w:pPr>
        <w:tabs>
          <w:tab w:val="num" w:pos="0"/>
        </w:tabs>
        <w:spacing w:before="240" w:after="0"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F559B4">
        <w:rPr>
          <w:rFonts w:ascii="Arial" w:hAnsi="Arial" w:cs="Arial"/>
          <w:bCs/>
          <w:i/>
          <w:sz w:val="20"/>
          <w:szCs w:val="20"/>
        </w:rPr>
        <w:t>B).</w:t>
      </w:r>
      <w:r w:rsidRPr="00F559B4">
        <w:rPr>
          <w:rFonts w:ascii="Arial" w:hAnsi="Arial" w:cs="Arial"/>
          <w:bCs/>
          <w:i/>
          <w:sz w:val="20"/>
          <w:szCs w:val="20"/>
          <w:u w:val="single"/>
        </w:rPr>
        <w:t xml:space="preserve"> </w:t>
      </w:r>
      <w:r w:rsidRPr="00F559B4">
        <w:rPr>
          <w:rFonts w:ascii="Arial" w:hAnsi="Arial" w:cs="Arial"/>
          <w:b/>
          <w:bCs/>
          <w:i/>
          <w:sz w:val="20"/>
          <w:szCs w:val="20"/>
          <w:u w:val="single"/>
        </w:rPr>
        <w:t>Naprawa</w:t>
      </w:r>
      <w:r w:rsidRPr="00F559B4">
        <w:rPr>
          <w:rFonts w:ascii="Arial" w:hAnsi="Arial" w:cs="Arial"/>
          <w:b/>
          <w:i/>
          <w:sz w:val="20"/>
          <w:szCs w:val="20"/>
          <w:u w:val="single"/>
        </w:rPr>
        <w:t xml:space="preserve"> i konserwacja systemów dynamicznego osuszania</w:t>
      </w:r>
    </w:p>
    <w:p w:rsidR="00F559B4" w:rsidRPr="00F559B4" w:rsidRDefault="00F559B4" w:rsidP="00F559B4">
      <w:pPr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Usługa polegająca na naprawie i konserwacji serwisowej systemów dynamicznego osuszania, zlokalizowanych w kompleksach wojskowych 31 Zgierskiego Wojskowego Oddziału Gospodarczego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F559B4">
        <w:rPr>
          <w:rFonts w:ascii="Arial" w:hAnsi="Arial" w:cs="Arial"/>
          <w:sz w:val="20"/>
          <w:szCs w:val="20"/>
        </w:rPr>
        <w:t>w Zgierzu w Sekcjach Obsługi Infrastruktury:</w:t>
      </w:r>
    </w:p>
    <w:p w:rsidR="00F559B4" w:rsidRPr="00F559B4" w:rsidRDefault="00F559B4" w:rsidP="00F559B4">
      <w:pPr>
        <w:numPr>
          <w:ilvl w:val="2"/>
          <w:numId w:val="3"/>
        </w:numPr>
        <w:tabs>
          <w:tab w:val="clear" w:pos="2340"/>
          <w:tab w:val="left" w:pos="426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Kompleks wojskowy 95-040 Regny</w:t>
      </w:r>
    </w:p>
    <w:p w:rsidR="00F559B4" w:rsidRPr="00F559B4" w:rsidRDefault="00F559B4" w:rsidP="00F559B4">
      <w:pPr>
        <w:numPr>
          <w:ilvl w:val="2"/>
          <w:numId w:val="3"/>
        </w:numPr>
        <w:tabs>
          <w:tab w:val="clear" w:pos="2340"/>
          <w:tab w:val="left" w:pos="426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Kompleks wojskowy 97-217 Nowy Glinnik</w:t>
      </w:r>
    </w:p>
    <w:p w:rsidR="00F559B4" w:rsidRPr="00F559B4" w:rsidRDefault="00F559B4" w:rsidP="00F559B4">
      <w:pPr>
        <w:numPr>
          <w:ilvl w:val="2"/>
          <w:numId w:val="3"/>
        </w:numPr>
        <w:tabs>
          <w:tab w:val="clear" w:pos="2340"/>
          <w:tab w:val="left" w:pos="426"/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Kompleks wojskowy 95-043 Leźnica Wielka</w:t>
      </w:r>
    </w:p>
    <w:p w:rsidR="00F559B4" w:rsidRPr="00F559B4" w:rsidRDefault="00F559B4" w:rsidP="00F559B4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Opis etapu I przedmiotu zamówienia:</w:t>
      </w:r>
    </w:p>
    <w:p w:rsidR="00F559B4" w:rsidRPr="00F559B4" w:rsidRDefault="00F559B4" w:rsidP="00F559B4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Wykonanie naprawy i konserwacji serwisowej systemów dynamicznego osuszania, </w:t>
      </w:r>
      <w:r w:rsidRPr="00F559B4">
        <w:rPr>
          <w:rFonts w:ascii="Arial" w:hAnsi="Arial" w:cs="Arial"/>
          <w:sz w:val="20"/>
          <w:szCs w:val="20"/>
        </w:rPr>
        <w:br/>
        <w:t>w zakresie określonym w „Wykazie systemów dynamicznego osuszania podlegających naprawie i konserwacji serwisowej w 2024r.” stanowiącym załącznik nr 1 do umowy oraz wykonanie napraw i konserwacji serwisowej  , zgodnie z protokołami z przeglądu technicznego wykonanego w 2024 roku w zakresie:</w:t>
      </w:r>
    </w:p>
    <w:p w:rsidR="00F559B4" w:rsidRPr="00F559B4" w:rsidRDefault="00F559B4" w:rsidP="00F559B4">
      <w:pPr>
        <w:numPr>
          <w:ilvl w:val="1"/>
          <w:numId w:val="8"/>
        </w:numPr>
        <w:tabs>
          <w:tab w:val="left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naprawy i wymiany uszkodzonych elementów systemów;</w:t>
      </w:r>
    </w:p>
    <w:p w:rsidR="00F559B4" w:rsidRPr="00F559B4" w:rsidRDefault="00F559B4" w:rsidP="00F559B4">
      <w:pPr>
        <w:numPr>
          <w:ilvl w:val="1"/>
          <w:numId w:val="8"/>
        </w:numPr>
        <w:tabs>
          <w:tab w:val="left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odnotowanie wykonanych czynności w dzienniku konserwacji (z podaniem daty </w:t>
      </w:r>
      <w:r w:rsidRPr="00F559B4">
        <w:rPr>
          <w:rFonts w:ascii="Arial" w:hAnsi="Arial" w:cs="Arial"/>
          <w:sz w:val="20"/>
          <w:szCs w:val="20"/>
        </w:rPr>
        <w:br/>
        <w:t>i potwierdzeniem podpisem z imienną pieczątką);</w:t>
      </w:r>
    </w:p>
    <w:p w:rsidR="00F559B4" w:rsidRPr="00F559B4" w:rsidRDefault="00F559B4" w:rsidP="00F559B4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Wykonanie konserwacji serwisowej pozostałych elementów systemów nie podlegających naprawie, zgodnie z Dokumentacją Techniczno – Ruchową oraz Instrukcją eksploatacji </w:t>
      </w:r>
      <w:r w:rsidR="00AC58C3">
        <w:rPr>
          <w:rFonts w:ascii="Arial" w:hAnsi="Arial" w:cs="Arial"/>
          <w:sz w:val="20"/>
          <w:szCs w:val="20"/>
        </w:rPr>
        <w:t xml:space="preserve">                              </w:t>
      </w:r>
      <w:r w:rsidRPr="00F559B4">
        <w:rPr>
          <w:rFonts w:ascii="Arial" w:hAnsi="Arial" w:cs="Arial"/>
          <w:sz w:val="20"/>
          <w:szCs w:val="20"/>
        </w:rPr>
        <w:t>w zakresie:</w:t>
      </w: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Kontroli parametrów technicznych systemów dynamicznego osuszania;</w:t>
      </w: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Czyszczenia wkładów filtracyjnych (pranie środkami chemicznymi wraz z ich suszeniem) lub wymiany;</w:t>
      </w: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Czyszczenia sprężonym powietrzem pochłaniaczy pary wodnej z usunięciem zagrzybienia; </w:t>
      </w: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Poprawności działania klapy przeciwpożarowej;</w:t>
      </w: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Prawidłowości działania urządzeń sterujących i sygnalizacyjnych;</w:t>
      </w:r>
    </w:p>
    <w:p w:rsid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Smarowania mechanicznych elementów napędowych;</w:t>
      </w:r>
    </w:p>
    <w:p w:rsidR="00AD56C7" w:rsidRDefault="00AD56C7" w:rsidP="00AD56C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D56C7" w:rsidRDefault="00AD56C7" w:rsidP="00AD56C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D56C7" w:rsidRPr="00F559B4" w:rsidRDefault="00AD56C7" w:rsidP="00AD56C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lastRenderedPageBreak/>
        <w:t>Działania elementów bezpieczeństwa</w:t>
      </w:r>
    </w:p>
    <w:p w:rsidR="00F559B4" w:rsidRPr="00F559B4" w:rsidRDefault="00F559B4" w:rsidP="00AC58C3">
      <w:pPr>
        <w:numPr>
          <w:ilvl w:val="3"/>
          <w:numId w:val="3"/>
        </w:numPr>
        <w:tabs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Kontroli parametrów i konserwacji następujących podzespołów: skrzynek SZOS, sterowników LB termohigrometrów LB, sygnalizatorów akustyczno</w:t>
      </w:r>
      <w:r w:rsidRPr="00F559B4">
        <w:rPr>
          <w:rFonts w:ascii="Arial" w:hAnsi="Arial" w:cs="Arial"/>
          <w:sz w:val="20"/>
          <w:szCs w:val="20"/>
        </w:rPr>
        <w:noBreakHyphen/>
        <w:t>optycznych SZOA, osprzętu dystrybucji powietrza, przyłączy zasilających, systemów zabezpieczeń, klap p.poż, pochłaniaczy pary, silniki, sprzęgła, napędy wentylatorów, sygnalizacji stanów.</w:t>
      </w:r>
    </w:p>
    <w:p w:rsidR="00F559B4" w:rsidRPr="00F559B4" w:rsidRDefault="00F559B4" w:rsidP="00AC58C3">
      <w:pPr>
        <w:numPr>
          <w:ilvl w:val="0"/>
          <w:numId w:val="13"/>
        </w:numPr>
        <w:tabs>
          <w:tab w:val="clear" w:pos="2340"/>
          <w:tab w:val="left" w:pos="426"/>
          <w:tab w:val="num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Okresowej wymianie i regulacji podlegają elementy eksploatacyjne w tym wkładki styków, filtry ,elementy ruchome przegubów klap, materiały smarno- konserwujące, środki czyszczące, odkurzania itp.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Sprawdzenie przez oględziny stanu:</w:t>
      </w:r>
    </w:p>
    <w:p w:rsidR="00F559B4" w:rsidRPr="00F559B4" w:rsidRDefault="00F559B4" w:rsidP="00AC58C3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konstrukcji nośnej, w szczególności połączeń spawanych, </w:t>
      </w:r>
      <w:r w:rsidRPr="00F559B4">
        <w:rPr>
          <w:rFonts w:ascii="Arial" w:hAnsi="Arial" w:cs="Arial"/>
          <w:sz w:val="20"/>
          <w:szCs w:val="20"/>
        </w:rPr>
        <w:br/>
        <w:t>nitowanych i skręcanych,</w:t>
      </w:r>
    </w:p>
    <w:p w:rsidR="00F559B4" w:rsidRPr="00F559B4" w:rsidRDefault="00F559B4" w:rsidP="00AC58C3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instalacji ochrony przeciwporażeniowej.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Odnotowanie wykonanych czynności i wyników konserwacji serwisowej w dzienniku konserwacji (z podaniem daty i potwierdzeniem pieczątką serwisu);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Wymiana drobnych i zużytych elementów systemów dynamicznego osuszania (np. żarówki, diody sygnalizacyjne, bezpieczniki, przełączniki, wyłączniki, śruby, przyciski itp.).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Wykonywanie pomiarów ochrony przeciwporażeniowej i rezystancji izolacji dla każdego systemu dynamicznego osuszania wyposażonego w urządzenia elektryczne.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Sporządzenie protokołu po wykonaniu pomiarów elektrycznych, który należy dołączyć do dokumentów systemu dynamicznego osuszania.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 xml:space="preserve">Pozostawienie systemów dynamicznego osuszania, po konserwacji serwisowej </w:t>
      </w:r>
      <w:r w:rsidRPr="00F559B4">
        <w:rPr>
          <w:rFonts w:ascii="Arial" w:hAnsi="Arial" w:cs="Arial"/>
          <w:sz w:val="20"/>
          <w:szCs w:val="20"/>
        </w:rPr>
        <w:br/>
        <w:t>w stanie pełnego bezpieczeństwa dla obsługi.</w:t>
      </w:r>
    </w:p>
    <w:p w:rsidR="00F559B4" w:rsidRPr="00F559B4" w:rsidRDefault="00F559B4" w:rsidP="00AC58C3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F559B4">
        <w:rPr>
          <w:rFonts w:ascii="Arial" w:hAnsi="Arial" w:cs="Arial"/>
          <w:sz w:val="20"/>
          <w:szCs w:val="20"/>
        </w:rPr>
        <w:t>Wykonawca obowiązany jest do wykonania naprawy, wykorzystując do tego celu części nowe, o potwierdzonej jakości, o parametrach nie gorszych niż oryginalne.</w:t>
      </w:r>
    </w:p>
    <w:bookmarkEnd w:id="0"/>
    <w:p w:rsidR="00F559B4" w:rsidRPr="00F559B4" w:rsidRDefault="00F559B4" w:rsidP="00F559B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F559B4" w:rsidRPr="00F559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2F" w:rsidRDefault="0011342F" w:rsidP="00AA24C3">
      <w:pPr>
        <w:spacing w:after="0" w:line="240" w:lineRule="auto"/>
      </w:pPr>
      <w:r>
        <w:separator/>
      </w:r>
    </w:p>
  </w:endnote>
  <w:endnote w:type="continuationSeparator" w:id="0">
    <w:p w:rsidR="0011342F" w:rsidRDefault="0011342F" w:rsidP="00AA2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1887943966"/>
      <w:docPartObj>
        <w:docPartGallery w:val="Page Numbers (Bottom of Page)"/>
        <w:docPartUnique/>
      </w:docPartObj>
    </w:sdtPr>
    <w:sdtEndPr/>
    <w:sdtContent>
      <w:p w:rsidR="00AC58C3" w:rsidRPr="00AC58C3" w:rsidRDefault="00AC58C3">
        <w:pPr>
          <w:pStyle w:val="Stopka"/>
          <w:rPr>
            <w:rFonts w:ascii="Arial" w:hAnsi="Arial" w:cs="Arial"/>
            <w:sz w:val="16"/>
            <w:szCs w:val="16"/>
          </w:rPr>
        </w:pPr>
        <w:r w:rsidRPr="00AC58C3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AC58C3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AC58C3">
          <w:rPr>
            <w:rFonts w:ascii="Arial" w:hAnsi="Arial" w:cs="Arial"/>
            <w:sz w:val="16"/>
            <w:szCs w:val="16"/>
          </w:rPr>
          <w:instrText>PAGE    \* MERGEFORMAT</w:instrText>
        </w:r>
        <w:r w:rsidRPr="00AC58C3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2D21F5" w:rsidRPr="002D21F5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AC58C3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AC58C3" w:rsidRPr="00AC58C3" w:rsidRDefault="00AC58C3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2F" w:rsidRDefault="0011342F" w:rsidP="00AA24C3">
      <w:pPr>
        <w:spacing w:after="0" w:line="240" w:lineRule="auto"/>
      </w:pPr>
      <w:r>
        <w:separator/>
      </w:r>
    </w:p>
  </w:footnote>
  <w:footnote w:type="continuationSeparator" w:id="0">
    <w:p w:rsidR="0011342F" w:rsidRDefault="0011342F" w:rsidP="00AA2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164A"/>
    <w:multiLevelType w:val="multilevel"/>
    <w:tmpl w:val="E7B2139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37C7F87"/>
    <w:multiLevelType w:val="hybridMultilevel"/>
    <w:tmpl w:val="523C209C"/>
    <w:lvl w:ilvl="0" w:tplc="39C8266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282A04DA"/>
    <w:multiLevelType w:val="hybridMultilevel"/>
    <w:tmpl w:val="AD1E0A48"/>
    <w:lvl w:ilvl="0" w:tplc="A49C5F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E5E10D6"/>
    <w:multiLevelType w:val="hybridMultilevel"/>
    <w:tmpl w:val="4A30A9D8"/>
    <w:lvl w:ilvl="0" w:tplc="5B8A10D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20D91"/>
    <w:multiLevelType w:val="hybridMultilevel"/>
    <w:tmpl w:val="2BB06E40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B75E3"/>
    <w:multiLevelType w:val="multilevel"/>
    <w:tmpl w:val="92183BC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4C1926C4"/>
    <w:multiLevelType w:val="hybridMultilevel"/>
    <w:tmpl w:val="D352668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770AE7"/>
    <w:multiLevelType w:val="hybridMultilevel"/>
    <w:tmpl w:val="FC12DF8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4E584EA9"/>
    <w:multiLevelType w:val="multilevel"/>
    <w:tmpl w:val="8632BC7E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5BE1723"/>
    <w:multiLevelType w:val="hybridMultilevel"/>
    <w:tmpl w:val="FF981996"/>
    <w:lvl w:ilvl="0" w:tplc="A49C5F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381315"/>
    <w:multiLevelType w:val="multilevel"/>
    <w:tmpl w:val="820A62B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2E00A48"/>
    <w:multiLevelType w:val="hybridMultilevel"/>
    <w:tmpl w:val="6E0AD1D0"/>
    <w:lvl w:ilvl="0" w:tplc="AE7202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1182EED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5B8A10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9ECED3D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8F3C630C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F5A45"/>
    <w:multiLevelType w:val="hybridMultilevel"/>
    <w:tmpl w:val="AAD4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AC6"/>
    <w:rsid w:val="00002465"/>
    <w:rsid w:val="0001510B"/>
    <w:rsid w:val="000373E3"/>
    <w:rsid w:val="000C7C7A"/>
    <w:rsid w:val="001037EA"/>
    <w:rsid w:val="0011342F"/>
    <w:rsid w:val="00236DA5"/>
    <w:rsid w:val="002D21F5"/>
    <w:rsid w:val="00374E1D"/>
    <w:rsid w:val="003D46FD"/>
    <w:rsid w:val="003E62DB"/>
    <w:rsid w:val="00466AAC"/>
    <w:rsid w:val="00534D79"/>
    <w:rsid w:val="005708DD"/>
    <w:rsid w:val="005B18A6"/>
    <w:rsid w:val="005F585A"/>
    <w:rsid w:val="00690A97"/>
    <w:rsid w:val="006A398B"/>
    <w:rsid w:val="00722BBB"/>
    <w:rsid w:val="00830E9E"/>
    <w:rsid w:val="008D64BD"/>
    <w:rsid w:val="0091064E"/>
    <w:rsid w:val="0094085D"/>
    <w:rsid w:val="00963EDF"/>
    <w:rsid w:val="009C527D"/>
    <w:rsid w:val="00A75389"/>
    <w:rsid w:val="00AA24C3"/>
    <w:rsid w:val="00AB1AC6"/>
    <w:rsid w:val="00AC58C3"/>
    <w:rsid w:val="00AD56C7"/>
    <w:rsid w:val="00B43259"/>
    <w:rsid w:val="00B62444"/>
    <w:rsid w:val="00C0665E"/>
    <w:rsid w:val="00CD0643"/>
    <w:rsid w:val="00D364B1"/>
    <w:rsid w:val="00D54A5B"/>
    <w:rsid w:val="00E24F48"/>
    <w:rsid w:val="00F559B4"/>
    <w:rsid w:val="00FA6DCC"/>
    <w:rsid w:val="00FB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81F10"/>
  <w15:chartTrackingRefBased/>
  <w15:docId w15:val="{06D4781D-0230-426A-94E3-5CF14B81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E1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4C3"/>
  </w:style>
  <w:style w:type="paragraph" w:styleId="Stopka">
    <w:name w:val="footer"/>
    <w:basedOn w:val="Normalny"/>
    <w:link w:val="StopkaZnak"/>
    <w:uiPriority w:val="99"/>
    <w:unhideWhenUsed/>
    <w:rsid w:val="00AA2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24C3"/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374E1D"/>
    <w:pPr>
      <w:ind w:left="720"/>
      <w:contextualSpacing/>
    </w:p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374E1D"/>
  </w:style>
  <w:style w:type="paragraph" w:styleId="Tekstdymka">
    <w:name w:val="Balloon Text"/>
    <w:basedOn w:val="Normalny"/>
    <w:link w:val="TekstdymkaZnak"/>
    <w:uiPriority w:val="99"/>
    <w:semiHidden/>
    <w:unhideWhenUsed/>
    <w:rsid w:val="00690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CFACBF-5CD5-411A-9F05-89B0A96228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Dąbrowski Dariusz</cp:lastModifiedBy>
  <cp:revision>29</cp:revision>
  <cp:lastPrinted>2024-07-26T06:06:00Z</cp:lastPrinted>
  <dcterms:created xsi:type="dcterms:W3CDTF">2023-06-01T10:25:00Z</dcterms:created>
  <dcterms:modified xsi:type="dcterms:W3CDTF">2025-03-17T09:40:00Z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c4ec24c0-3b3d-4559-b5e2-95953a4694d1</vt:lpwstr>
  </property>
  <property fmtid="{D5CDD505-2E9C-101B-9397-08002B2CF9AE}" pid="3" name="bjSaver">
    <vt:lpwstr>bNX+9dmvgRltA0hmUiBhD77dRL8f7z2y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