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Pr="00C37982" w:rsidRDefault="001C2ABE" w:rsidP="00C37982">
      <w:pPr>
        <w:spacing w:line="360" w:lineRule="auto"/>
        <w:rPr>
          <w:rFonts w:ascii="Calibri" w:hAnsi="Calibri" w:cs="Calibri"/>
          <w:szCs w:val="22"/>
        </w:rPr>
      </w:pPr>
    </w:p>
    <w:p w:rsidR="000B52A1" w:rsidRPr="004C3756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right"/>
        <w:rPr>
          <w:rFonts w:ascii="Calibri" w:hAnsi="Calibri" w:cs="Arial"/>
          <w:b/>
          <w:szCs w:val="22"/>
        </w:rPr>
      </w:pPr>
      <w:r w:rsidRPr="004C3756">
        <w:rPr>
          <w:rFonts w:ascii="Calibri" w:hAnsi="Calibri" w:cs="Arial"/>
          <w:b/>
          <w:szCs w:val="22"/>
        </w:rPr>
        <w:t>Zadanie częściowe nr</w:t>
      </w:r>
      <w:r w:rsidR="00DB4A3A">
        <w:rPr>
          <w:rFonts w:ascii="Calibri" w:hAnsi="Calibri" w:cs="Arial"/>
          <w:b/>
          <w:szCs w:val="22"/>
        </w:rPr>
        <w:t xml:space="preserve"> 2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Pr="00C37982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08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9"/>
        <w:gridCol w:w="4677"/>
        <w:gridCol w:w="1022"/>
        <w:gridCol w:w="1417"/>
        <w:gridCol w:w="1133"/>
        <w:gridCol w:w="849"/>
      </w:tblGrid>
      <w:tr w:rsidR="000B52A1" w:rsidTr="000B52A1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0B52A1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BF2E39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C37982" w:rsidRDefault="000B52A1" w:rsidP="00DB4A3A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Kolumna </w:t>
            </w:r>
            <w:r w:rsidR="00DB4A3A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histeroskopowa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801237" w:rsidRDefault="00DB4A3A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Sterownik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kamery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rozdzielniczość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sterownika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3840x2160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pikseli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głowica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kamery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4K,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możliwość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odchylania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kątowego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40st.,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zintergrowany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podwójny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zoom,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czujnik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3CMOS,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moniotor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medycznyo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przekątnej co najmniej 32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cale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i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rozdz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. 3840x2160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pikseli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pompa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wielofunkcyjna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o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zastosowaniu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ssąco-płuczącym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oraz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tłoczącym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płyny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transponde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ledowe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źródkło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światła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o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żywotności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co najmniej 30 000 h, w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pełni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automatyczna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kontrla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światła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wózek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pod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aparaturę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z co najmniej 4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półkami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4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podwójnymi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kołami,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wysięgnikiem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na monitor, uchwytem na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butlę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z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gazem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oraz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listwą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zasilającą</w:t>
            </w:r>
            <w:proofErr w:type="spellEnd"/>
            <w:r w:rsidRPr="00DB4A3A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0B52A1" w:rsidRDefault="00DB4A3A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0B52A1" w:rsidRPr="001C2ABE" w:rsidRDefault="000B52A1" w:rsidP="000B52A1">
      <w:pPr>
        <w:rPr>
          <w:rFonts w:ascii="Calibri" w:hAnsi="Calibri" w:cs="Calibri"/>
          <w:sz w:val="24"/>
          <w:szCs w:val="24"/>
        </w:rPr>
      </w:pPr>
    </w:p>
    <w:p w:rsidR="001A77E0" w:rsidRDefault="001A77E0" w:rsidP="001A77E0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1A77E0" w:rsidRDefault="001A77E0" w:rsidP="001A77E0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 </w:t>
      </w:r>
    </w:p>
    <w:p w:rsidR="000B52A1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  <w:bookmarkStart w:id="0" w:name="_GoBack"/>
      <w:bookmarkEnd w:id="0"/>
    </w:p>
    <w:p w:rsidR="000B52A1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</w:p>
    <w:p w:rsidR="000B52A1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13807"/>
    <w:rsid w:val="0004570E"/>
    <w:rsid w:val="00053BE9"/>
    <w:rsid w:val="0005514F"/>
    <w:rsid w:val="00055C8B"/>
    <w:rsid w:val="00055FEA"/>
    <w:rsid w:val="00061F3F"/>
    <w:rsid w:val="00071980"/>
    <w:rsid w:val="000853FD"/>
    <w:rsid w:val="00091388"/>
    <w:rsid w:val="00091D1F"/>
    <w:rsid w:val="00093098"/>
    <w:rsid w:val="00094FA2"/>
    <w:rsid w:val="000A1311"/>
    <w:rsid w:val="000A69A2"/>
    <w:rsid w:val="000B52A1"/>
    <w:rsid w:val="001043FD"/>
    <w:rsid w:val="001061CD"/>
    <w:rsid w:val="0011612D"/>
    <w:rsid w:val="0013241D"/>
    <w:rsid w:val="00142A56"/>
    <w:rsid w:val="00150F6E"/>
    <w:rsid w:val="0015222F"/>
    <w:rsid w:val="0015453B"/>
    <w:rsid w:val="001629BF"/>
    <w:rsid w:val="001820E8"/>
    <w:rsid w:val="001845D2"/>
    <w:rsid w:val="001859FC"/>
    <w:rsid w:val="001A5C7C"/>
    <w:rsid w:val="001A77E0"/>
    <w:rsid w:val="001B6E19"/>
    <w:rsid w:val="001C2ABE"/>
    <w:rsid w:val="001C4C75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66DC"/>
    <w:rsid w:val="003169D1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E2079"/>
    <w:rsid w:val="00511499"/>
    <w:rsid w:val="00515204"/>
    <w:rsid w:val="005270DB"/>
    <w:rsid w:val="00532B3F"/>
    <w:rsid w:val="005335A0"/>
    <w:rsid w:val="00535EC9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61E53"/>
    <w:rsid w:val="007801C1"/>
    <w:rsid w:val="00786334"/>
    <w:rsid w:val="00786782"/>
    <w:rsid w:val="007A5DF7"/>
    <w:rsid w:val="007A7F7B"/>
    <w:rsid w:val="007B55A9"/>
    <w:rsid w:val="007B5A1B"/>
    <w:rsid w:val="007D1AB8"/>
    <w:rsid w:val="007E2C59"/>
    <w:rsid w:val="007F2FCA"/>
    <w:rsid w:val="00801237"/>
    <w:rsid w:val="00816BF3"/>
    <w:rsid w:val="008221CF"/>
    <w:rsid w:val="008607B5"/>
    <w:rsid w:val="00861868"/>
    <w:rsid w:val="008A2A30"/>
    <w:rsid w:val="008C129B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4D83"/>
    <w:rsid w:val="0099781D"/>
    <w:rsid w:val="009A7971"/>
    <w:rsid w:val="009C121E"/>
    <w:rsid w:val="009C13BF"/>
    <w:rsid w:val="009C20B2"/>
    <w:rsid w:val="009C4077"/>
    <w:rsid w:val="009C49B6"/>
    <w:rsid w:val="00A01918"/>
    <w:rsid w:val="00A05BCE"/>
    <w:rsid w:val="00A14C97"/>
    <w:rsid w:val="00A275E4"/>
    <w:rsid w:val="00A35B4B"/>
    <w:rsid w:val="00A374E0"/>
    <w:rsid w:val="00A40994"/>
    <w:rsid w:val="00A710EC"/>
    <w:rsid w:val="00A8221E"/>
    <w:rsid w:val="00AA7446"/>
    <w:rsid w:val="00AC4034"/>
    <w:rsid w:val="00AC456E"/>
    <w:rsid w:val="00AE6EBC"/>
    <w:rsid w:val="00AF5AA5"/>
    <w:rsid w:val="00B12046"/>
    <w:rsid w:val="00B16D3F"/>
    <w:rsid w:val="00B4509B"/>
    <w:rsid w:val="00B53B7D"/>
    <w:rsid w:val="00B561D8"/>
    <w:rsid w:val="00B60991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2E39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5B8F"/>
    <w:rsid w:val="00CE5E06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748A"/>
    <w:rsid w:val="00E3167F"/>
    <w:rsid w:val="00E31D68"/>
    <w:rsid w:val="00E55C21"/>
    <w:rsid w:val="00E703EF"/>
    <w:rsid w:val="00E7633B"/>
    <w:rsid w:val="00E93286"/>
    <w:rsid w:val="00EA2F88"/>
    <w:rsid w:val="00EC3C1F"/>
    <w:rsid w:val="00EF1B46"/>
    <w:rsid w:val="00F200A6"/>
    <w:rsid w:val="00F307A5"/>
    <w:rsid w:val="00F65B20"/>
    <w:rsid w:val="00F7721B"/>
    <w:rsid w:val="00F81A84"/>
    <w:rsid w:val="00F83863"/>
    <w:rsid w:val="00F84718"/>
    <w:rsid w:val="00FA4AE3"/>
    <w:rsid w:val="00FD50BD"/>
    <w:rsid w:val="00F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76811-DE89-4365-9999-91F479CDF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2</TotalTime>
  <Pages>1</Pages>
  <Words>151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5</cp:revision>
  <cp:lastPrinted>2024-10-11T06:58:00Z</cp:lastPrinted>
  <dcterms:created xsi:type="dcterms:W3CDTF">2024-11-18T11:58:00Z</dcterms:created>
  <dcterms:modified xsi:type="dcterms:W3CDTF">2024-11-18T12:55:00Z</dcterms:modified>
</cp:coreProperties>
</file>