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bidi w:val="0"/>
        <w:jc w:val="end"/>
        <w:rPr>
          <w:color w:val="C9211E"/>
        </w:rPr>
      </w:pPr>
      <w:r>
        <w:rPr>
          <w:color w:val="C9211E"/>
        </w:rPr>
        <w:t>16/DDS/2024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150" w:after="120"/>
        <w:ind w:start="0" w:end="0" w:hanging="0"/>
        <w:jc w:val="both"/>
        <w:outlineLvl w:val="3"/>
        <w:rPr>
          <w:rFonts w:ascii="Times New Roman" w:hAnsi="Times New Roman" w:eastAsia="Times New Roman" w:cs="Helvetica"/>
          <w:sz w:val="24"/>
          <w:szCs w:val="24"/>
          <w:u w:val="single"/>
          <w:lang w:eastAsia="pl-PL"/>
        </w:rPr>
      </w:pPr>
      <w:r>
        <w:rPr>
          <w:rFonts w:eastAsia="Times New Roman" w:cs="Helvetica" w:ascii="Times New Roman" w:hAnsi="Times New Roman"/>
          <w:sz w:val="24"/>
          <w:szCs w:val="24"/>
          <w:u w:val="single"/>
          <w:lang w:eastAsia="pl-PL"/>
        </w:rPr>
        <w:t>Nazwa i adres zamawiającego</w:t>
      </w:r>
    </w:p>
    <w:tbl>
      <w:tblPr>
        <w:tblW w:w="8716" w:type="dxa"/>
        <w:jc w:val="start"/>
        <w:tblInd w:w="484" w:type="dxa"/>
        <w:tblLayout w:type="fixed"/>
        <w:tblCellMar>
          <w:top w:w="0" w:type="dxa"/>
          <w:start w:w="10" w:type="dxa"/>
          <w:bottom w:w="0" w:type="dxa"/>
          <w:end w:w="10" w:type="dxa"/>
        </w:tblCellMar>
      </w:tblPr>
      <w:tblGrid>
        <w:gridCol w:w="2927"/>
        <w:gridCol w:w="5789"/>
      </w:tblGrid>
      <w:tr>
        <w:trPr>
          <w:trHeight w:val="882" w:hRule="atLeast"/>
        </w:trPr>
        <w:tc>
          <w:tcPr>
            <w:tcW w:w="2927" w:type="dxa"/>
            <w:tcBorders>
              <w:top w:val="single" w:sz="8" w:space="0" w:color="00000A"/>
              <w:start w:val="single" w:sz="8" w:space="0" w:color="00000A"/>
              <w:bottom w:val="single" w:sz="8" w:space="0" w:color="00000A"/>
              <w:end w:val="single" w:sz="8" w:space="0" w:color="00000A"/>
            </w:tcBorders>
            <w:shd w:fill="FFFFFF" w:val="clear"/>
          </w:tcPr>
          <w:p>
            <w:pPr>
              <w:pStyle w:val="Normal"/>
              <w:widowControl w:val="false"/>
              <w:bidi w:val="0"/>
              <w:spacing w:lineRule="atLeast" w:line="311" w:before="120" w:after="150"/>
              <w:jc w:val="start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Zamawiający:                         </w:t>
            </w:r>
          </w:p>
        </w:tc>
        <w:tc>
          <w:tcPr>
            <w:tcW w:w="5789" w:type="dxa"/>
            <w:tcBorders>
              <w:top w:val="single" w:sz="8" w:space="0" w:color="00000A"/>
              <w:bottom w:val="single" w:sz="8" w:space="0" w:color="00000A"/>
              <w:end w:val="single" w:sz="8" w:space="0" w:color="00000A"/>
            </w:tcBorders>
            <w:shd w:fill="FFFFFF" w:val="clear"/>
          </w:tcPr>
          <w:p>
            <w:pPr>
              <w:pStyle w:val="Normal"/>
              <w:widowControl w:val="false"/>
              <w:bidi w:val="0"/>
              <w:spacing w:lineRule="atLeast" w:line="405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Centrum Usług Społecznych w Starachowicach</w:t>
            </w:r>
          </w:p>
          <w:p>
            <w:pPr>
              <w:pStyle w:val="Normal"/>
              <w:widowControl w:val="false"/>
              <w:bidi w:val="0"/>
              <w:spacing w:lineRule="atLeast" w:line="405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Dział: Dzienny Dom Senior+ </w:t>
            </w:r>
          </w:p>
          <w:p>
            <w:pPr>
              <w:pStyle w:val="Normal"/>
              <w:widowControl w:val="false"/>
              <w:bidi w:val="0"/>
              <w:spacing w:lineRule="atLeast" w:line="405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ul. Al. Armii Krajowej 28 Ip., 27-200 Starachowice</w:t>
            </w:r>
          </w:p>
          <w:p>
            <w:pPr>
              <w:pStyle w:val="Normal"/>
              <w:widowControl w:val="false"/>
              <w:bidi w:val="0"/>
              <w:spacing w:lineRule="atLeast" w:line="405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Godziny pracy: od poniedziałku do piątku w godzinach od 8:00 do 16:00</w:t>
            </w:r>
          </w:p>
          <w:p>
            <w:pPr>
              <w:pStyle w:val="Normal"/>
              <w:widowControl w:val="false"/>
              <w:bidi w:val="0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 w:eastAsia="pl-PL"/>
              </w:rPr>
              <w:t>Nr tel. 668-216-211</w:t>
            </w:r>
          </w:p>
          <w:p>
            <w:pPr>
              <w:pStyle w:val="Normal"/>
              <w:widowControl w:val="false"/>
              <w:bidi w:val="0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 w:eastAsia="pl-PL"/>
              </w:rPr>
              <w:t>Adres WWW: cus.starachowice.eu</w:t>
            </w:r>
          </w:p>
          <w:p>
            <w:pPr>
              <w:pStyle w:val="Normal"/>
              <w:widowControl w:val="false"/>
              <w:bidi w:val="0"/>
              <w:spacing w:lineRule="atLeast" w:line="311" w:before="0" w:after="15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 w:eastAsia="pl-PL"/>
              </w:rPr>
              <w:t>email : ewa.pochec@cus.starachowice.eu</w:t>
            </w:r>
          </w:p>
        </w:tc>
      </w:tr>
    </w:tbl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0" w:after="150"/>
        <w:ind w:start="0" w:end="0" w:hanging="0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120" w:after="0"/>
        <w:ind w:start="720" w:end="0" w:hanging="720"/>
        <w:jc w:val="start"/>
        <w:outlineLvl w:val="3"/>
        <w:rPr>
          <w:rFonts w:ascii="Times New Roman" w:hAnsi="Times New Roman" w:eastAsia="Times New Roman" w:cs="Helvetica"/>
          <w:b/>
          <w:b/>
          <w:sz w:val="24"/>
          <w:szCs w:val="24"/>
          <w:u w:val="single"/>
          <w:lang w:eastAsia="pl-PL"/>
        </w:rPr>
      </w:pPr>
      <w:r>
        <w:rPr>
          <w:rFonts w:eastAsia="Times New Roman" w:cs="Helvetica" w:ascii="Times New Roman" w:hAnsi="Times New Roman"/>
          <w:b/>
          <w:sz w:val="24"/>
          <w:szCs w:val="24"/>
          <w:u w:val="single"/>
          <w:lang w:eastAsia="pl-PL"/>
        </w:rPr>
        <w:t>1.Tryb udzielenia zamówienia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uto" w:line="276" w:before="120" w:after="120"/>
        <w:ind w:start="0" w:end="-142" w:hanging="0"/>
        <w:jc w:val="both"/>
        <w:outlineLvl w:val="4"/>
        <w:rPr/>
      </w:pPr>
      <w:r>
        <w:rPr>
          <w:rStyle w:val="Domylnaczcionkaakapitu"/>
          <w:rFonts w:eastAsia="Times New Roman" w:cs="Calibri" w:ascii="Times New Roman" w:hAnsi="Times New Roman"/>
          <w:sz w:val="24"/>
          <w:szCs w:val="24"/>
          <w:lang w:eastAsia="pl-PL"/>
        </w:rPr>
        <w:t>Postępowanie prowadzone jest na podstawie wewnętrznego Regulaminu, udzielania zamówień, finansowanych ze środków publicznych, których wartość jest mniejsza od kwoty 130 000,00 zł, wprowadzonego Zarządzeniem nr 48/2023 Dyrektora Centrum Usług Społecznych w Starachowicach z dnia 28.12.2023 r. Do postępowania nie mają zastosowania zapisy Ustawy Prawo Zamówień Publicznych.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120" w:after="0"/>
        <w:ind w:start="425" w:end="0" w:hanging="425"/>
        <w:jc w:val="both"/>
        <w:outlineLvl w:val="3"/>
        <w:rPr>
          <w:rFonts w:ascii="Times New Roman" w:hAnsi="Times New Roman" w:eastAsia="Times New Roman" w:cs="Helvetica"/>
          <w:b/>
          <w:b/>
          <w:sz w:val="24"/>
          <w:szCs w:val="24"/>
          <w:u w:val="single"/>
          <w:lang w:eastAsia="pl-PL"/>
        </w:rPr>
      </w:pPr>
      <w:r>
        <w:rPr>
          <w:rFonts w:eastAsia="Times New Roman" w:cs="Helvetica" w:ascii="Times New Roman" w:hAnsi="Times New Roman"/>
          <w:b/>
          <w:sz w:val="24"/>
          <w:szCs w:val="24"/>
          <w:u w:val="single"/>
          <w:lang w:eastAsia="pl-PL"/>
        </w:rPr>
        <w:t>2. Opis przedmiotu zamówienia</w:t>
      </w:r>
    </w:p>
    <w:p>
      <w:pPr>
        <w:pStyle w:val="Normalny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przedmiotu zamówienia</w:t>
      </w:r>
    </w:p>
    <w:p>
      <w:pPr>
        <w:pStyle w:val="Akapitzlist"/>
        <w:numPr>
          <w:ilvl w:val="0"/>
          <w:numId w:val="2"/>
        </w:numPr>
        <w:bidi w:val="0"/>
        <w:ind w:start="780" w:end="0" w:hanging="360"/>
        <w:jc w:val="both"/>
        <w:rPr/>
      </w:pPr>
      <w:r>
        <w:rPr>
          <w:rStyle w:val="Domylnaczcionkaakapitu"/>
          <w:rFonts w:cs="Times New Roman" w:ascii="Times New Roman" w:hAnsi="Times New Roman"/>
          <w:color w:val="000000"/>
        </w:rPr>
        <w:t xml:space="preserve">Przedmiotem zamówienia jest dostawa 4 krzeseł biurowe ekoskóra z masażem (dwa beżowe, dwa czarne) </w:t>
      </w:r>
      <w:r>
        <w:rPr>
          <w:rStyle w:val="Domylnaczcionkaakapitu"/>
          <w:rFonts w:cs="Times New Roman" w:ascii="Times New Roman" w:hAnsi="Times New Roman"/>
          <w:color w:val="000000"/>
        </w:rPr>
        <w:t xml:space="preserve">oraz 3 szt. fotel </w:t>
      </w:r>
      <w:r>
        <w:rPr>
          <w:rStyle w:val="Domylnaczcionkaakapitu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biurowy typu HALMAR VIRE</w:t>
      </w:r>
      <w:r>
        <w:rPr>
          <w:rStyle w:val="Domylnaczcionkaakapitu"/>
          <w:rFonts w:cs="Times New Roman" w:ascii="Times New Roman" w:hAnsi="Times New Roman"/>
          <w:color w:val="000000"/>
          <w:sz w:val="24"/>
          <w:szCs w:val="24"/>
        </w:rPr>
        <w:t xml:space="preserve"> czarny </w:t>
      </w:r>
      <w:r>
        <w:rPr>
          <w:rStyle w:val="Domylnaczcionkaakapitu"/>
          <w:rFonts w:cs="Times New Roman" w:ascii="Times New Roman" w:hAnsi="Times New Roman"/>
          <w:color w:val="000000"/>
        </w:rPr>
        <w:t>do Dziennego Domu Senior+ w Starachowicach.</w:t>
      </w:r>
    </w:p>
    <w:p>
      <w:pPr>
        <w:pStyle w:val="Akapitzlist"/>
        <w:numPr>
          <w:ilvl w:val="0"/>
          <w:numId w:val="2"/>
        </w:numPr>
        <w:bidi w:val="0"/>
        <w:ind w:start="780" w:end="0" w:hanging="360"/>
        <w:jc w:val="both"/>
        <w:rPr/>
      </w:pPr>
      <w:r>
        <w:rPr>
          <w:rStyle w:val="Domylnaczcionkaakapitu"/>
          <w:rFonts w:cs="Times New Roman" w:ascii="Times New Roman" w:hAnsi="Times New Roman"/>
          <w:color w:val="000000"/>
        </w:rPr>
        <w:t xml:space="preserve">Wydatek wynika z realizacji </w:t>
      </w:r>
      <w:r>
        <w:rPr>
          <w:rStyle w:val="Domylnaczcionkaakapitu"/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>Projektu pn. Z</w:t>
      </w:r>
      <w:r>
        <w:rPr>
          <w:rStyle w:val="Domylnaczcionkaakapitu"/>
          <w:rFonts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apewnienie funkcjonowania </w:t>
      </w:r>
      <w:r>
        <w:rPr>
          <w:rStyle w:val="Domylnaczcionkaakapitu"/>
          <w:rFonts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  <w:u w:val="none"/>
        </w:rPr>
        <w:t>Dziennego Domu</w:t>
      </w:r>
      <w:r>
        <w:rPr>
          <w:rStyle w:val="Domylnaczcionkaakapitu"/>
          <w:rFonts w:cs="Arial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 „Senior+”</w:t>
      </w:r>
      <w:r>
        <w:rPr>
          <w:rStyle w:val="Domylnaczcionkaakapitu"/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4"/>
          <w:szCs w:val="24"/>
        </w:rPr>
        <w:t xml:space="preserve"> współfinansowany ze środków rządowego Programu Wieloletniego „Senior-+” na lata 2021 – 2025- edycja 2024.</w:t>
      </w:r>
    </w:p>
    <w:p>
      <w:pPr>
        <w:pStyle w:val="Akapitzlist"/>
        <w:numPr>
          <w:ilvl w:val="0"/>
          <w:numId w:val="2"/>
        </w:numPr>
        <w:bidi w:val="0"/>
        <w:ind w:start="780" w:end="0" w:hanging="360"/>
        <w:jc w:val="start"/>
        <w:rPr/>
      </w:pPr>
      <w:r>
        <w:rPr>
          <w:rStyle w:val="Domylnaczcionkaakapitu"/>
          <w:rFonts w:cs="Times New Roman" w:ascii="Times New Roman" w:hAnsi="Times New Roman"/>
          <w:color w:val="000000"/>
        </w:rPr>
        <w:t xml:space="preserve">Specyfikacja krzeseł </w:t>
      </w:r>
      <w:r>
        <w:rPr>
          <w:rStyle w:val="Domylnaczcionkaakapitu"/>
          <w:rFonts w:cs="Times New Roman" w:ascii="Times New Roman" w:hAnsi="Times New Roman"/>
          <w:color w:val="000000"/>
        </w:rPr>
        <w:t>4 szt.</w:t>
      </w:r>
      <w:r>
        <w:rPr>
          <w:rStyle w:val="Domylnaczcionkaakapitu"/>
          <w:rFonts w:cs="Times New Roman" w:ascii="Times New Roman" w:hAnsi="Times New Roman"/>
          <w:color w:val="000000"/>
        </w:rPr>
        <w:t xml:space="preserve">: Lekko bieżne kółka, Obraca się o 360°, Pneumatyczna regulacja wysokości siedziska, Wyposażony w funkcję grzania, Masaż punktowy skupiony na plecach, Wysokie oparcie i wygodne siedzisko </w:t>
      </w:r>
    </w:p>
    <w:p>
      <w:pPr>
        <w:pStyle w:val="Akapitzlist"/>
        <w:bidi w:val="0"/>
        <w:ind w:start="1200" w:end="0" w:hanging="0"/>
        <w:jc w:val="start"/>
        <w:rPr>
          <w:rStyle w:val="Domylnaczcionkaakapitu"/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Tretekstu"/>
        <w:ind w:start="709" w:end="0" w:hanging="0"/>
        <w:rPr/>
      </w:pPr>
      <w:r>
        <w:rPr>
          <w:rStyle w:val="Mocnewyrnione"/>
        </w:rPr>
        <w:t>Typ produktu:</w:t>
      </w:r>
      <w:r>
        <w:rPr/>
        <w:t xml:space="preserve"> Krzesło</w:t>
      </w:r>
    </w:p>
    <w:p>
      <w:pPr>
        <w:pStyle w:val="Tretekstu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Styl:</w:t>
      </w:r>
      <w:r>
        <w:rPr/>
        <w:t xml:space="preserve"> Klasyczny </w:t>
      </w:r>
    </w:p>
    <w:p>
      <w:pPr>
        <w:pStyle w:val="Tretekstu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Kolor główny:</w:t>
      </w:r>
      <w:r>
        <w:rPr/>
        <w:t xml:space="preserve"> Beżowy </w:t>
      </w:r>
    </w:p>
    <w:p>
      <w:pPr>
        <w:pStyle w:val="Tretekstu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Rodzaj materiału:</w:t>
      </w:r>
      <w:r>
        <w:rPr/>
        <w:t xml:space="preserve"> Skóra ekologiczna </w:t>
      </w:r>
    </w:p>
    <w:p>
      <w:pPr>
        <w:pStyle w:val="Tretekstu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Materiał:</w:t>
      </w:r>
      <w:r>
        <w:rPr/>
        <w:t xml:space="preserve"> Skóra ekologiczna </w:t>
      </w:r>
    </w:p>
    <w:p>
      <w:pPr>
        <w:pStyle w:val="Tretekstu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Materiał dodatkowy:</w:t>
      </w:r>
      <w:r>
        <w:rPr/>
        <w:t xml:space="preserve"> Stal </w:t>
      </w:r>
    </w:p>
    <w:p>
      <w:pPr>
        <w:pStyle w:val="Tretekstu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Materiał nóżek:</w:t>
      </w:r>
      <w:r>
        <w:rPr/>
        <w:t xml:space="preserve"> Stal </w:t>
      </w:r>
    </w:p>
    <w:p>
      <w:pPr>
        <w:pStyle w:val="Tretekstu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Materiał siedziska:</w:t>
      </w:r>
      <w:r>
        <w:rPr/>
        <w:t xml:space="preserve"> Skóra ekologiczna </w:t>
      </w:r>
    </w:p>
    <w:p>
      <w:pPr>
        <w:pStyle w:val="Tretekstu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Skład materiału:</w:t>
      </w:r>
      <w:r>
        <w:rPr/>
        <w:t xml:space="preserve"> 100% Skóra ekologiczna </w:t>
      </w:r>
    </w:p>
    <w:p>
      <w:pPr>
        <w:pStyle w:val="Tretekstu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Dodatkowe funkcje:</w:t>
      </w:r>
      <w:r>
        <w:rPr/>
        <w:t xml:space="preserve"> Podgrzewanie </w:t>
      </w:r>
    </w:p>
    <w:p>
      <w:pPr>
        <w:pStyle w:val="Tretekstu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Regulowane części:</w:t>
      </w:r>
      <w:r>
        <w:rPr/>
        <w:t xml:space="preserve"> Wysokość siedziska </w:t>
      </w:r>
    </w:p>
    <w:p>
      <w:pPr>
        <w:pStyle w:val="Tretekstu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Podłokietniki:</w:t>
      </w:r>
      <w:r>
        <w:rPr/>
        <w:t xml:space="preserve"> Tak </w:t>
      </w:r>
    </w:p>
    <w:p>
      <w:pPr>
        <w:pStyle w:val="Tretekstu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Wykończenie:</w:t>
      </w:r>
      <w:r>
        <w:rPr/>
        <w:t xml:space="preserve"> Chromowany </w:t>
      </w:r>
    </w:p>
    <w:p>
      <w:pPr>
        <w:pStyle w:val="Tretekstu"/>
        <w:numPr>
          <w:ilvl w:val="0"/>
          <w:numId w:val="4"/>
        </w:numPr>
        <w:tabs>
          <w:tab w:val="clear" w:pos="709"/>
          <w:tab w:val="left" w:pos="0" w:leader="none"/>
        </w:tabs>
        <w:ind w:start="707" w:end="0" w:hanging="283"/>
        <w:rPr/>
      </w:pPr>
      <w:r>
        <w:rPr>
          <w:rStyle w:val="Mocnewyrnione"/>
        </w:rPr>
        <w:t>Napięcie:</w:t>
      </w:r>
      <w:r>
        <w:rPr/>
        <w:t xml:space="preserve"> 220-240 V (50 Hz) </w:t>
      </w:r>
    </w:p>
    <w:p>
      <w:pPr>
        <w:pStyle w:val="Tretekstu"/>
        <w:numPr>
          <w:ilvl w:val="0"/>
          <w:numId w:val="4"/>
        </w:numPr>
        <w:tabs>
          <w:tab w:val="clear" w:pos="709"/>
          <w:tab w:val="left" w:pos="0" w:leader="none"/>
        </w:tabs>
        <w:ind w:start="707" w:end="0" w:hanging="283"/>
        <w:rPr/>
      </w:pPr>
      <w:r>
        <w:rPr>
          <w:rStyle w:val="Mocnewyrnione"/>
        </w:rPr>
        <w:t>Wysokość podłokietników:</w:t>
      </w:r>
      <w:r>
        <w:rPr/>
        <w:t xml:space="preserve"> 24 cm </w:t>
      </w:r>
    </w:p>
    <w:p>
      <w:pPr>
        <w:pStyle w:val="Tretekstu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Głębokość:</w:t>
      </w:r>
      <w:r>
        <w:rPr/>
        <w:t xml:space="preserve"> 73 cm </w:t>
      </w:r>
    </w:p>
    <w:p>
      <w:pPr>
        <w:pStyle w:val="Tretekstu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Wysokość siedziska:</w:t>
      </w:r>
      <w:r>
        <w:rPr/>
        <w:t xml:space="preserve"> 47-55 cm </w:t>
      </w:r>
    </w:p>
    <w:p>
      <w:pPr>
        <w:pStyle w:val="Tretekstu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Szerokość:</w:t>
      </w:r>
      <w:r>
        <w:rPr/>
        <w:t xml:space="preserve"> 53 cm </w:t>
      </w:r>
    </w:p>
    <w:p>
      <w:pPr>
        <w:pStyle w:val="Tretekstu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Wysokość:</w:t>
      </w:r>
      <w:r>
        <w:rPr/>
        <w:t xml:space="preserve"> 127-135 cm </w:t>
      </w:r>
    </w:p>
    <w:p>
      <w:pPr>
        <w:pStyle w:val="Tretekstu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Powierzchnia siedziska:</w:t>
      </w:r>
      <w:r>
        <w:rPr/>
        <w:t xml:space="preserve"> 52x53 cm </w:t>
      </w:r>
    </w:p>
    <w:p>
      <w:pPr>
        <w:pStyle w:val="Tretekstu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0"/>
        <w:ind w:start="707" w:end="0" w:hanging="283"/>
        <w:rPr/>
      </w:pPr>
      <w:r>
        <w:rPr>
          <w:rStyle w:val="Mocnewyrnione"/>
        </w:rPr>
        <w:t>Waga:</w:t>
      </w:r>
      <w:r>
        <w:rPr/>
        <w:t xml:space="preserve"> 19 kg </w:t>
      </w:r>
    </w:p>
    <w:p>
      <w:pPr>
        <w:pStyle w:val="Tretekstu"/>
        <w:numPr>
          <w:ilvl w:val="0"/>
          <w:numId w:val="5"/>
        </w:numPr>
        <w:tabs>
          <w:tab w:val="clear" w:pos="709"/>
          <w:tab w:val="left" w:pos="0" w:leader="none"/>
        </w:tabs>
        <w:ind w:start="707" w:end="0" w:hanging="283"/>
        <w:rPr/>
      </w:pPr>
      <w:r>
        <w:rPr>
          <w:rStyle w:val="Mocnewyrnione"/>
        </w:rPr>
        <w:t>Maks. obciążenie:</w:t>
      </w:r>
      <w:r>
        <w:rPr/>
        <w:t xml:space="preserve"> 120 kg </w:t>
      </w:r>
    </w:p>
    <w:p>
      <w:pPr>
        <w:pStyle w:val="Tretekstu"/>
        <w:numPr>
          <w:ilvl w:val="0"/>
          <w:numId w:val="5"/>
        </w:numPr>
        <w:tabs>
          <w:tab w:val="clear" w:pos="709"/>
          <w:tab w:val="left" w:pos="0" w:leader="none"/>
        </w:tabs>
        <w:ind w:start="707" w:end="0" w:hanging="283"/>
        <w:rPr/>
      </w:pPr>
      <w:r>
        <w:rPr>
          <w:rStyle w:val="Domylnaczcionkaakapitu"/>
          <w:rFonts w:cs="Times New Roman" w:ascii="Times New Roman" w:hAnsi="Times New Roman"/>
          <w:b/>
          <w:bCs/>
          <w:color w:val="000000"/>
        </w:rPr>
        <w:t>Głębokość</w:t>
      </w:r>
      <w:r>
        <w:rPr>
          <w:rStyle w:val="Domylnaczcionkaakapitu"/>
          <w:rFonts w:cs="Times New Roman" w:ascii="Times New Roman" w:hAnsi="Times New Roman"/>
          <w:color w:val="000000"/>
        </w:rPr>
        <w:t xml:space="preserve"> 73 cm</w:t>
      </w:r>
    </w:p>
    <w:p>
      <w:pPr>
        <w:pStyle w:val="Tretekstu"/>
        <w:numPr>
          <w:ilvl w:val="0"/>
          <w:numId w:val="5"/>
        </w:numPr>
        <w:tabs>
          <w:tab w:val="clear" w:pos="709"/>
          <w:tab w:val="left" w:pos="0" w:leader="none"/>
        </w:tabs>
        <w:ind w:start="707" w:end="0" w:hanging="283"/>
        <w:rPr/>
      </w:pPr>
      <w:r>
        <w:rPr/>
        <w:t>Szerokość 53 cm</w:t>
      </w:r>
    </w:p>
    <w:p>
      <w:pPr>
        <w:pStyle w:val="Tretekstu"/>
        <w:numPr>
          <w:ilvl w:val="0"/>
          <w:numId w:val="5"/>
        </w:numPr>
        <w:tabs>
          <w:tab w:val="clear" w:pos="709"/>
          <w:tab w:val="left" w:pos="0" w:leader="none"/>
        </w:tabs>
        <w:ind w:start="707" w:end="0" w:hanging="283"/>
        <w:rPr/>
      </w:pPr>
      <w:r>
        <w:rPr/>
        <w:t>Wysokość 127-135 cm</w:t>
      </w:r>
    </w:p>
    <w:p>
      <w:pPr>
        <w:pStyle w:val="Tretekstu"/>
        <w:numPr>
          <w:ilvl w:val="0"/>
          <w:numId w:val="0"/>
        </w:numPr>
        <w:tabs>
          <w:tab w:val="clear" w:pos="709"/>
          <w:tab w:val="left" w:pos="0" w:leader="none"/>
        </w:tabs>
        <w:ind w:start="1131" w:end="0" w:hanging="0"/>
        <w:rPr/>
      </w:pPr>
      <w:r>
        <w:rPr/>
        <w:t xml:space="preserve">Specyfikacja 3 szt.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fotel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biurowy typu HALMAR VIRE,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kolor czarny</w:t>
      </w:r>
    </w:p>
    <w:p>
      <w:pPr>
        <w:pStyle w:val="Tretekstu"/>
        <w:numPr>
          <w:ilvl w:val="0"/>
          <w:numId w:val="5"/>
        </w:numPr>
        <w:tabs>
          <w:tab w:val="clear" w:pos="709"/>
          <w:tab w:val="left" w:pos="0" w:leader="none"/>
        </w:tabs>
        <w:ind w:start="707" w:end="0" w:hanging="283"/>
        <w:rPr/>
      </w:pPr>
      <w:r>
        <w:rPr>
          <w:rFonts w:ascii="Times New Roman" w:hAnsi="Times New Roman"/>
          <w:b w:val="false"/>
          <w:bCs w:val="false"/>
          <w:color w:val="000000"/>
          <w:sz w:val="24"/>
          <w:szCs w:val="24"/>
        </w:rPr>
        <w:t>obrotowy, wykonany z tkaniny membranowej (elastycznej siatki) w połączeniu z elementami ekoskóry, ekoskóra tylko w górnej części oparcia, siedzisko z tkaniny membranowej, wypełnione miękką pianką odporną na odkształcenia, wyprofilowana płyta siedziska odpowiednio do naturalnego wygięcia odcinka udowego kończyn dolnych, mechanizmy regulacji wysokości siedziska i pochylenia oparcia powinny być łatwo dostępne i proste w obsłudze oraz tak usytuowane, aby regulację można było wykonywać w pozycji siedzącej; pokrętła i dźwignie regulacyjne powinny znajdować się z prawej lub lewej strony siedziska, nie dopuszcza się regulacji w przedniej części siedziska, regulacja oparcia, oparcie wyprofilowane do naturalnego kształtu kręgosłupa w części krzyżowo-lędźwiowej, blokada fotela w pozycji pionowej (do pracy), stabilna, chromowana, 5-ramienna podstawa z kółkami jezdnymi, podłokietniki wykonane z trwałego, mocnego tworzywa, kółka wykonane z miękkiego tworzywa polimerowego. Wymiary fotela: Wysokość całkowita: 118,0 cm min. wysokość od ziemi do oparcia: 108,0 cm max. wysokość siedziska: 55,0 cm min. wysokość siedziska: 45,0 cm głębokość fotela: 61,0 cm szerokość fotela wraz z podłokietnikami: 58,0 cm szerokość fotela pomiędzy podłokietnikami: 48,0 cm Kolor – czarny. obrotowy, wykonany z tkaniny membranowej (elastycznej siatki) w połączeniu z elementami ekoskóry, ekoskóra tylko w górnej części oparcia, siedzisko z tkaniny membranowej, wypełnione miękką pianką odporną na odkształcenia, wyprofilowana płyta siedziska odpowiednio do naturalnego wygięcia odcinka udowego kończyn dolnych, mechanizmy regulacji wysokości siedziska i pochylenia oparcia powinny być łatwo dostępne i proste w obsłudze oraz tak usytuowane, aby regulację można było wykonywać w pozycji siedzącej; pokrętła i dźwignie regulacyjne powinny znajdować się z prawej lub lewej strony siedziska, nie dopuszcza się regulacji w przedniej części siedziska, regulacja oparcia, oparcie wyprofilowane do naturalnego kształtu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4"/>
          <w:szCs w:val="24"/>
        </w:rPr>
        <w:t xml:space="preserve">kręgosłupa w części krzyżowo-lędźwiowej, blokada fotela w pozycji pionowej (do pracy), stabilna, chromowana, 5-ramienna podstawa z kółkami jezdnymi, podłokietniki wykonane z trwałego, mocnego tworzywa, kółka wykonane z miękkiego tworzywa polimerowego. Wymiary fotela: Wysokość całkowita: 118,0 cm min. wysokość od ziemi do oparcia: 108,0 cm max. wysokość siedziska: 55,0 cm min. wysokość siedziska: 45,0 cm głębokość fotela: 61,0 cm szerokość fotela wraz z podłokietnikami: 58,0 cm szerokość fotela pomiędzy podłokietnikami: 48,0 cm, 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Zamawiający ma prawo przeprowadzania kontroli jakości i zadowolenia z usług.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Zamawiający zastrzega sobie prawo kontrolowania realizacji przedmiotu zamówienia na każdym etapie.</w:t>
      </w:r>
    </w:p>
    <w:p>
      <w:pPr>
        <w:pStyle w:val="Normal"/>
        <w:numPr>
          <w:ilvl w:val="0"/>
          <w:numId w:val="2"/>
        </w:numPr>
        <w:bidi w:val="0"/>
        <w:jc w:val="start"/>
        <w:rPr/>
      </w:pPr>
      <w:r>
        <w:rPr>
          <w:rStyle w:val="Domylnaczcionkaakapitu"/>
          <w:rFonts w:cs="Times New Roman" w:ascii="Times New Roman" w:hAnsi="Times New Roman"/>
          <w:color w:val="000000"/>
          <w:shd w:fill="FFFFFF" w:val="clear"/>
        </w:rPr>
        <w:t>Wykonawca zobowiązany będzie do stałej współpracy i konsultacji z Zamawiającym na każdym etapie realizacji przedmiotowego zamówienia.</w:t>
      </w:r>
    </w:p>
    <w:p>
      <w:pPr>
        <w:pStyle w:val="Normal"/>
        <w:numPr>
          <w:ilvl w:val="0"/>
          <w:numId w:val="2"/>
        </w:numPr>
        <w:shd w:fill="FFFFFF" w:val="clear"/>
        <w:bidi w:val="0"/>
        <w:spacing w:lineRule="atLeast" w:line="311" w:before="120" w:after="0"/>
        <w:ind w:start="0" w:end="0" w:hanging="0"/>
        <w:jc w:val="start"/>
        <w:outlineLvl w:val="3"/>
        <w:rPr/>
      </w:pPr>
      <w:r>
        <w:rPr>
          <w:rStyle w:val="Domylnaczcionkaakapitu"/>
          <w:rFonts w:eastAsia="Calibri" w:cs="Times New Roman" w:ascii="Times New Roman" w:hAnsi="Times New Roman"/>
          <w:b w:val="false"/>
          <w:bCs w:val="false"/>
          <w:i w:val="false"/>
          <w:iCs w:val="false"/>
          <w:color w:val="000000"/>
          <w:spacing w:val="0"/>
          <w:sz w:val="24"/>
          <w:szCs w:val="24"/>
          <w:shd w:fill="FFFFFF" w:val="clear"/>
          <w:lang w:val="pl-PL" w:eastAsia="pl-PL"/>
        </w:rPr>
        <w:t>Rozliczenia między Zamawiającym i Wykonawcą prowadzone będą w złotych polskich.</w:t>
      </w:r>
    </w:p>
    <w:p>
      <w:pPr>
        <w:pStyle w:val="Normalny"/>
        <w:widowControl/>
        <w:tabs>
          <w:tab w:val="clear" w:pos="709"/>
        </w:tabs>
        <w:spacing w:before="0" w:after="200"/>
        <w:ind w:start="1211" w:end="0" w:hanging="0"/>
        <w:jc w:val="both"/>
        <w:rPr>
          <w:rFonts w:ascii="Times New Roman" w:hAnsi="Times New Roman" w:cs="Calibri"/>
          <w:color w:val="000000"/>
          <w:sz w:val="24"/>
          <w:szCs w:val="24"/>
          <w:lang w:eastAsia="pl-PL"/>
        </w:rPr>
      </w:pPr>
      <w:r>
        <w:rPr>
          <w:rFonts w:cs="Calibri" w:ascii="Times New Roman" w:hAnsi="Times New Roman"/>
          <w:color w:val="000000"/>
          <w:sz w:val="24"/>
          <w:szCs w:val="24"/>
          <w:lang w:eastAsia="pl-PL"/>
        </w:rPr>
      </w:r>
    </w:p>
    <w:p>
      <w:pPr>
        <w:pStyle w:val="Normalny"/>
        <w:widowControl/>
        <w:tabs>
          <w:tab w:val="clear" w:pos="709"/>
          <w:tab w:val="left" w:pos="-436" w:leader="none"/>
        </w:tabs>
        <w:suppressAutoHyphens w:val="false"/>
        <w:spacing w:lineRule="auto" w:line="276" w:before="0" w:after="200"/>
        <w:ind w:start="720" w:end="0" w:hanging="0"/>
        <w:jc w:val="both"/>
        <w:textAlignment w:val="auto"/>
        <w:rPr/>
      </w:pPr>
      <w:r>
        <w:rPr>
          <w:rStyle w:val="Domylnaczcionkaakapitu"/>
          <w:rFonts w:eastAsia="Times New Roman" w:cs="Calibri" w:ascii="Times New Roman" w:hAnsi="Times New Roman"/>
          <w:color w:val="000000"/>
          <w:sz w:val="24"/>
          <w:szCs w:val="24"/>
          <w:lang w:eastAsia="pl-PL"/>
        </w:rPr>
        <w:t>Oznaczenie przedmiotu zamówienia wg Wspólnego Słownika Zamówień (CPV)</w:t>
      </w:r>
    </w:p>
    <w:p>
      <w:pPr>
        <w:pStyle w:val="Normalny"/>
        <w:widowControl/>
        <w:spacing w:lineRule="auto" w:line="276"/>
        <w:ind w:start="720" w:end="0" w:hanging="0"/>
        <w:rPr>
          <w:rFonts w:ascii="Times New Roman" w:hAnsi="Times New Roman" w:eastAsia="Times New Roman" w:cs="Calibri"/>
          <w:b/>
          <w:b/>
          <w:bCs/>
          <w:color w:val="000000"/>
          <w:sz w:val="24"/>
          <w:szCs w:val="24"/>
          <w:shd w:fill="auto" w:val="clear"/>
          <w:lang w:eastAsia="pl-PL"/>
        </w:rPr>
      </w:pPr>
      <w:r>
        <w:rPr>
          <w:rFonts w:eastAsia="Times New Roman" w:cs="Calibri" w:ascii="Times New Roman" w:hAnsi="Times New Roman"/>
          <w:b/>
          <w:bCs/>
          <w:color w:val="000000"/>
          <w:sz w:val="24"/>
          <w:szCs w:val="24"/>
          <w:shd w:fill="auto" w:val="clear"/>
          <w:lang w:eastAsia="pl-PL"/>
        </w:rPr>
        <w:t>Kod CPV:</w:t>
      </w:r>
    </w:p>
    <w:p>
      <w:pPr>
        <w:pStyle w:val="Nagwek3"/>
        <w:widowControl/>
        <w:numPr>
          <w:ilvl w:val="0"/>
          <w:numId w:val="0"/>
        </w:numPr>
        <w:tabs>
          <w:tab w:val="clear" w:pos="709"/>
          <w:tab w:val="left" w:pos="-436" w:leader="none"/>
        </w:tabs>
        <w:suppressAutoHyphens w:val="false"/>
        <w:spacing w:lineRule="auto" w:line="276" w:before="0" w:after="200"/>
        <w:ind w:start="720" w:end="0" w:hanging="0"/>
        <w:jc w:val="both"/>
        <w:textAlignment w:val="auto"/>
        <w:rPr/>
      </w:pPr>
      <w:r>
        <w:rPr>
          <w:rStyle w:val="Domylnaczcionkaakapitu"/>
          <w:rFonts w:eastAsia="Times New Roman" w:cs="Calibri" w:ascii="Times New Roman" w:hAnsi="Times New Roman"/>
          <w:b/>
          <w:bCs/>
          <w:i/>
          <w:color w:val="000000"/>
          <w:spacing w:val="0"/>
          <w:kern w:val="2"/>
          <w:sz w:val="24"/>
          <w:szCs w:val="24"/>
          <w:shd w:fill="auto" w:val="clear"/>
          <w:lang w:val="pl-PL" w:eastAsia="pl-PL" w:bidi="hi-IN"/>
        </w:rPr>
        <w:t>39290000-1 – Zakup wyposażenie różne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120" w:after="0"/>
        <w:ind w:start="720" w:end="0" w:hanging="0"/>
        <w:jc w:val="both"/>
        <w:outlineLvl w:val="3"/>
        <w:rPr>
          <w:rFonts w:ascii="Times New Roman" w:hAnsi="Times New Roman" w:eastAsia="Calibri" w:cs="Calibri"/>
          <w:b w:val="false"/>
          <w:b w:val="false"/>
          <w:bCs w:val="false"/>
          <w:i w:val="false"/>
          <w:i w:val="false"/>
          <w:iCs w:val="false"/>
          <w:color w:val="auto"/>
          <w:spacing w:val="0"/>
          <w:sz w:val="24"/>
          <w:szCs w:val="24"/>
          <w:u w:val="none"/>
          <w:lang w:val="pl-PL" w:eastAsia="pl-PL"/>
        </w:rPr>
      </w:pPr>
      <w:r>
        <w:rPr>
          <w:rFonts w:eastAsia="Calibri" w:cs="Calibri" w:ascii="Times New Roman" w:hAnsi="Times New Roman"/>
          <w:b w:val="false"/>
          <w:bCs w:val="false"/>
          <w:i w:val="false"/>
          <w:iCs w:val="false"/>
          <w:color w:val="auto"/>
          <w:spacing w:val="0"/>
          <w:sz w:val="24"/>
          <w:szCs w:val="24"/>
          <w:u w:val="none"/>
          <w:lang w:val="pl-PL" w:eastAsia="pl-PL"/>
        </w:rPr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0" w:after="120"/>
        <w:ind w:start="425" w:end="0" w:hanging="425"/>
        <w:jc w:val="both"/>
        <w:outlineLvl w:val="3"/>
        <w:rPr>
          <w:rFonts w:ascii="Times New Roman" w:hAnsi="Times New Roman" w:eastAsia="Times New Roman" w:cs="Helvetica"/>
          <w:b/>
          <w:b/>
          <w:sz w:val="24"/>
          <w:szCs w:val="24"/>
          <w:u w:val="single"/>
          <w:lang w:eastAsia="pl-PL"/>
        </w:rPr>
      </w:pPr>
      <w:r>
        <w:rPr>
          <w:rFonts w:eastAsia="Times New Roman" w:cs="Helvetica" w:ascii="Times New Roman" w:hAnsi="Times New Roman"/>
          <w:b/>
          <w:sz w:val="24"/>
          <w:szCs w:val="24"/>
          <w:u w:val="single"/>
          <w:lang w:eastAsia="pl-PL"/>
        </w:rPr>
        <w:t>3. Termin i miejsce wykonania przedmiotu zamówienia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0" w:after="150"/>
        <w:ind w:start="851" w:end="0" w:hanging="425"/>
        <w:jc w:val="both"/>
        <w:outlineLvl w:val="4"/>
        <w:rPr/>
      </w:pPr>
      <w:r>
        <w:rPr>
          <w:rFonts w:eastAsia="Times New Roman" w:cs="Helvetica" w:ascii="Times New Roman" w:hAnsi="Times New Roman"/>
          <w:sz w:val="24"/>
          <w:szCs w:val="24"/>
          <w:lang w:eastAsia="pl-PL"/>
        </w:rPr>
        <w:t>3.1.Termin wykonania zamówienia</w:t>
      </w:r>
      <w:r>
        <w:rPr>
          <w:rFonts w:eastAsia="Times New Roman" w:cs="Helvetica" w:ascii="Times New Roman" w:hAnsi="Times New Roman"/>
          <w:b/>
          <w:bCs/>
          <w:sz w:val="24"/>
          <w:szCs w:val="24"/>
          <w:lang w:eastAsia="pl-PL"/>
        </w:rPr>
        <w:t xml:space="preserve"> </w:t>
      </w:r>
      <w:r>
        <w:rPr>
          <w:rFonts w:eastAsia="Times New Roman" w:cs="Helvetica" w:ascii="Times New Roman" w:hAnsi="Times New Roman"/>
          <w:bCs/>
          <w:i/>
          <w:sz w:val="24"/>
          <w:szCs w:val="24"/>
          <w:lang w:eastAsia="pl-PL"/>
        </w:rPr>
        <w:t>–</w:t>
      </w:r>
      <w:r>
        <w:rPr>
          <w:rStyle w:val="Domylnaczcionkaakapitu"/>
          <w:rFonts w:eastAsia="Times New Roman" w:cs="Times New Roman" w:ascii="Times New Roman" w:hAnsi="Times New Roman"/>
          <w:bCs/>
          <w:i/>
          <w:color w:val="000000"/>
          <w:sz w:val="24"/>
          <w:szCs w:val="24"/>
          <w:lang w:eastAsia="pl-PL"/>
        </w:rPr>
        <w:t xml:space="preserve"> dostawa w dniu </w:t>
      </w:r>
      <w:r>
        <w:rPr>
          <w:rStyle w:val="Domylnaczcionkaakapitu"/>
          <w:rFonts w:eastAsia="Times New Roman" w:cs="Times New Roman" w:ascii="Times New Roman" w:hAnsi="Times New Roman"/>
          <w:b/>
          <w:bCs/>
          <w:i/>
          <w:color w:val="000000"/>
          <w:sz w:val="24"/>
          <w:szCs w:val="24"/>
          <w:lang w:eastAsia="pl-PL"/>
        </w:rPr>
        <w:t>06.12.2024 r. do godz 14:00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0" w:after="150"/>
        <w:ind w:start="284" w:end="0" w:hanging="284"/>
        <w:jc w:val="both"/>
        <w:outlineLvl w:val="4"/>
        <w:rPr>
          <w:rFonts w:ascii="Times New Roman" w:hAnsi="Times New Roman" w:eastAsia="Times New Roman" w:cs="Times New Roman"/>
          <w:b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  <w:lang w:eastAsia="pl-PL"/>
        </w:rPr>
        <w:t>4. Kryteria oceny ofert.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0" w:after="150"/>
        <w:ind w:start="720" w:end="0" w:hanging="360"/>
        <w:jc w:val="both"/>
        <w:outlineLvl w:val="4"/>
        <w:rPr/>
      </w:pPr>
      <w:r>
        <w:rPr>
          <w:rFonts w:eastAsia="Times New Roman" w:cs="Helvetica" w:ascii="Times New Roman" w:hAnsi="Times New Roman"/>
          <w:sz w:val="24"/>
          <w:szCs w:val="24"/>
          <w:lang w:eastAsia="pl-PL"/>
        </w:rPr>
        <w:t>4.1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  <w:r>
        <w:rPr>
          <w:rFonts w:eastAsia="Times New Roman" w:cs="Helvetica" w:ascii="Times New Roman" w:hAnsi="Times New Roman"/>
          <w:sz w:val="24"/>
          <w:szCs w:val="24"/>
          <w:lang w:eastAsia="pl-PL"/>
        </w:rPr>
        <w:t xml:space="preserve">Przy wyborze najkorzystniejszej oferty Zamawiający kierować się będzie: najniższą </w:t>
      </w:r>
      <w:r>
        <w:rPr>
          <w:rFonts w:eastAsia="Times New Roman" w:cs="Helvetica" w:ascii="Times New Roman" w:hAnsi="Times New Roman"/>
          <w:i/>
          <w:sz w:val="24"/>
          <w:szCs w:val="24"/>
          <w:lang w:eastAsia="pl-PL"/>
        </w:rPr>
        <w:t>ceną brutto.</w:t>
      </w:r>
    </w:p>
    <w:p>
      <w:pPr>
        <w:pStyle w:val="Normal"/>
        <w:shd w:fill="FFFFFF" w:val="clear"/>
        <w:bidi w:val="0"/>
        <w:spacing w:lineRule="auto" w:line="276"/>
        <w:jc w:val="start"/>
        <w:rPr/>
      </w:pPr>
      <w:r>
        <w:rPr>
          <w:rStyle w:val="Domylnaczcionkaakapitu"/>
          <w:rFonts w:cs="Calibri" w:ascii="Times New Roman" w:hAnsi="Times New Roman"/>
          <w:bCs/>
          <w:sz w:val="24"/>
          <w:szCs w:val="24"/>
        </w:rPr>
        <w:t xml:space="preserve">   </w:t>
      </w:r>
      <w:r>
        <w:rPr>
          <w:rStyle w:val="Domylnaczcionkaakapitu"/>
          <w:rFonts w:cs="Calibri" w:ascii="Times New Roman" w:hAnsi="Times New Roman"/>
          <w:bCs/>
          <w:sz w:val="24"/>
          <w:szCs w:val="24"/>
        </w:rPr>
        <w:t xml:space="preserve">4.2. </w:t>
      </w:r>
      <w:r>
        <w:rPr>
          <w:rStyle w:val="Domylnaczcionkaakapitu"/>
          <w:rFonts w:eastAsia="Times New Roman" w:cs="Calibri" w:ascii="Times New Roman" w:hAnsi="Times New Roman"/>
          <w:bCs/>
          <w:sz w:val="24"/>
          <w:szCs w:val="24"/>
        </w:rPr>
        <w:t>Przy wyborze najkorzystniejszej oferty Zamawiający kierować się będzie:</w:t>
      </w:r>
    </w:p>
    <w:tbl>
      <w:tblPr>
        <w:tblW w:w="8247" w:type="dxa"/>
        <w:jc w:val="start"/>
        <w:tblInd w:w="8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816"/>
        <w:gridCol w:w="3431"/>
      </w:tblGrid>
      <w:tr>
        <w:trPr/>
        <w:tc>
          <w:tcPr>
            <w:tcW w:w="481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bidi w:val="0"/>
              <w:spacing w:lineRule="auto" w:line="276"/>
              <w:jc w:val="start"/>
              <w:rPr>
                <w:rFonts w:ascii="Times New Roman" w:hAnsi="Times New Roman" w:cs="Calibri"/>
                <w:bCs/>
                <w:sz w:val="24"/>
                <w:szCs w:val="24"/>
              </w:rPr>
            </w:pPr>
            <w:r>
              <w:rPr>
                <w:rFonts w:cs="Calibri" w:ascii="Times New Roman" w:hAnsi="Times New Roman"/>
                <w:bCs/>
                <w:sz w:val="24"/>
                <w:szCs w:val="24"/>
              </w:rPr>
              <w:t>Cena (waga 100%)</w:t>
            </w:r>
          </w:p>
        </w:tc>
        <w:tc>
          <w:tcPr>
            <w:tcW w:w="343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76"/>
              <w:jc w:val="start"/>
              <w:rPr>
                <w:rFonts w:ascii="Times New Roman" w:hAnsi="Times New Roman" w:cs="Calibri"/>
                <w:bCs/>
                <w:sz w:val="24"/>
                <w:szCs w:val="24"/>
              </w:rPr>
            </w:pPr>
            <w:r>
              <w:rPr>
                <w:rFonts w:cs="Calibri" w:ascii="Times New Roman" w:hAnsi="Times New Roman"/>
                <w:bCs/>
                <w:sz w:val="24"/>
                <w:szCs w:val="24"/>
              </w:rPr>
              <w:t>Cena brutto</w:t>
            </w:r>
          </w:p>
        </w:tc>
      </w:tr>
    </w:tbl>
    <w:p>
      <w:pPr>
        <w:pStyle w:val="Normal"/>
        <w:shd w:fill="FFFFFF" w:val="clear"/>
        <w:tabs>
          <w:tab w:val="clear" w:pos="709"/>
        </w:tabs>
        <w:bidi w:val="0"/>
        <w:spacing w:lineRule="auto" w:line="276"/>
        <w:ind w:start="928" w:end="0" w:hanging="0"/>
        <w:jc w:val="start"/>
        <w:rPr>
          <w:rFonts w:ascii="Times New Roman" w:hAnsi="Times New Roman" w:cs="Calibri"/>
          <w:bCs/>
          <w:sz w:val="24"/>
          <w:szCs w:val="24"/>
        </w:rPr>
      </w:pPr>
      <w:r>
        <w:rPr>
          <w:rFonts w:cs="Calibri" w:ascii="Times New Roman" w:hAnsi="Times New Roman"/>
          <w:bCs/>
          <w:sz w:val="24"/>
          <w:szCs w:val="24"/>
        </w:rPr>
      </w:r>
    </w:p>
    <w:p>
      <w:pPr>
        <w:pStyle w:val="Tretekstu"/>
        <w:bidi w:val="0"/>
        <w:spacing w:lineRule="auto" w:line="276" w:before="0" w:after="0"/>
        <w:jc w:val="both"/>
        <w:rPr>
          <w:rFonts w:ascii="Times New Roman" w:hAnsi="Times New Roman" w:eastAsia="Times New Roman" w:cs="Calibri"/>
          <w:bCs/>
          <w:sz w:val="24"/>
          <w:szCs w:val="24"/>
        </w:rPr>
      </w:pPr>
      <w:r>
        <w:rPr>
          <w:rFonts w:eastAsia="Times New Roman" w:cs="Calibri" w:ascii="Times New Roman" w:hAnsi="Times New Roman"/>
          <w:bCs/>
          <w:sz w:val="24"/>
          <w:szCs w:val="24"/>
        </w:rPr>
        <w:t xml:space="preserve">  </w:t>
      </w:r>
    </w:p>
    <w:p>
      <w:pPr>
        <w:pStyle w:val="Tretekstu"/>
        <w:tabs>
          <w:tab w:val="clear" w:pos="709"/>
        </w:tabs>
        <w:bidi w:val="0"/>
        <w:spacing w:lineRule="auto" w:line="276" w:before="0" w:after="0"/>
        <w:ind w:start="928" w:end="0" w:hanging="0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  <w:t>4.3. Zasady przyznawania punktów: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cs="Calibri"/>
          <w:b/>
          <w:bCs/>
          <w:sz w:val="24"/>
          <w:szCs w:val="24"/>
        </w:rPr>
        <w:t>a)  Cena – 100% (gdzie 1% = 1 pkt)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Ilość punktów dla każdej ocenianej oferty zostanie wyliczona wg poniższego wzoru, gdzie zaokrąglenia dokonane zostaną z dokładnością do dwóch miejsc po przecinku: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eastAsia="Calibri" w:cs="Calibri"/>
          <w:b/>
          <w:bCs/>
          <w:sz w:val="24"/>
          <w:szCs w:val="24"/>
        </w:rPr>
        <w:t xml:space="preserve">           </w:t>
      </w:r>
      <w:r>
        <w:rPr>
          <w:rStyle w:val="Domylnaczcionkaakapitu"/>
          <w:rFonts w:cs="Calibri"/>
          <w:b/>
          <w:bCs/>
          <w:sz w:val="24"/>
          <w:szCs w:val="24"/>
          <w:lang w:val="en-US"/>
        </w:rPr>
        <w:t>C min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>
          <w:rFonts w:cs="Calibri"/>
          <w:b/>
          <w:b/>
          <w:bCs/>
          <w:sz w:val="24"/>
          <w:szCs w:val="24"/>
          <w:lang w:val="en-US"/>
        </w:rPr>
      </w:pPr>
      <w:r>
        <w:rPr>
          <w:rFonts w:cs="Calibri"/>
          <w:b/>
          <w:bCs/>
          <w:sz w:val="24"/>
          <w:szCs w:val="24"/>
          <w:lang w:val="en-US"/>
        </w:rPr>
        <w:t>C = ------------------ x 100 pkt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eastAsia="Calibri" w:cs="Calibri"/>
          <w:b/>
          <w:bCs/>
          <w:sz w:val="24"/>
          <w:szCs w:val="24"/>
          <w:lang w:val="en-US"/>
        </w:rPr>
        <w:t xml:space="preserve">           </w:t>
      </w:r>
      <w:r>
        <w:rPr>
          <w:rStyle w:val="Domylnaczcionkaakapitu"/>
          <w:rFonts w:cs="Calibri"/>
          <w:b/>
          <w:bCs/>
          <w:sz w:val="24"/>
          <w:szCs w:val="24"/>
          <w:lang w:val="en-US"/>
        </w:rPr>
        <w:t>C bad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gdzie: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cs="Calibri"/>
          <w:b/>
          <w:bCs/>
          <w:sz w:val="24"/>
          <w:szCs w:val="24"/>
        </w:rPr>
        <w:t xml:space="preserve">C </w:t>
      </w:r>
      <w:r>
        <w:rPr>
          <w:rStyle w:val="Domylnaczcionkaakapitu"/>
          <w:rFonts w:cs="Calibri"/>
          <w:sz w:val="24"/>
          <w:szCs w:val="24"/>
        </w:rPr>
        <w:t>- ilość punktów badanej oferty w kryterium cena,</w:t>
      </w:r>
    </w:p>
    <w:p>
      <w:pPr>
        <w:pStyle w:val="Default"/>
        <w:tabs>
          <w:tab w:val="clear" w:pos="709"/>
        </w:tabs>
        <w:spacing w:lineRule="auto" w:line="276"/>
        <w:ind w:start="720" w:end="0" w:hanging="0"/>
        <w:jc w:val="both"/>
        <w:rPr/>
      </w:pPr>
      <w:r>
        <w:rPr>
          <w:rStyle w:val="Domylnaczcionkaakapitu"/>
          <w:rFonts w:cs="Calibri"/>
          <w:b/>
          <w:bCs/>
          <w:sz w:val="24"/>
          <w:szCs w:val="24"/>
        </w:rPr>
        <w:t xml:space="preserve">C min - </w:t>
      </w:r>
      <w:r>
        <w:rPr>
          <w:rStyle w:val="Domylnaczcionkaakapitu"/>
          <w:rFonts w:cs="Calibri"/>
          <w:sz w:val="24"/>
          <w:szCs w:val="24"/>
        </w:rPr>
        <w:t>cena oferty (brutto) najniższa spośród wszystkich badanych ofert,</w:t>
      </w:r>
    </w:p>
    <w:p>
      <w:pPr>
        <w:pStyle w:val="Normal"/>
        <w:shd w:fill="FFFFFF" w:val="clear"/>
        <w:bidi w:val="0"/>
        <w:spacing w:lineRule="auto" w:line="276"/>
        <w:ind w:start="0" w:end="0" w:firstLine="708"/>
        <w:jc w:val="start"/>
        <w:rPr/>
      </w:pPr>
      <w:r>
        <w:rPr>
          <w:rStyle w:val="Domylnaczcionkaakapitu"/>
          <w:rFonts w:cs="Calibri" w:ascii="Times New Roman" w:hAnsi="Times New Roman"/>
          <w:b/>
          <w:sz w:val="24"/>
          <w:szCs w:val="24"/>
        </w:rPr>
        <w:t xml:space="preserve">C bad - </w:t>
      </w:r>
      <w:r>
        <w:rPr>
          <w:rStyle w:val="Domylnaczcionkaakapitu"/>
          <w:rFonts w:cs="Calibri" w:ascii="Times New Roman" w:hAnsi="Times New Roman"/>
          <w:sz w:val="24"/>
          <w:szCs w:val="24"/>
        </w:rPr>
        <w:t>cena (brutto) badanej oferty</w:t>
      </w:r>
    </w:p>
    <w:p>
      <w:pPr>
        <w:pStyle w:val="Tretekstu"/>
        <w:numPr>
          <w:ilvl w:val="0"/>
          <w:numId w:val="0"/>
        </w:numPr>
        <w:shd w:fill="FFFFFF" w:val="clear"/>
        <w:bidi w:val="0"/>
        <w:spacing w:lineRule="auto" w:line="276" w:before="0" w:after="0"/>
        <w:ind w:start="720" w:end="0" w:hanging="360"/>
        <w:jc w:val="both"/>
        <w:outlineLvl w:val="4"/>
        <w:rPr>
          <w:rFonts w:ascii="Times New Roman" w:hAnsi="Times New Roman" w:eastAsia="Times New Roman" w:cs="Helvetica"/>
          <w:i/>
          <w:i/>
          <w:sz w:val="24"/>
          <w:szCs w:val="24"/>
          <w:lang w:eastAsia="pl-PL"/>
        </w:rPr>
      </w:pPr>
      <w:r>
        <w:rPr>
          <w:rFonts w:eastAsia="Times New Roman" w:cs="Helvetica" w:ascii="Times New Roman" w:hAnsi="Times New Roman"/>
          <w:i/>
          <w:sz w:val="24"/>
          <w:szCs w:val="24"/>
          <w:lang w:eastAsia="pl-PL"/>
        </w:rPr>
        <w:tab/>
      </w:r>
    </w:p>
    <w:p>
      <w:pPr>
        <w:pStyle w:val="ListParagraph"/>
        <w:numPr>
          <w:ilvl w:val="0"/>
          <w:numId w:val="0"/>
        </w:numPr>
        <w:shd w:fill="FFFFFF" w:val="clear"/>
        <w:bidi w:val="0"/>
        <w:spacing w:lineRule="atLeast" w:line="311" w:before="120" w:after="0"/>
        <w:ind w:start="1080" w:end="0" w:hanging="0"/>
        <w:contextualSpacing/>
        <w:jc w:val="both"/>
        <w:outlineLvl w:val="3"/>
        <w:rPr>
          <w:rFonts w:ascii="Times New Roman" w:hAnsi="Times New Roman" w:eastAsia="Calibri" w:cs="Times New Roman"/>
          <w:b/>
          <w:b/>
          <w:bCs/>
          <w:u w:val="single"/>
          <w:lang w:eastAsia="pl-PL"/>
        </w:rPr>
      </w:pPr>
      <w:r>
        <w:rPr>
          <w:rFonts w:eastAsia="Calibri" w:cs="Times New Roman" w:ascii="Times New Roman" w:hAnsi="Times New Roman"/>
          <w:b/>
          <w:bCs/>
          <w:u w:val="single"/>
          <w:lang w:eastAsia="pl-PL"/>
        </w:rPr>
        <w:t>5. Warunki udziału w postępowaniu: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uto" w:line="276" w:before="0" w:after="150"/>
        <w:ind w:start="0" w:end="0" w:hanging="0"/>
        <w:jc w:val="both"/>
        <w:textAlignment w:val="baseline"/>
        <w:outlineLvl w:val="4"/>
        <w:rPr>
          <w:rFonts w:ascii="Times New Roman" w:hAnsi="Times New Roman" w:eastAsia="Calibri" w:cs="Times New Roman"/>
          <w:b/>
          <w:b/>
          <w:bCs/>
          <w:kern w:val="2"/>
          <w:sz w:val="24"/>
          <w:szCs w:val="24"/>
          <w:u w:val="single"/>
          <w:lang w:eastAsia="pl-PL" w:bidi="ar-SA"/>
        </w:rPr>
      </w:pPr>
      <w:r>
        <w:rPr>
          <w:rFonts w:eastAsia="Calibri" w:cs="Times New Roman" w:ascii="Times New Roman" w:hAnsi="Times New Roman"/>
          <w:b/>
          <w:bCs/>
          <w:kern w:val="2"/>
          <w:sz w:val="24"/>
          <w:szCs w:val="24"/>
          <w:u w:val="single"/>
          <w:lang w:eastAsia="pl-PL" w:bidi="ar-SA"/>
        </w:rPr>
        <w:t>O udzielenie zapytania mogą ubiegać się Wykonawcy, którzy: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0" w:after="150"/>
        <w:ind w:start="0" w:end="0" w:hanging="0"/>
        <w:jc w:val="both"/>
        <w:outlineLvl w:val="4"/>
        <w:rPr/>
      </w:pPr>
      <w:r>
        <w:rPr>
          <w:rFonts w:eastAsia="Times New Roman" w:cs="Helvetica" w:ascii="Times New Roman" w:hAnsi="Times New Roman"/>
          <w:b w:val="false"/>
          <w:bCs w:val="false"/>
          <w:sz w:val="24"/>
          <w:szCs w:val="24"/>
          <w:u w:val="none"/>
          <w:lang w:eastAsia="pl-PL"/>
        </w:rPr>
        <w:t xml:space="preserve">a) Wypełnią  formularz oferty zgodny w treści ze wzorem stanowiącym </w:t>
      </w:r>
      <w:r>
        <w:rPr>
          <w:rFonts w:eastAsia="Times New Roman" w:cs="Helvetica" w:ascii="Times New Roman" w:hAnsi="Times New Roman"/>
          <w:b/>
          <w:bCs/>
          <w:sz w:val="24"/>
          <w:szCs w:val="24"/>
          <w:u w:val="none"/>
          <w:lang w:eastAsia="pl-PL"/>
        </w:rPr>
        <w:t>załącznik  Nr 1;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0" w:after="150"/>
        <w:ind w:start="0" w:end="0" w:hanging="0"/>
        <w:jc w:val="both"/>
        <w:outlineLvl w:val="4"/>
        <w:rPr>
          <w:rFonts w:ascii="Times New Roman" w:hAnsi="Times New Roman" w:eastAsia="Times New Roman" w:cs="Helvetica"/>
          <w:b w:val="false"/>
          <w:b w:val="false"/>
          <w:bCs w:val="false"/>
          <w:sz w:val="24"/>
          <w:szCs w:val="24"/>
          <w:u w:val="none"/>
          <w:lang w:eastAsia="pl-PL"/>
        </w:rPr>
      </w:pPr>
      <w:r>
        <w:rPr>
          <w:rFonts w:eastAsia="Times New Roman" w:cs="Helvetica" w:ascii="Times New Roman" w:hAnsi="Times New Roman"/>
          <w:b w:val="false"/>
          <w:bCs w:val="false"/>
          <w:sz w:val="24"/>
          <w:szCs w:val="24"/>
          <w:u w:val="none"/>
          <w:lang w:eastAsia="pl-PL"/>
        </w:rPr>
        <w:t xml:space="preserve">b) posiadają doświadczenie w realizacji dostaw zimnych przekąsek, dostarczania posiłków 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0" w:after="150"/>
        <w:ind w:start="0" w:end="0" w:hanging="0"/>
        <w:jc w:val="both"/>
        <w:outlineLvl w:val="4"/>
        <w:rPr/>
      </w:pPr>
      <w:r>
        <w:rPr>
          <w:rStyle w:val="Domylnaczcionkaakapitu"/>
          <w:rFonts w:eastAsia="Calibri" w:cs="Calibri" w:ascii="Times New Roman" w:hAnsi="Times New Roman"/>
          <w:b w:val="false"/>
          <w:bCs w:val="false"/>
          <w:i w:val="false"/>
          <w:iCs w:val="false"/>
          <w:color w:val="000000"/>
          <w:spacing w:val="0"/>
          <w:sz w:val="24"/>
          <w:szCs w:val="24"/>
          <w:u w:val="none"/>
          <w:lang w:val="pl-PL" w:eastAsia="pl-PL"/>
        </w:rPr>
        <w:t>Na potwierdzenie Wykonawca złoży oświadczenie według</w:t>
      </w:r>
      <w:r>
        <w:rPr>
          <w:rStyle w:val="Domylnaczcionkaakapitu"/>
          <w:rFonts w:eastAsia="Calibri" w:cs="Calibri" w:ascii="Times New Roman" w:hAnsi="Times New Roman"/>
          <w:b/>
          <w:bCs/>
          <w:i w:val="false"/>
          <w:iCs w:val="false"/>
          <w:color w:val="000000"/>
          <w:spacing w:val="0"/>
          <w:sz w:val="24"/>
          <w:szCs w:val="24"/>
          <w:u w:val="none"/>
          <w:lang w:val="pl-PL" w:eastAsia="pl-PL"/>
        </w:rPr>
        <w:t xml:space="preserve"> załącznika nr 3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0" w:after="150"/>
        <w:ind w:start="0" w:end="0" w:hanging="0"/>
        <w:jc w:val="both"/>
        <w:outlineLvl w:val="4"/>
        <w:rPr/>
      </w:pPr>
      <w:r>
        <w:rPr>
          <w:rFonts w:eastAsia="Times New Roman" w:cs="Helvetica" w:ascii="Times New Roman" w:hAnsi="Times New Roman"/>
          <w:b w:val="false"/>
          <w:bCs w:val="false"/>
          <w:sz w:val="24"/>
          <w:szCs w:val="24"/>
          <w:u w:val="none"/>
          <w:lang w:eastAsia="pl-PL"/>
        </w:rPr>
        <w:t xml:space="preserve">c) wypełnią oświadczanie iż </w:t>
      </w:r>
      <w:r>
        <w:rPr>
          <w:rStyle w:val="Domylnaczcionkaakapitu"/>
          <w:rFonts w:eastAsia="Times New Roman" w:cs="Calibri" w:ascii="Times New Roman" w:hAnsi="Times New Roman"/>
          <w:b w:val="false"/>
          <w:bCs/>
          <w:sz w:val="24"/>
          <w:szCs w:val="24"/>
          <w:u w:val="none"/>
          <w:lang w:eastAsia="pl-PL"/>
        </w:rPr>
        <w:t xml:space="preserve">nie podlega wykluczeniu z postępowania na podstawie </w:t>
      </w:r>
      <w:r>
        <w:rPr>
          <w:rStyle w:val="Markedcontent"/>
          <w:rFonts w:eastAsia="Times New Roman" w:cs="Calibri" w:ascii="Times New Roman" w:hAnsi="Times New Roman"/>
          <w:b w:val="false"/>
          <w:bCs w:val="false"/>
          <w:sz w:val="24"/>
          <w:szCs w:val="24"/>
          <w:u w:val="none"/>
          <w:lang w:eastAsia="pl-PL"/>
        </w:rPr>
        <w:t>art. 7 ust. 1 ustawy z dnia 13 kwietnia 2022r. o szczególnych rozwiązaniach w zakresie przeciwdziałania wspieraniu agresji a Ukrainę oraz służących ochronie bezpieczeństwa  narodowego (Dz. U. 2023 poz. 1497)-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0" w:after="150"/>
        <w:ind w:start="0" w:end="0" w:hanging="0"/>
        <w:jc w:val="both"/>
        <w:outlineLvl w:val="4"/>
        <w:rPr/>
      </w:pPr>
      <w:r>
        <w:rPr>
          <w:rStyle w:val="Domylnaczcionkaakapitu"/>
          <w:rFonts w:eastAsia="Calibri" w:cs="Calibri" w:ascii="Times New Roman" w:hAnsi="Times New Roman"/>
          <w:i w:val="false"/>
          <w:iCs w:val="false"/>
          <w:color w:val="000000"/>
          <w:sz w:val="24"/>
          <w:szCs w:val="24"/>
          <w:u w:val="none"/>
        </w:rPr>
        <w:t xml:space="preserve">Na potwierdzenie Wykonawca złoży oświadczenie według załącznika nr 2 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uto" w:line="276" w:before="0" w:after="150"/>
        <w:ind w:start="0" w:end="0" w:hanging="0"/>
        <w:jc w:val="both"/>
        <w:outlineLvl w:val="4"/>
        <w:rPr/>
      </w:pPr>
      <w:r>
        <w:rPr>
          <w:rStyle w:val="Domylnaczcionkaakapitu"/>
          <w:rFonts w:eastAsia="Times New Roman" w:cs="Calibri" w:ascii="Times New Roman" w:hAnsi="Times New Roman"/>
          <w:b/>
          <w:i w:val="false"/>
          <w:iCs w:val="false"/>
          <w:color w:val="000000"/>
          <w:sz w:val="24"/>
          <w:szCs w:val="24"/>
          <w:u w:val="single"/>
        </w:rPr>
        <w:t>6. Inne istotne warunki</w:t>
      </w:r>
    </w:p>
    <w:p>
      <w:pPr>
        <w:pStyle w:val="Normal"/>
        <w:shd w:fill="FFFFFF" w:val="clear"/>
        <w:tabs>
          <w:tab w:val="clear" w:pos="709"/>
          <w:tab w:val="left" w:pos="0" w:leader="none"/>
          <w:tab w:val="left" w:pos="142" w:leader="none"/>
        </w:tabs>
        <w:bidi w:val="0"/>
        <w:spacing w:lineRule="auto" w:line="276"/>
        <w:ind w:start="0" w:end="0" w:hanging="0"/>
        <w:jc w:val="start"/>
        <w:rPr/>
      </w:pPr>
      <w:r>
        <w:rPr>
          <w:rStyle w:val="Domylnaczcionkaakapitu"/>
          <w:rFonts w:eastAsia="Times New Roman" w:cs="Calibri" w:ascii="Times New Roman" w:hAnsi="Times New Roman"/>
          <w:color w:val="000000"/>
          <w:sz w:val="24"/>
          <w:szCs w:val="24"/>
        </w:rPr>
        <w:t>6.1. Komunikacja w postępowaniu o udzielenie zamówienia, w tym ogłoszenie zapytania ofertowego, składanie ofert, wymiana informacji między Zamawiającym a Wykonawcą oraz przekazywanie dokumentów i oświadczeń odbywa się pisemnie za pomocą platformy zakupowej Open Nexus.</w:t>
        <w:br/>
        <w:t xml:space="preserve">6.2. </w:t>
      </w:r>
      <w:r>
        <w:rPr>
          <w:rStyle w:val="Domylnaczcionkaakapitu"/>
          <w:rFonts w:eastAsia="Times New Roman" w:cs="Calibri" w:ascii="Times New Roman" w:hAnsi="Times New Roman"/>
          <w:sz w:val="24"/>
          <w:szCs w:val="24"/>
        </w:rPr>
        <w:t>Zamawiający zastrzega że postępowanie może zakończyć się brakiem wyboru oferty.</w:t>
      </w:r>
    </w:p>
    <w:p>
      <w:pPr>
        <w:pStyle w:val="Normal"/>
        <w:shd w:fill="FFFFFF" w:val="clear"/>
        <w:tabs>
          <w:tab w:val="clear" w:pos="709"/>
          <w:tab w:val="left" w:pos="0" w:leader="none"/>
        </w:tabs>
        <w:bidi w:val="0"/>
        <w:spacing w:lineRule="auto" w:line="276"/>
        <w:ind w:start="0" w:end="0" w:hanging="0"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  <w:t>6.3. Zamawiający nie dopuszcza składania ofert częściowych.</w:t>
      </w:r>
    </w:p>
    <w:p>
      <w:pPr>
        <w:pStyle w:val="Normal"/>
        <w:shd w:fill="FFFFFF" w:val="clear"/>
        <w:tabs>
          <w:tab w:val="clear" w:pos="709"/>
          <w:tab w:val="left" w:pos="0" w:leader="none"/>
        </w:tabs>
        <w:bidi w:val="0"/>
        <w:spacing w:lineRule="auto" w:line="276"/>
        <w:ind w:start="0" w:end="0" w:hanging="0"/>
        <w:jc w:val="both"/>
        <w:rPr>
          <w:rFonts w:ascii="Times New Roman" w:hAnsi="Times New Roman" w:eastAsia="Times New Roman" w:cs="Calibri"/>
          <w:sz w:val="24"/>
          <w:szCs w:val="24"/>
        </w:rPr>
      </w:pPr>
      <w:r>
        <w:rPr>
          <w:rFonts w:eastAsia="Times New Roman" w:cs="Calibri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0" w:after="120"/>
        <w:ind w:start="0" w:end="0" w:hanging="0"/>
        <w:jc w:val="both"/>
        <w:outlineLvl w:val="4"/>
        <w:rPr>
          <w:rFonts w:ascii="Times New Roman" w:hAnsi="Times New Roman" w:eastAsia="Times New Roman" w:cs="Helvetica"/>
          <w:b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Helvetica" w:ascii="Times New Roman" w:hAnsi="Times New Roman"/>
          <w:b/>
          <w:bCs/>
          <w:sz w:val="24"/>
          <w:szCs w:val="24"/>
          <w:u w:val="single"/>
          <w:lang w:eastAsia="pl-PL"/>
        </w:rPr>
        <w:t>7.  Informacje dot. płatności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0" w:after="0"/>
        <w:ind w:start="0" w:end="0" w:hanging="0"/>
        <w:jc w:val="both"/>
        <w:outlineLvl w:val="4"/>
        <w:rPr>
          <w:rFonts w:ascii="Times New Roman" w:hAnsi="Times New Roman" w:eastAsia="Times New Roman" w:cs="Helvetica"/>
          <w:sz w:val="24"/>
          <w:szCs w:val="24"/>
          <w:lang w:eastAsia="pl-PL"/>
        </w:rPr>
      </w:pPr>
      <w:r>
        <w:rPr>
          <w:rFonts w:eastAsia="Times New Roman" w:cs="Helvetica" w:ascii="Times New Roman" w:hAnsi="Times New Roman"/>
          <w:sz w:val="24"/>
          <w:szCs w:val="24"/>
          <w:lang w:eastAsia="pl-PL"/>
        </w:rPr>
        <w:t>Zapłata nastąpi przelewem na rachunek bankowy Wykonawcy za pośrednictwem metody podzielonej płatności (MPP, split payment) w terminie 21 dni od daty doręczenia Zamawiającemu prawidłowo wystawionej faktury lub rachunku.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0" w:after="0"/>
        <w:ind w:start="0" w:end="0" w:hanging="0"/>
        <w:jc w:val="both"/>
        <w:outlineLvl w:val="4"/>
        <w:rPr>
          <w:rFonts w:ascii="Times New Roman" w:hAnsi="Times New Roman" w:eastAsia="Times New Roman" w:cs="Helvetica"/>
          <w:sz w:val="24"/>
          <w:szCs w:val="24"/>
          <w:lang w:eastAsia="pl-PL"/>
        </w:rPr>
      </w:pPr>
      <w:r>
        <w:rPr>
          <w:rFonts w:eastAsia="Times New Roman" w:cs="Helvetica" w:ascii="Times New Roman" w:hAnsi="Times New Roman"/>
          <w:sz w:val="24"/>
          <w:szCs w:val="24"/>
          <w:lang w:eastAsia="pl-PL"/>
        </w:rPr>
        <w:t>Jeżeli wykonawca jest zwolniony z opłat VAT, winien na fakturze lub rachunku umieścić stosowny zapis.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0" w:after="0"/>
        <w:ind w:start="0" w:end="0" w:hanging="0"/>
        <w:jc w:val="both"/>
        <w:outlineLvl w:val="4"/>
        <w:rPr>
          <w:rFonts w:ascii="Times New Roman" w:hAnsi="Times New Roman" w:eastAsia="Times New Roman" w:cs="Helvetica"/>
          <w:sz w:val="24"/>
          <w:szCs w:val="24"/>
          <w:lang w:eastAsia="pl-PL"/>
        </w:rPr>
      </w:pPr>
      <w:r>
        <w:rPr>
          <w:rFonts w:eastAsia="Times New Roman" w:cs="Helvetica" w:ascii="Times New Roman" w:hAnsi="Times New Roman"/>
          <w:sz w:val="24"/>
          <w:szCs w:val="24"/>
          <w:lang w:eastAsia="pl-PL"/>
        </w:rPr>
        <w:t xml:space="preserve">Ponadto w związku z centralizacją VAT Wykonawca wystawi fakturę, na której po stronie Zamawiającego będą widniały dwa podmioty, tj. </w:t>
      </w:r>
    </w:p>
    <w:p>
      <w:pPr>
        <w:pStyle w:val="Normal"/>
        <w:numPr>
          <w:ilvl w:val="0"/>
          <w:numId w:val="0"/>
        </w:numPr>
        <w:shd w:fill="FFFFFF" w:val="clear"/>
        <w:bidi w:val="0"/>
        <w:spacing w:lineRule="atLeast" w:line="311" w:before="0" w:after="0"/>
        <w:ind w:start="0" w:end="0" w:hanging="0"/>
        <w:jc w:val="both"/>
        <w:outlineLvl w:val="4"/>
        <w:rPr/>
      </w:pPr>
      <w:r>
        <w:rPr>
          <w:rFonts w:eastAsia="Times New Roman" w:cs="Helvetica" w:ascii="Times New Roman" w:hAnsi="Times New Roman"/>
          <w:sz w:val="24"/>
          <w:szCs w:val="24"/>
          <w:lang w:eastAsia="pl-PL"/>
        </w:rPr>
        <w:t xml:space="preserve">nabywca: </w:t>
      </w:r>
      <w:r>
        <w:rPr>
          <w:rFonts w:eastAsia="Times New Roman" w:cs="Helvetica" w:ascii="Times New Roman" w:hAnsi="Times New Roman"/>
          <w:b/>
          <w:bCs/>
          <w:sz w:val="24"/>
          <w:szCs w:val="24"/>
          <w:lang w:eastAsia="pl-PL"/>
        </w:rPr>
        <w:t>Gmina Starachowice ul. Radomska 45, 27-200 Starachowice NIP 644-19-09-150</w:t>
      </w:r>
      <w:r>
        <w:rPr>
          <w:rFonts w:eastAsia="Times New Roman" w:cs="Helvetica" w:ascii="Times New Roman" w:hAnsi="Times New Roman"/>
          <w:sz w:val="24"/>
          <w:szCs w:val="24"/>
          <w:lang w:eastAsia="pl-PL"/>
        </w:rPr>
        <w:t xml:space="preserve">  odbiorca: </w:t>
      </w:r>
      <w:r>
        <w:rPr>
          <w:rFonts w:eastAsia="Times New Roman" w:cs="Helvetica" w:ascii="Times New Roman" w:hAnsi="Times New Roman"/>
          <w:b/>
          <w:bCs/>
          <w:sz w:val="24"/>
          <w:szCs w:val="24"/>
          <w:lang w:eastAsia="pl-PL"/>
        </w:rPr>
        <w:t xml:space="preserve">Centrum Usług Społecznych w Starachowicach ul. Majówka 21A, 27-200 Starachowice.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erif">
    <w:altName w:val="Times New Roman"/>
    <w:charset w:val="ee" w:characterSet="windows-1250"/>
    <w:family w:val="swiss"/>
    <w:pitch w:val="variable"/>
  </w:font>
  <w:font w:name="OpenSymbol">
    <w:altName w:val="Arial Unicode MS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pStyle w:val="Nagwek3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78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50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22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94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6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8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10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82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540" w:hanging="180"/>
      </w:pPr>
    </w:lvl>
  </w:abstractNum>
  <w:abstractNum w:abstractNumId="3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1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1" w:hanging="180"/>
      </w:p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07"/>
        </w:tabs>
        <w:ind w:star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4"/>
        </w:tabs>
        <w:ind w:star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1"/>
        </w:tabs>
        <w:ind w:star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28"/>
        </w:tabs>
        <w:ind w:star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35"/>
        </w:tabs>
        <w:ind w:star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42"/>
        </w:tabs>
        <w:ind w:star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49"/>
        </w:tabs>
        <w:ind w:star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56"/>
        </w:tabs>
        <w:ind w:star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63"/>
        </w:tabs>
        <w:ind w:start="6363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707"/>
        </w:tabs>
        <w:ind w:star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4"/>
        </w:tabs>
        <w:ind w:star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1"/>
        </w:tabs>
        <w:ind w:star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28"/>
        </w:tabs>
        <w:ind w:star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35"/>
        </w:tabs>
        <w:ind w:star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42"/>
        </w:tabs>
        <w:ind w:star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49"/>
        </w:tabs>
        <w:ind w:star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56"/>
        </w:tabs>
        <w:ind w:star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63"/>
        </w:tabs>
        <w:ind w:start="6363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paragraph" w:styleId="Nagwek3">
    <w:name w:val="Heading 3"/>
    <w:basedOn w:val="Nagwek"/>
    <w:next w:val="Tretekstu"/>
    <w:qFormat/>
    <w:pPr>
      <w:numPr>
        <w:ilvl w:val="2"/>
        <w:numId w:val="1"/>
      </w:numPr>
      <w:spacing w:before="140" w:after="120"/>
      <w:outlineLvl w:val="2"/>
    </w:pPr>
    <w:rPr>
      <w:rFonts w:ascii="Liberation Serif" w:hAnsi="Liberation Serif" w:eastAsia="NSimSun" w:cs="Lucida Sans"/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arkedcontent">
    <w:name w:val="markedcontent"/>
    <w:basedOn w:val="Domylnaczcionkaakapitu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ny">
    <w:name w:val="Normalny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start="720" w:end="0" w:hanging="0"/>
    </w:pPr>
    <w:rPr>
      <w:rFonts w:cs="Calibri"/>
      <w:lang w:eastAsia="pl-PL"/>
    </w:rPr>
  </w:style>
  <w:style w:type="paragraph" w:styleId="Default">
    <w:name w:val="Default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pacing w:before="0" w:after="0"/>
      <w:ind w:start="720" w:end="0" w:hanging="0"/>
      <w:contextualSpacing/>
    </w:pPr>
    <w:rPr>
      <w:rFonts w:cs="Mangal"/>
      <w:szCs w:val="21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80</TotalTime>
  <Application>LibreOffice/7.2.1.2$Windows_X86_64 LibreOffice_project/87b77fad49947c1441b67c559c339af8f3517e22</Application>
  <AppVersion>15.0000</AppVersion>
  <Pages>4</Pages>
  <Words>1058</Words>
  <Characters>6720</Characters>
  <CharactersWithSpaces>7753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2024-11-15T14:13:04Z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