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bidi w:val="0"/>
        <w:jc w:val="end"/>
        <w:rPr>
          <w:color w:val="C9211E"/>
        </w:rPr>
      </w:pPr>
      <w:r>
        <w:rPr>
          <w:color w:val="C9211E"/>
        </w:rPr>
        <w:t>15/DDS/2024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150" w:after="120"/>
        <w:ind w:start="0" w:hanging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u w:val="single"/>
          <w:lang w:eastAsia="pl-PL"/>
        </w:rPr>
        <w:t>Nazwa i adres zamawiającego</w:t>
      </w:r>
    </w:p>
    <w:tbl>
      <w:tblPr>
        <w:tblW w:w="8716" w:type="dxa"/>
        <w:jc w:val="start"/>
        <w:tblInd w:w="484" w:type="dxa"/>
        <w:tblLayout w:type="fixed"/>
        <w:tblCellMar>
          <w:top w:w="0" w:type="dxa"/>
          <w:start w:w="10" w:type="dxa"/>
          <w:bottom w:w="0" w:type="dxa"/>
          <w:end w:w="10" w:type="dxa"/>
        </w:tblCellMar>
      </w:tblPr>
      <w:tblGrid>
        <w:gridCol w:w="2927"/>
        <w:gridCol w:w="5788"/>
      </w:tblGrid>
      <w:tr>
        <w:trPr>
          <w:trHeight w:val="882" w:hRule="atLeast"/>
        </w:trPr>
        <w:tc>
          <w:tcPr>
            <w:tcW w:w="2927" w:type="dxa"/>
            <w:tcBorders>
              <w:top w:val="single" w:sz="8" w:space="0" w:color="00000A"/>
              <w:start w:val="single" w:sz="8" w:space="0" w:color="00000A"/>
              <w:bottom w:val="single" w:sz="8" w:space="0" w:color="00000A"/>
              <w:end w:val="single" w:sz="8" w:space="0" w:color="00000A"/>
            </w:tcBorders>
            <w:shd w:fill="FFFFFF" w:val="clear"/>
          </w:tcPr>
          <w:p>
            <w:pPr>
              <w:pStyle w:val="Normal"/>
              <w:widowControl w:val="false"/>
              <w:bidi w:val="0"/>
              <w:spacing w:lineRule="atLeast" w:line="311" w:before="120" w:after="150"/>
              <w:jc w:val="start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Zamawiający:                         </w:t>
            </w:r>
          </w:p>
        </w:tc>
        <w:tc>
          <w:tcPr>
            <w:tcW w:w="5788" w:type="dxa"/>
            <w:tcBorders>
              <w:top w:val="single" w:sz="8" w:space="0" w:color="00000A"/>
              <w:bottom w:val="single" w:sz="8" w:space="0" w:color="00000A"/>
              <w:end w:val="single" w:sz="8" w:space="0" w:color="00000A"/>
            </w:tcBorders>
            <w:shd w:fill="FFFFFF" w:val="clear"/>
          </w:tcPr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Centrum Usług Społecznych w Starachowicach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Dział: Dzienny Dom Senior+ 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ul. Al. Armii Krajowej 28 Ip., 27-200 Starachowice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Godziny pracy: od poniedziałku do piątku w godzinach od 8:00 do 16:00</w:t>
            </w:r>
          </w:p>
          <w:p>
            <w:pPr>
              <w:pStyle w:val="Normal"/>
              <w:widowControl w:val="false"/>
              <w:bidi w:val="0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Nr tel. 668-216-211</w:t>
            </w:r>
          </w:p>
          <w:p>
            <w:pPr>
              <w:pStyle w:val="Normal"/>
              <w:widowControl w:val="false"/>
              <w:bidi w:val="0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Adres WWW: cus.starachowice.eu</w:t>
            </w:r>
          </w:p>
          <w:p>
            <w:pPr>
              <w:pStyle w:val="Normal"/>
              <w:widowControl w:val="false"/>
              <w:bidi w:val="0"/>
              <w:spacing w:lineRule="atLeast" w:line="311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email : ewa.pochec@cus.starachowice.eu</w:t>
            </w:r>
          </w:p>
        </w:tc>
      </w:tr>
    </w:tbl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120" w:after="0"/>
        <w:ind w:start="720" w:end="0" w:hanging="720"/>
        <w:jc w:val="start"/>
        <w:outlineLvl w:val="3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1.Tryb udzielenia zamówienia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uto" w:line="276" w:before="120" w:after="120"/>
        <w:ind w:start="0" w:end="-142" w:hanging="0"/>
        <w:jc w:val="both"/>
        <w:outlineLvl w:val="4"/>
        <w:rPr/>
      </w:pPr>
      <w:r>
        <w:rPr>
          <w:rStyle w:val="Domylnaczcionkaakapitu"/>
          <w:rFonts w:eastAsia="Times New Roman" w:cs="Calibri" w:ascii="Times New Roman" w:hAnsi="Times New Roman"/>
          <w:sz w:val="24"/>
          <w:szCs w:val="24"/>
          <w:lang w:eastAsia="pl-PL"/>
        </w:rPr>
        <w:t>Postępowanie prowadzone jest na podstawie wewnętrznego Regulaminu, udzielania zamówień, finansowanych ze środków publicznych, których wartość jest mniejsza od kwoty 130 000,00 zł, wprowadzonego Zarządzeniem nr 48/2023 Dyrektora Centrum Usług Społecznych w Starachowicach z dnia 28.12.2023 r. Do postępowania nie mają zastosowania zapisy Ustawy Prawo Zamówień Publicznych.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120" w:after="0"/>
        <w:ind w:start="425" w:end="0" w:hanging="425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2. Opis przedmiotu zamówienia</w:t>
      </w:r>
    </w:p>
    <w:p>
      <w:pPr>
        <w:pStyle w:val="Normalny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przedmiotu zamówienia</w:t>
      </w:r>
    </w:p>
    <w:p>
      <w:pPr>
        <w:pStyle w:val="Akapitzlist"/>
        <w:numPr>
          <w:ilvl w:val="0"/>
          <w:numId w:val="1"/>
        </w:numPr>
        <w:bidi w:val="0"/>
        <w:ind w:start="780" w:end="0" w:hanging="360"/>
        <w:jc w:val="both"/>
        <w:rPr/>
      </w:pPr>
      <w:r>
        <w:rPr>
          <w:rStyle w:val="Domylnaczcionkaakapitu"/>
          <w:rFonts w:cs="Times New Roman" w:ascii="Times New Roman" w:hAnsi="Times New Roman"/>
          <w:color w:val="000000"/>
        </w:rPr>
        <w:t>Przedmiotem zamówienia jest dostawa zimnych przekąsek według zamieszczonego poniżej menu</w:t>
      </w:r>
      <w:r>
        <w:rPr>
          <w:rStyle w:val="Domylnaczcionkaakapitu"/>
          <w:rFonts w:cs="Times New Roman" w:ascii="Times New Roman" w:hAnsi="Times New Roman"/>
          <w:b/>
          <w:bCs/>
          <w:color w:val="000000"/>
        </w:rPr>
        <w:t xml:space="preserve"> dla grupy  35 osób, podopiecznych Dziennego Domu Senior+</w:t>
      </w:r>
      <w:r>
        <w:rPr>
          <w:rStyle w:val="Domylnaczcionkaakapitu"/>
          <w:rFonts w:cs="Times New Roman" w:ascii="Times New Roman" w:hAnsi="Times New Roman"/>
          <w:b/>
          <w:color w:val="000000"/>
        </w:rPr>
        <w:t xml:space="preserve"> 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w Starachowicach, </w:t>
      </w:r>
    </w:p>
    <w:p>
      <w:pPr>
        <w:pStyle w:val="Akapitzlist"/>
        <w:numPr>
          <w:ilvl w:val="0"/>
          <w:numId w:val="1"/>
        </w:numPr>
        <w:bidi w:val="0"/>
        <w:ind w:start="780" w:end="0" w:hanging="360"/>
        <w:jc w:val="both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Wydatek wynika z realizacji </w:t>
      </w:r>
      <w:r>
        <w:rPr>
          <w:rStyle w:val="Domylnaczcionkaakapitu"/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Projektu pn. Z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apewnienie funkcjonowania 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single"/>
        </w:rPr>
        <w:t>Dziennego Domu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„Senior+”</w:t>
      </w:r>
      <w:r>
        <w:rPr>
          <w:rStyle w:val="Domylnaczcionkaakapitu"/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współfinansowany ze środków rządowego Programu Wieloletniego „Senior-+” na lata 2021 – 2025- edycja 2024.</w:t>
      </w:r>
    </w:p>
    <w:p>
      <w:pPr>
        <w:pStyle w:val="Akapitzlist"/>
        <w:numPr>
          <w:ilvl w:val="0"/>
          <w:numId w:val="1"/>
        </w:numPr>
        <w:bidi w:val="0"/>
        <w:ind w:start="780" w:end="0" w:hanging="360"/>
        <w:jc w:val="start"/>
        <w:rPr/>
      </w:pPr>
      <w:r>
        <w:rPr>
          <w:rStyle w:val="Domylnaczcionkaakapitu"/>
          <w:rFonts w:eastAsia="NSimSun" w:cs="Times New Roman" w:ascii="Times New Roman" w:hAnsi="Times New Roman"/>
          <w:color w:val="000000"/>
          <w:kern w:val="2"/>
          <w:sz w:val="24"/>
          <w:szCs w:val="24"/>
          <w:lang w:val="pl-PL" w:eastAsia="pl-PL" w:bidi="hi-IN"/>
        </w:rPr>
        <w:t xml:space="preserve">Przykładowe </w:t>
      </w:r>
      <w:r>
        <w:rPr>
          <w:rStyle w:val="Domylnaczcionkaakapitu"/>
          <w:rFonts w:cs="Times New Roman" w:ascii="Times New Roman" w:hAnsi="Times New Roman"/>
          <w:color w:val="000000"/>
        </w:rPr>
        <w:t>menu: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8 półmisków  (np. pasztet, schab, szynka) </w:t>
      </w:r>
      <w:r>
        <w:rPr>
          <w:rStyle w:val="Domylnaczcionkaakapitu"/>
          <w:rFonts w:cs="Times New Roman" w:ascii="Times New Roman" w:hAnsi="Times New Roman"/>
          <w:color w:val="000000"/>
        </w:rPr>
        <w:t>zawierających 3 rodzaje wędlin o łącznej wadze 5,250 kg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dwa rodzaje ciasta na osobę 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łącznie 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7kg (np.: sernik, w-z) 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</w:rPr>
        <w:t>Sałatka jarzynowa 10 litrów.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Zamawiający ma prawo przeprowadzania kontroli jakości i zadowolenia z usług.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Zamawiający zastrzega sobie prawo kontrolowania realizacji przedmiotu zamówienia na każdym etapie.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  <w:shd w:fill="FFFFFF" w:val="clear"/>
        </w:rPr>
        <w:t>Wykonawca zobowiązany będzie do stałej współpracy i konsultacji z Zamawiającym na każdym etapie realizacji przedmiotowego zamówienia.</w:t>
      </w:r>
    </w:p>
    <w:p>
      <w:pPr>
        <w:pStyle w:val="Normal"/>
        <w:numPr>
          <w:ilvl w:val="0"/>
          <w:numId w:val="1"/>
        </w:numPr>
        <w:shd w:val="clear" w:fill="FFFFFF"/>
        <w:bidi w:val="0"/>
        <w:spacing w:lineRule="atLeast" w:line="311" w:before="120" w:after="0"/>
        <w:ind w:start="0" w:hanging="0"/>
        <w:jc w:val="start"/>
        <w:outlineLvl w:val="3"/>
        <w:rPr/>
      </w:pPr>
      <w:r>
        <w:rPr>
          <w:rStyle w:val="Domylnaczcionkaakapitu"/>
          <w:rFonts w:eastAsia="Calibri" w:cs="Times New Roman" w:ascii="Times New Roman" w:hAnsi="Times New Roman"/>
          <w:b w:val="false"/>
          <w:bCs w:val="false"/>
          <w:i w:val="false"/>
          <w:iCs w:val="false"/>
          <w:color w:val="000000"/>
          <w:spacing w:val="0"/>
          <w:sz w:val="24"/>
          <w:szCs w:val="24"/>
          <w:shd w:fill="FFFFFF" w:val="clear"/>
          <w:lang w:val="pl-PL" w:eastAsia="pl-PL"/>
        </w:rPr>
        <w:t>Rozliczenia między Zamawiającym i Wykonawcą prowadzone będą w złotych polskich.</w:t>
      </w:r>
    </w:p>
    <w:p>
      <w:pPr>
        <w:pStyle w:val="Normalny"/>
        <w:widowControl/>
        <w:numPr>
          <w:ilvl w:val="0"/>
          <w:numId w:val="0"/>
        </w:numPr>
        <w:tabs>
          <w:tab w:val="clear" w:pos="709"/>
        </w:tabs>
        <w:spacing w:before="0" w:after="200"/>
        <w:ind w:start="1211" w:hanging="0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  <w:r>
        <w:rPr>
          <w:rFonts w:cs="Calibri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ny"/>
        <w:widowControl/>
        <w:numPr>
          <w:ilvl w:val="0"/>
          <w:numId w:val="0"/>
        </w:numPr>
        <w:tabs>
          <w:tab w:val="clear" w:pos="709"/>
          <w:tab w:val="left" w:pos="-436" w:leader="none"/>
        </w:tabs>
        <w:suppressAutoHyphens w:val="false"/>
        <w:spacing w:lineRule="auto" w:line="276" w:before="0" w:after="200"/>
        <w:ind w:start="720" w:hanging="0"/>
        <w:jc w:val="both"/>
        <w:textAlignment w:val="auto"/>
        <w:rPr/>
      </w:pPr>
      <w:r>
        <w:rPr>
          <w:rStyle w:val="Domylnaczcionkaakapitu"/>
          <w:rFonts w:eastAsia="Times New Roman" w:cs="Calibri" w:ascii="Times New Roman" w:hAnsi="Times New Roman"/>
          <w:color w:val="000000"/>
          <w:sz w:val="24"/>
          <w:szCs w:val="24"/>
          <w:lang w:eastAsia="pl-PL"/>
        </w:rPr>
        <w:t>Oznaczenie przedmiotu zamówienia wg Wspólnego Słownika Zamówień (CPV)</w:t>
      </w:r>
    </w:p>
    <w:p>
      <w:pPr>
        <w:pStyle w:val="Normalny"/>
        <w:widowControl/>
        <w:numPr>
          <w:ilvl w:val="0"/>
          <w:numId w:val="0"/>
        </w:numPr>
        <w:spacing w:lineRule="auto" w:line="276"/>
        <w:ind w:start="720" w:hanging="0"/>
        <w:rPr>
          <w:rFonts w:ascii="Times New Roman" w:hAnsi="Times New Roman" w:eastAsia="Times New Roman" w:cs="Calibri"/>
          <w:b/>
          <w:b/>
          <w:bCs/>
          <w:color w:val="000000"/>
          <w:sz w:val="24"/>
          <w:szCs w:val="24"/>
          <w:shd w:fill="auto" w:val="clear"/>
          <w:lang w:eastAsia="pl-PL"/>
        </w:rPr>
      </w:pPr>
      <w:r>
        <w:rPr>
          <w:rFonts w:eastAsia="Times New Roman" w:cs="Calibri" w:ascii="Times New Roman" w:hAnsi="Times New Roman"/>
          <w:b/>
          <w:bCs/>
          <w:color w:val="000000"/>
          <w:sz w:val="24"/>
          <w:szCs w:val="24"/>
          <w:shd w:fill="auto" w:val="clear"/>
          <w:lang w:eastAsia="pl-PL"/>
        </w:rPr>
        <w:t>Kod CPV:</w:t>
      </w:r>
    </w:p>
    <w:p>
      <w:pPr>
        <w:pStyle w:val="Normalny"/>
        <w:widowControl/>
        <w:numPr>
          <w:ilvl w:val="0"/>
          <w:numId w:val="0"/>
        </w:numPr>
        <w:tabs>
          <w:tab w:val="clear" w:pos="709"/>
          <w:tab w:val="left" w:pos="-436" w:leader="none"/>
        </w:tabs>
        <w:suppressAutoHyphens w:val="false"/>
        <w:spacing w:lineRule="auto" w:line="276" w:before="0" w:after="200"/>
        <w:ind w:start="720" w:hanging="0"/>
        <w:jc w:val="both"/>
        <w:textAlignment w:val="auto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Style w:val="Domylnaczcionkaakapitu"/>
          <w:rFonts w:eastAsia="Times New Roman" w:cs="Calibri" w:ascii="Times New Roman" w:hAnsi="Times New Roman"/>
          <w:b/>
          <w:bCs/>
          <w:i/>
          <w:color w:val="000000"/>
          <w:spacing w:val="0"/>
          <w:kern w:val="2"/>
          <w:sz w:val="24"/>
          <w:szCs w:val="24"/>
          <w:shd w:fill="auto" w:val="clear"/>
          <w:lang w:val="pl-PL" w:eastAsia="pl-PL" w:bidi="hi-IN"/>
        </w:rPr>
        <w:t>55520000-1 Usługi dostarczania posiłków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120" w:after="0"/>
        <w:ind w:start="720" w:hanging="0"/>
        <w:jc w:val="both"/>
        <w:outlineLvl w:val="3"/>
        <w:rPr>
          <w:rFonts w:ascii="Times New Roman" w:hAnsi="Times New Roman" w:eastAsia="Calibri" w:cs="Calibri"/>
          <w:b w:val="false"/>
          <w:b w:val="false"/>
          <w:bCs w:val="false"/>
          <w:i w:val="false"/>
          <w:i w:val="false"/>
          <w:iCs w:val="false"/>
          <w:color w:val="auto"/>
          <w:spacing w:val="0"/>
          <w:sz w:val="24"/>
          <w:szCs w:val="24"/>
          <w:u w:val="none"/>
          <w:lang w:val="pl-PL" w:eastAsia="pl-PL"/>
        </w:rPr>
      </w:pPr>
      <w:r>
        <w:rPr>
          <w:rFonts w:eastAsia="Calibri" w:cs="Calibri" w:ascii="Times New Roman" w:hAnsi="Times New Roman"/>
          <w:b w:val="false"/>
          <w:bCs w:val="false"/>
          <w:i w:val="false"/>
          <w:iCs w:val="false"/>
          <w:color w:val="auto"/>
          <w:spacing w:val="0"/>
          <w:sz w:val="24"/>
          <w:szCs w:val="24"/>
          <w:u w:val="none"/>
          <w:lang w:val="pl-PL" w:eastAsia="pl-PL"/>
        </w:rPr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20"/>
        <w:ind w:start="425" w:end="0" w:hanging="425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3. Termin i miejsce wykonania przedmiotu zamówienia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851" w:end="0" w:hanging="425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3.1.Termin wykonania zamówienia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Helvetica" w:ascii="Times New Roman" w:hAnsi="Times New Roman"/>
          <w:bCs/>
          <w:i/>
          <w:sz w:val="24"/>
          <w:szCs w:val="24"/>
          <w:lang w:eastAsia="pl-PL"/>
        </w:rPr>
        <w:t>–</w:t>
      </w:r>
      <w:r>
        <w:rPr>
          <w:rStyle w:val="Domylnaczcionkaakapitu"/>
          <w:rFonts w:eastAsia="Times New Roman" w:cs="Times New Roman" w:ascii="Times New Roman" w:hAnsi="Times New Roman"/>
          <w:bCs/>
          <w:i/>
          <w:color w:val="000000"/>
          <w:sz w:val="24"/>
          <w:szCs w:val="24"/>
          <w:lang w:eastAsia="pl-PL"/>
        </w:rPr>
        <w:t xml:space="preserve"> dostawa w dniu 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lang w:eastAsia="pl-PL"/>
        </w:rPr>
        <w:t>29.11.2024 r. do godz 14:00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284" w:end="0" w:hanging="284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pl-PL"/>
        </w:rPr>
        <w:t>4. Kryteria oceny ofert.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720" w:end="0" w:hanging="36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4.1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Przy wyborze najkorzystniejszej oferty Zamawiający kierować się będzie: najniższą </w:t>
      </w:r>
      <w:r>
        <w:rPr>
          <w:rFonts w:eastAsia="Times New Roman" w:cs="Helvetica" w:ascii="Times New Roman" w:hAnsi="Times New Roman"/>
          <w:i/>
          <w:sz w:val="24"/>
          <w:szCs w:val="24"/>
          <w:lang w:eastAsia="pl-PL"/>
        </w:rPr>
        <w:t>ceną brutto.</w:t>
      </w:r>
    </w:p>
    <w:p>
      <w:pPr>
        <w:pStyle w:val="Normal"/>
        <w:shd w:val="clear" w:fill="FFFFFF"/>
        <w:bidi w:val="0"/>
        <w:spacing w:lineRule="auto" w:line="276"/>
        <w:jc w:val="start"/>
        <w:rPr/>
      </w:pPr>
      <w:r>
        <w:rPr>
          <w:rStyle w:val="Domylnaczcionkaakapitu"/>
          <w:rFonts w:cs="Calibri" w:ascii="Times New Roman" w:hAnsi="Times New Roman"/>
          <w:bCs/>
          <w:sz w:val="24"/>
          <w:szCs w:val="24"/>
        </w:rPr>
        <w:t xml:space="preserve">   </w:t>
      </w:r>
      <w:r>
        <w:rPr>
          <w:rStyle w:val="Domylnaczcionkaakapitu"/>
          <w:rFonts w:cs="Calibri" w:ascii="Times New Roman" w:hAnsi="Times New Roman"/>
          <w:bCs/>
          <w:sz w:val="24"/>
          <w:szCs w:val="24"/>
        </w:rPr>
        <w:t xml:space="preserve">4.2. </w:t>
      </w:r>
      <w:r>
        <w:rPr>
          <w:rStyle w:val="Domylnaczcionkaakapitu"/>
          <w:rFonts w:eastAsia="Times New Roman" w:cs="Calibri" w:ascii="Times New Roman" w:hAnsi="Times New Roman"/>
          <w:bCs/>
          <w:sz w:val="24"/>
          <w:szCs w:val="24"/>
        </w:rPr>
        <w:t>Przy wyborze najkorzystniejszej oferty Zamawiający kierować się będzie:</w:t>
      </w:r>
    </w:p>
    <w:tbl>
      <w:tblPr>
        <w:tblW w:w="8247" w:type="dxa"/>
        <w:jc w:val="start"/>
        <w:tblInd w:w="8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816"/>
        <w:gridCol w:w="3430"/>
      </w:tblGrid>
      <w:tr>
        <w:trPr/>
        <w:tc>
          <w:tcPr>
            <w:tcW w:w="481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276"/>
              <w:jc w:val="start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cs="Calibri" w:ascii="Times New Roman" w:hAnsi="Times New Roman"/>
                <w:bCs/>
                <w:sz w:val="24"/>
                <w:szCs w:val="24"/>
              </w:rPr>
              <w:t>Cena (waga 100%)</w:t>
            </w:r>
          </w:p>
        </w:tc>
        <w:tc>
          <w:tcPr>
            <w:tcW w:w="34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76"/>
              <w:jc w:val="start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cs="Calibri" w:ascii="Times New Roman" w:hAnsi="Times New Roman"/>
                <w:bCs/>
                <w:sz w:val="24"/>
                <w:szCs w:val="24"/>
              </w:rPr>
              <w:t>Cena brutto</w:t>
            </w:r>
          </w:p>
        </w:tc>
      </w:tr>
    </w:tbl>
    <w:p>
      <w:pPr>
        <w:pStyle w:val="Normal"/>
        <w:shd w:val="clear" w:fill="FFFFFF"/>
        <w:tabs>
          <w:tab w:val="clear" w:pos="709"/>
        </w:tabs>
        <w:bidi w:val="0"/>
        <w:spacing w:lineRule="auto" w:line="276"/>
        <w:ind w:start="928" w:end="0" w:hanging="0"/>
        <w:jc w:val="start"/>
        <w:rPr>
          <w:rFonts w:ascii="Times New Roman" w:hAnsi="Times New Roman" w:cs="Calibri"/>
          <w:bCs/>
          <w:sz w:val="24"/>
          <w:szCs w:val="24"/>
        </w:rPr>
      </w:pPr>
      <w:r>
        <w:rPr>
          <w:rFonts w:cs="Calibri" w:ascii="Times New Roman" w:hAnsi="Times New Roman"/>
          <w:bCs/>
          <w:sz w:val="24"/>
          <w:szCs w:val="24"/>
        </w:rPr>
      </w:r>
    </w:p>
    <w:p>
      <w:pPr>
        <w:pStyle w:val="Tretekstu"/>
        <w:bidi w:val="0"/>
        <w:spacing w:lineRule="auto" w:line="276" w:before="0" w:after="0"/>
        <w:jc w:val="both"/>
        <w:rPr>
          <w:rFonts w:ascii="Times New Roman" w:hAnsi="Times New Roman" w:eastAsia="Times New Roman" w:cs="Calibri"/>
          <w:bCs/>
          <w:sz w:val="24"/>
          <w:szCs w:val="24"/>
        </w:rPr>
      </w:pPr>
      <w:r>
        <w:rPr>
          <w:rFonts w:eastAsia="Times New Roman" w:cs="Calibri" w:ascii="Times New Roman" w:hAnsi="Times New Roman"/>
          <w:bCs/>
          <w:sz w:val="24"/>
          <w:szCs w:val="24"/>
        </w:rPr>
        <w:t xml:space="preserve">  </w:t>
      </w:r>
    </w:p>
    <w:p>
      <w:pPr>
        <w:pStyle w:val="Tretekstu"/>
        <w:tabs>
          <w:tab w:val="clear" w:pos="709"/>
        </w:tabs>
        <w:bidi w:val="0"/>
        <w:spacing w:lineRule="auto" w:line="276" w:before="0" w:after="0"/>
        <w:ind w:start="928" w:end="0" w:hanging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w:t>4.3. Zasady przyznawania punktów: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>a)  Cena – 100% (gdzie 1% = 1 pkt)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Ilość punktów dla każdej ocenianej oferty zostanie wyliczona wg poniższego wzoru, gdzie zaokrąglenia dokonane zostaną z dokładnością do dwóch miejsc po przecinku: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4"/>
          <w:szCs w:val="24"/>
        </w:rPr>
        <w:t xml:space="preserve">           </w:t>
      </w:r>
      <w:r>
        <w:rPr>
          <w:rStyle w:val="Domylnaczcionkaakapitu"/>
          <w:rFonts w:cs="Calibri"/>
          <w:b/>
          <w:bCs/>
          <w:sz w:val="24"/>
          <w:szCs w:val="24"/>
          <w:lang w:val="en-US"/>
        </w:rPr>
        <w:t>C min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b/>
          <w:b/>
          <w:bCs/>
          <w:sz w:val="24"/>
          <w:szCs w:val="24"/>
          <w:lang w:val="en-US"/>
        </w:rPr>
      </w:pPr>
      <w:r>
        <w:rPr>
          <w:rFonts w:cs="Calibri"/>
          <w:b/>
          <w:bCs/>
          <w:sz w:val="24"/>
          <w:szCs w:val="24"/>
          <w:lang w:val="en-US"/>
        </w:rPr>
        <w:t>C = ------------------ x 100 pkt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4"/>
          <w:szCs w:val="24"/>
          <w:lang w:val="en-US"/>
        </w:rPr>
        <w:t xml:space="preserve">           </w:t>
      </w:r>
      <w:r>
        <w:rPr>
          <w:rStyle w:val="Domylnaczcionkaakapitu"/>
          <w:rFonts w:cs="Calibri"/>
          <w:b/>
          <w:bCs/>
          <w:sz w:val="24"/>
          <w:szCs w:val="24"/>
          <w:lang w:val="en-US"/>
        </w:rPr>
        <w:t>C bad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gdzie: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 xml:space="preserve">C </w:t>
      </w:r>
      <w:r>
        <w:rPr>
          <w:rStyle w:val="Domylnaczcionkaakapitu"/>
          <w:rFonts w:cs="Calibri"/>
          <w:sz w:val="24"/>
          <w:szCs w:val="24"/>
        </w:rPr>
        <w:t>- ilość punktów badanej oferty w kryterium cena,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 xml:space="preserve">C min - </w:t>
      </w:r>
      <w:r>
        <w:rPr>
          <w:rStyle w:val="Domylnaczcionkaakapitu"/>
          <w:rFonts w:cs="Calibri"/>
          <w:sz w:val="24"/>
          <w:szCs w:val="24"/>
        </w:rPr>
        <w:t>cena oferty (brutto) najniższa spośród wszystkich badanych ofert,</w:t>
      </w:r>
    </w:p>
    <w:p>
      <w:pPr>
        <w:pStyle w:val="Normal"/>
        <w:shd w:val="clear" w:fill="FFFFFF"/>
        <w:bidi w:val="0"/>
        <w:spacing w:lineRule="auto" w:line="276"/>
        <w:ind w:start="0" w:end="0" w:firstLine="708"/>
        <w:jc w:val="start"/>
        <w:rPr/>
      </w:pPr>
      <w:r>
        <w:rPr>
          <w:rStyle w:val="Domylnaczcionkaakapitu"/>
          <w:rFonts w:cs="Calibri" w:ascii="Times New Roman" w:hAnsi="Times New Roman"/>
          <w:b/>
          <w:sz w:val="24"/>
          <w:szCs w:val="24"/>
        </w:rPr>
        <w:t xml:space="preserve">C bad - </w:t>
      </w:r>
      <w:r>
        <w:rPr>
          <w:rStyle w:val="Domylnaczcionkaakapitu"/>
          <w:rFonts w:cs="Calibri" w:ascii="Times New Roman" w:hAnsi="Times New Roman"/>
          <w:sz w:val="24"/>
          <w:szCs w:val="24"/>
        </w:rPr>
        <w:t>cena (brutto) badanej oferty</w:t>
      </w:r>
    </w:p>
    <w:p>
      <w:pPr>
        <w:pStyle w:val="Tretekstu"/>
        <w:numPr>
          <w:ilvl w:val="0"/>
          <w:numId w:val="0"/>
        </w:numPr>
        <w:shd w:val="clear" w:fill="FFFFFF"/>
        <w:bidi w:val="0"/>
        <w:spacing w:lineRule="auto" w:line="276" w:before="0" w:after="0"/>
        <w:ind w:start="720" w:end="0" w:hanging="360"/>
        <w:jc w:val="both"/>
        <w:outlineLvl w:val="4"/>
        <w:rPr>
          <w:rFonts w:ascii="Times New Roman" w:hAnsi="Times New Roman" w:cs="Calibri"/>
          <w:sz w:val="24"/>
          <w:szCs w:val="24"/>
        </w:rPr>
      </w:pPr>
      <w:r>
        <w:rPr>
          <w:rFonts w:eastAsia="Times New Roman" w:cs="Helvetica" w:ascii="Times New Roman" w:hAnsi="Times New Roman"/>
          <w:i/>
          <w:sz w:val="24"/>
          <w:szCs w:val="24"/>
          <w:lang w:eastAsia="pl-PL"/>
        </w:rPr>
        <w:tab/>
      </w:r>
    </w:p>
    <w:p>
      <w:pPr>
        <w:pStyle w:val="ListParagraph"/>
        <w:numPr>
          <w:ilvl w:val="0"/>
          <w:numId w:val="0"/>
        </w:numPr>
        <w:shd w:val="clear" w:color="auto" w:fill="FFFFFF"/>
        <w:bidi w:val="0"/>
        <w:spacing w:lineRule="atLeast" w:line="311" w:before="120" w:after="0"/>
        <w:ind w:start="1080" w:hanging="0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/>
          <w:bCs/>
          <w:u w:val="single"/>
          <w:lang w:eastAsia="pl-PL"/>
        </w:rPr>
        <w:t>5. Warunki udziału w postępowaniu:</w:t>
      </w:r>
    </w:p>
    <w:p>
      <w:pPr>
        <w:pStyle w:val="Normal"/>
        <w:numPr>
          <w:ilvl w:val="0"/>
          <w:numId w:val="0"/>
        </w:numPr>
        <w:shd w:val="clear" w:color="auto" w:fill="FFFFFF"/>
        <w:bidi w:val="0"/>
        <w:spacing w:lineRule="auto" w:line="276" w:before="0" w:after="150"/>
        <w:ind w:start="0" w:end="0" w:hanging="0"/>
        <w:jc w:val="both"/>
        <w:textAlignment w:val="baseline"/>
        <w:outlineLvl w:val="4"/>
        <w:rPr>
          <w:rFonts w:ascii="Times New Roman" w:hAnsi="Times New Roman" w:eastAsia="Calibri" w:cs="Times New Roman"/>
          <w:bCs/>
          <w:kern w:val="2"/>
          <w:lang w:bidi="ar-SA"/>
        </w:rPr>
      </w:pPr>
      <w:r>
        <w:rPr>
          <w:rFonts w:eastAsia="Calibri" w:cs="Times New Roman" w:ascii="Times New Roman" w:hAnsi="Times New Roman"/>
          <w:b/>
          <w:bCs/>
          <w:kern w:val="2"/>
          <w:sz w:val="24"/>
          <w:szCs w:val="24"/>
          <w:u w:val="single"/>
          <w:lang w:eastAsia="pl-PL" w:bidi="ar-SA"/>
        </w:rPr>
        <w:t>O udzielenie zapytania mogą ubiegać się Wykonawcy, którzy: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a) Wypełnią  formularz oferty zgodny w treści ze wzorem stanowiącym </w:t>
      </w:r>
      <w:r>
        <w:rPr>
          <w:rFonts w:eastAsia="Times New Roman" w:cs="Helvetica" w:ascii="Times New Roman" w:hAnsi="Times New Roman"/>
          <w:b/>
          <w:bCs/>
          <w:sz w:val="24"/>
          <w:szCs w:val="24"/>
          <w:u w:val="none"/>
          <w:lang w:eastAsia="pl-PL"/>
        </w:rPr>
        <w:t>załącznik  Nr 1;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b) posiadają doświadczenie w realizacji </w:t>
      </w: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usługi cateringowej 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/>
      </w:pPr>
      <w:r>
        <w:rPr>
          <w:rStyle w:val="Domylnaczcionkaakapitu"/>
          <w:rFonts w:eastAsia="Calibri" w:cs="Calibri" w:ascii="Times New Roman" w:hAnsi="Times New Roman"/>
          <w:b w:val="false"/>
          <w:bCs w:val="false"/>
          <w:i w:val="false"/>
          <w:iCs w:val="false"/>
          <w:color w:val="000000"/>
          <w:spacing w:val="0"/>
          <w:sz w:val="24"/>
          <w:szCs w:val="24"/>
          <w:u w:val="none"/>
          <w:lang w:val="pl-PL" w:eastAsia="pl-PL"/>
        </w:rPr>
        <w:t>Na potwierdzenie Wykonawca złoży oświadczenie według</w:t>
      </w:r>
      <w:r>
        <w:rPr>
          <w:rStyle w:val="Domylnaczcionkaakapitu"/>
          <w:rFonts w:eastAsia="Calibri" w:cs="Calibri" w:ascii="Times New Roman" w:hAnsi="Times New Roman"/>
          <w:b/>
          <w:bCs/>
          <w:i w:val="false"/>
          <w:iCs w:val="false"/>
          <w:color w:val="000000"/>
          <w:spacing w:val="0"/>
          <w:sz w:val="24"/>
          <w:szCs w:val="24"/>
          <w:u w:val="none"/>
          <w:lang w:val="pl-PL" w:eastAsia="pl-PL"/>
        </w:rPr>
        <w:t xml:space="preserve"> załącznika nr 3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/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c) </w:t>
      </w:r>
      <w:r>
        <w:rPr>
          <w:rStyle w:val="Domylnaczcionkaakapitu"/>
          <w:rFonts w:eastAsia="Times New Roman" w:cs="Calibri" w:ascii="Times New Roman" w:hAnsi="Times New Roman"/>
          <w:b w:val="false"/>
          <w:bCs/>
          <w:sz w:val="24"/>
          <w:szCs w:val="24"/>
          <w:u w:val="none"/>
          <w:lang w:eastAsia="pl-PL"/>
        </w:rPr>
        <w:t xml:space="preserve">nie podlega wykluczeniu z postępowania na podstawie </w:t>
      </w:r>
      <w:r>
        <w:rPr>
          <w:rStyle w:val="Markedcontent"/>
          <w:rFonts w:eastAsia="Times New Roman" w:cs="Calibri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art. 7 ust. 1 ustawy z dnia 13 kwietnia 2022r. o szczególnych rozwiązaniach w zakresie przeciwdziałania wspieraniu agresji a Ukrainę oraz służących ochronie bezpieczeństwa  narodowego </w:t>
      </w:r>
      <w:r>
        <w:rPr>
          <w:rStyle w:val="Markedcontent"/>
          <w:rFonts w:eastAsia="Times New Roman" w:cs="Arial" w:ascii="Arial" w:hAnsi="Arial"/>
          <w:b w:val="false"/>
          <w:bCs w:val="false"/>
          <w:color w:val="222222"/>
          <w:sz w:val="21"/>
          <w:szCs w:val="21"/>
          <w:u w:val="none"/>
          <w:lang w:eastAsia="pl-PL"/>
        </w:rPr>
        <w:t xml:space="preserve">(Dz. U. </w:t>
      </w:r>
      <w:r>
        <w:rPr>
          <w:rStyle w:val="Markedcontent"/>
          <w:rFonts w:eastAsia="Times New Roman" w:cs="Arial" w:ascii="Arial" w:hAnsi="Arial"/>
          <w:b w:val="false"/>
          <w:bCs w:val="false"/>
          <w:color w:val="222222"/>
          <w:sz w:val="21"/>
          <w:szCs w:val="21"/>
          <w:u w:val="none"/>
          <w:lang w:eastAsia="pl-PL"/>
        </w:rPr>
        <w:t xml:space="preserve">20224 </w:t>
      </w:r>
      <w:r>
        <w:rPr>
          <w:rStyle w:val="Markedcontent"/>
          <w:rFonts w:eastAsia="Times New Roman" w:cs="Arial" w:ascii="Arial" w:hAnsi="Arial"/>
          <w:b w:val="false"/>
          <w:bCs w:val="false"/>
          <w:color w:val="222222"/>
          <w:sz w:val="21"/>
          <w:szCs w:val="21"/>
          <w:u w:val="none"/>
          <w:lang w:eastAsia="pl-PL"/>
        </w:rPr>
        <w:t xml:space="preserve">poz. </w:t>
      </w:r>
      <w:r>
        <w:rPr>
          <w:rStyle w:val="Markedcontent"/>
          <w:rFonts w:eastAsia="Times New Roman" w:cs="Arial" w:ascii="Arial" w:hAnsi="Arial"/>
          <w:b w:val="false"/>
          <w:bCs w:val="false"/>
          <w:color w:val="222222"/>
          <w:sz w:val="21"/>
          <w:szCs w:val="21"/>
          <w:u w:val="none"/>
          <w:lang w:eastAsia="pl-PL"/>
        </w:rPr>
        <w:t>507</w:t>
      </w:r>
      <w:r>
        <w:rPr>
          <w:rStyle w:val="Markedcontent"/>
          <w:rFonts w:eastAsia="Times New Roman" w:cs="Arial" w:ascii="Arial" w:hAnsi="Arial"/>
          <w:b w:val="false"/>
          <w:bCs w:val="false"/>
          <w:color w:val="222222"/>
          <w:sz w:val="21"/>
          <w:szCs w:val="21"/>
          <w:u w:val="none"/>
          <w:lang w:eastAsia="pl-PL"/>
        </w:rPr>
        <w:t>)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50"/>
        <w:ind w:start="0" w:hanging="0"/>
        <w:jc w:val="both"/>
        <w:outlineLvl w:val="4"/>
        <w:rPr/>
      </w:pPr>
      <w:r>
        <w:rPr>
          <w:rStyle w:val="Domylnaczcionkaakapitu"/>
          <w:rFonts w:eastAsia="Calibri" w:cs="Calibri" w:ascii="Times New Roman" w:hAnsi="Times New Roman"/>
          <w:i w:val="false"/>
          <w:iCs w:val="false"/>
          <w:color w:val="000000"/>
          <w:sz w:val="24"/>
          <w:szCs w:val="24"/>
          <w:u w:val="none"/>
        </w:rPr>
        <w:t xml:space="preserve">Na potwierdzenie Wykonawca złoży oświadczenie według załącznika nr 2 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uto" w:line="276" w:before="0" w:after="150"/>
        <w:ind w:start="0" w:hanging="0"/>
        <w:jc w:val="both"/>
        <w:outlineLvl w:val="4"/>
        <w:rPr>
          <w:rFonts w:ascii="Calibri" w:hAnsi="Calibri" w:eastAsia="Times New Roman" w:cs="Calibri"/>
          <w:b/>
          <w:b/>
          <w:sz w:val="22"/>
          <w:szCs w:val="22"/>
          <w:u w:val="single"/>
        </w:rPr>
      </w:pPr>
      <w:r>
        <w:rPr>
          <w:rStyle w:val="Domylnaczcionkaakapitu"/>
          <w:rFonts w:eastAsia="Times New Roman" w:cs="Calibri" w:ascii="Times New Roman" w:hAnsi="Times New Roman"/>
          <w:b/>
          <w:i w:val="false"/>
          <w:iCs w:val="false"/>
          <w:color w:val="000000"/>
          <w:sz w:val="24"/>
          <w:szCs w:val="24"/>
          <w:u w:val="single"/>
        </w:rPr>
        <w:t>6. Inne istotne warunki</w:t>
      </w:r>
    </w:p>
    <w:p>
      <w:pPr>
        <w:pStyle w:val="Normal"/>
        <w:numPr>
          <w:ilvl w:val="0"/>
          <w:numId w:val="0"/>
        </w:numPr>
        <w:shd w:val="clear" w:fill="FFFFFF"/>
        <w:tabs>
          <w:tab w:val="clear" w:pos="709"/>
          <w:tab w:val="left" w:pos="0" w:leader="none"/>
          <w:tab w:val="left" w:pos="142" w:leader="none"/>
        </w:tabs>
        <w:bidi w:val="0"/>
        <w:spacing w:lineRule="auto" w:line="276"/>
        <w:ind w:start="0" w:end="0" w:hanging="0"/>
        <w:jc w:val="start"/>
        <w:rPr/>
      </w:pPr>
      <w:r>
        <w:rPr>
          <w:rStyle w:val="Domylnaczcionkaakapitu"/>
          <w:rFonts w:eastAsia="Times New Roman" w:cs="Calibri" w:ascii="Times New Roman" w:hAnsi="Times New Roman"/>
          <w:color w:val="000000"/>
          <w:sz w:val="24"/>
          <w:szCs w:val="24"/>
        </w:rPr>
        <w:t>6.1. Komunikacja w postępowaniu o udzielenie zamówienia, w tym ogłoszenie zapytania ofertowego, składanie ofert, wymiana informacji między Zamawiającym a Wykonawcą oraz przekazywanie dokumentów i oświadczeń odbywa się pisemnie za pomocą platformy zakupowej Open Nexus.</w:t>
        <w:br/>
        <w:t xml:space="preserve">6.2. </w:t>
      </w:r>
      <w:r>
        <w:rPr>
          <w:rStyle w:val="Domylnaczcionkaakapitu"/>
          <w:rFonts w:eastAsia="Times New Roman" w:cs="Calibri" w:ascii="Times New Roman" w:hAnsi="Times New Roman"/>
          <w:sz w:val="24"/>
          <w:szCs w:val="24"/>
        </w:rPr>
        <w:t>Zamawiający zastrzega że postępowanie może zakończyć się brakiem wyboru oferty.</w:t>
      </w:r>
    </w:p>
    <w:p>
      <w:pPr>
        <w:pStyle w:val="Normal"/>
        <w:numPr>
          <w:ilvl w:val="0"/>
          <w:numId w:val="0"/>
        </w:numPr>
        <w:shd w:val="clear" w:fill="FFFFFF"/>
        <w:tabs>
          <w:tab w:val="clear" w:pos="709"/>
          <w:tab w:val="left" w:pos="0" w:leader="none"/>
        </w:tabs>
        <w:bidi w:val="0"/>
        <w:spacing w:lineRule="auto" w:line="276"/>
        <w:ind w:start="0" w:end="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6.3. Zamawiający nie dopuszcza składania ofert częściowych.</w:t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spacing w:lineRule="auto" w:line="276"/>
        <w:ind w:end="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12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b/>
          <w:bCs/>
          <w:sz w:val="24"/>
          <w:szCs w:val="24"/>
          <w:u w:val="single"/>
          <w:lang w:eastAsia="pl-PL"/>
        </w:rPr>
        <w:t>7.  Informacje dot. płatności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Zapłata nastąpi przelewem na rachunek bankowy Wykonawcy za pośrednictwem metody podzielonej płatności (MPP, split payment) w terminie 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14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 dni od daty doręczenia Zamawiającemu prawidłowo wystawionej faktury lub rachunku.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Jeżeli wykonawca jest zwolniony z opłat VAT, winien na fakturze lub rachunku umieścić stosowny zapis.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Ponadto w związku z centralizacją VAT Wykonawca wystawi fakturę, na której po stronie Zamawiającego będą widniały dwa podmioty, tj. </w:t>
      </w:r>
    </w:p>
    <w:p>
      <w:pPr>
        <w:pStyle w:val="Normal"/>
        <w:numPr>
          <w:ilvl w:val="0"/>
          <w:numId w:val="0"/>
        </w:numPr>
        <w:shd w:val="clear" w:fill="FFFFFF"/>
        <w:bidi w:val="0"/>
        <w:spacing w:lineRule="atLeast" w:line="311" w:before="0" w:after="0"/>
        <w:ind w:start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nabywca: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>Gmina Starachowice ul. Radomska 45, 27-200 Starachowice NIP 644-19-09-150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  odbiorca: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 xml:space="preserve">Centrum Usług Społecznych w Starachowicach ul. Majówka 21A, 27-200 Starachowice.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8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50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22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94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6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8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10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2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540" w:hanging="18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1500"/>
        </w:tabs>
        <w:ind w:start="15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860"/>
        </w:tabs>
        <w:ind w:start="18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2220"/>
        </w:tabs>
        <w:ind w:start="22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2580"/>
        </w:tabs>
        <w:ind w:start="25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940"/>
        </w:tabs>
        <w:ind w:start="29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3300"/>
        </w:tabs>
        <w:ind w:start="33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3660"/>
        </w:tabs>
        <w:ind w:start="36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4020"/>
        </w:tabs>
        <w:ind w:start="40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4380"/>
        </w:tabs>
        <w:ind w:start="438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1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1" w:hanging="180"/>
      </w:p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Markedcontent">
    <w:name w:val="markedcontent"/>
    <w:basedOn w:val="Domylnaczcionka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start="720" w:end="0" w:hanging="0"/>
    </w:pPr>
    <w:rPr>
      <w:rFonts w:cs="Calibri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pacing w:before="0" w:after="0"/>
      <w:ind w:start="720" w:hanging="0"/>
      <w:contextualSpacing/>
    </w:pPr>
    <w:rPr>
      <w:rFonts w:cs="Mangal"/>
      <w:szCs w:val="21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LibreOffice/7.2.1.2$Windows_X86_64 LibreOffice_project/87b77fad49947c1441b67c559c339af8f3517e22</Application>
  <AppVersion>15.0000</AppVersion>
  <Pages>3</Pages>
  <Words>599</Words>
  <Characters>3829</Characters>
  <CharactersWithSpaces>4428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2024-11-15T10:40:02Z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