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AE6" w:rsidRPr="00D91784" w:rsidRDefault="00073AE6" w:rsidP="00073AE6">
      <w:pPr>
        <w:pStyle w:val="Nagwek"/>
        <w:jc w:val="right"/>
        <w:rPr>
          <w:rFonts w:ascii="Arial" w:hAnsi="Arial" w:cs="Arial"/>
        </w:rPr>
      </w:pPr>
      <w:r w:rsidRPr="00D91784">
        <w:rPr>
          <w:rFonts w:ascii="Arial" w:hAnsi="Arial" w:cs="Arial"/>
        </w:rPr>
        <w:t xml:space="preserve">Załącznik nr </w:t>
      </w:r>
      <w:r w:rsidR="00872B68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do umowy nr ………/202</w:t>
      </w:r>
      <w:r w:rsidR="00315A5A">
        <w:rPr>
          <w:rFonts w:ascii="Arial" w:hAnsi="Arial" w:cs="Arial"/>
        </w:rPr>
        <w:t>5</w:t>
      </w:r>
    </w:p>
    <w:p w:rsidR="00CF092A" w:rsidRDefault="00CF092A" w:rsidP="008D5B0B">
      <w:pPr>
        <w:autoSpaceDE w:val="0"/>
        <w:autoSpaceDN w:val="0"/>
        <w:adjustRightInd w:val="0"/>
        <w:spacing w:line="240" w:lineRule="auto"/>
        <w:ind w:left="4536"/>
        <w:jc w:val="both"/>
        <w:rPr>
          <w:rFonts w:ascii="Arial" w:hAnsi="Arial" w:cs="Arial"/>
          <w:szCs w:val="24"/>
        </w:rPr>
      </w:pPr>
    </w:p>
    <w:p w:rsidR="00073AE6" w:rsidRDefault="00872B68" w:rsidP="00872B68">
      <w:pPr>
        <w:tabs>
          <w:tab w:val="left" w:pos="5952"/>
        </w:tabs>
        <w:autoSpaceDE w:val="0"/>
        <w:autoSpaceDN w:val="0"/>
        <w:adjustRightInd w:val="0"/>
        <w:spacing w:line="240" w:lineRule="auto"/>
        <w:ind w:left="453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bookmarkStart w:id="0" w:name="_GoBack"/>
      <w:bookmarkEnd w:id="0"/>
    </w:p>
    <w:p w:rsidR="00494304" w:rsidRPr="00CF092A" w:rsidRDefault="00494304" w:rsidP="004C643A">
      <w:pPr>
        <w:autoSpaceDE w:val="0"/>
        <w:autoSpaceDN w:val="0"/>
        <w:adjustRightInd w:val="0"/>
        <w:ind w:left="4536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Załącznik do decyzji Nr 145/MON</w:t>
      </w:r>
    </w:p>
    <w:p w:rsidR="00494304" w:rsidRPr="00CF092A" w:rsidRDefault="00494304" w:rsidP="004C643A">
      <w:pPr>
        <w:autoSpaceDE w:val="0"/>
        <w:autoSpaceDN w:val="0"/>
        <w:adjustRightInd w:val="0"/>
        <w:ind w:left="4536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Ministra Obrony Narodowej</w:t>
      </w:r>
    </w:p>
    <w:p w:rsidR="00494304" w:rsidRPr="00CF092A" w:rsidRDefault="00494304" w:rsidP="004C643A">
      <w:pPr>
        <w:autoSpaceDE w:val="0"/>
        <w:autoSpaceDN w:val="0"/>
        <w:adjustRightInd w:val="0"/>
        <w:ind w:left="4536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z dnia 13 lipca 2017 r. (poz. 157)</w:t>
      </w:r>
    </w:p>
    <w:p w:rsidR="00BB0117" w:rsidRPr="00CF092A" w:rsidRDefault="00BB0117" w:rsidP="00CF092A">
      <w:pPr>
        <w:autoSpaceDE w:val="0"/>
        <w:autoSpaceDN w:val="0"/>
        <w:adjustRightInd w:val="0"/>
        <w:spacing w:line="360" w:lineRule="auto"/>
        <w:ind w:left="5103"/>
        <w:jc w:val="both"/>
        <w:rPr>
          <w:rFonts w:ascii="Arial" w:hAnsi="Arial" w:cs="Arial"/>
          <w:szCs w:val="24"/>
        </w:rPr>
      </w:pP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ZASADY POSTĘPOWANIA W KONTAKTACH Z WYKONAWCAMI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1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Postanowienia ogólne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</w:t>
      </w:r>
      <w:r w:rsidRPr="00CF092A">
        <w:rPr>
          <w:rFonts w:ascii="Arial" w:hAnsi="Arial" w:cs="Arial"/>
          <w:szCs w:val="24"/>
        </w:rPr>
        <w:t>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Zasady postępowania w kontaktach z wykonawcami regulują postępowanie</w:t>
      </w:r>
      <w:r w:rsidR="00BB011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pracowników i żołnierzy komórek organizacyjnych Ministerstwa Obrony Narodowej,</w:t>
      </w:r>
      <w:r w:rsidR="00BB011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zwanych dalej „komórkami”, oraz jednostek organizacyjnych podległych Ministrowi</w:t>
      </w:r>
      <w:r w:rsidR="00BB011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Obrony Narodowej l</w:t>
      </w:r>
      <w:r w:rsidR="005C0936">
        <w:rPr>
          <w:rFonts w:ascii="Arial" w:hAnsi="Arial" w:cs="Arial"/>
          <w:szCs w:val="24"/>
        </w:rPr>
        <w:t>ub przez niego nadzorowanych, z </w:t>
      </w:r>
      <w:r w:rsidRPr="00CF092A">
        <w:rPr>
          <w:rFonts w:ascii="Arial" w:hAnsi="Arial" w:cs="Arial"/>
          <w:szCs w:val="24"/>
        </w:rPr>
        <w:t>wyłączeniem spółek dla których</w:t>
      </w:r>
      <w:r w:rsidR="00BB011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Minister Obrony Narodowej wykonuje uprawnienia majątkowe przysługujące Skarbowi</w:t>
      </w:r>
      <w:r w:rsidR="00BB011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Państwa z tytułu należących do Skarbu Państwa akcji lub udziałów w tych spółkach,</w:t>
      </w:r>
      <w:r w:rsidR="00F950E0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zwanych dalej "jednostkami organizacyjnymi", oraz osób fizycznych świadczących pracę</w:t>
      </w:r>
      <w:r w:rsidR="00F950E0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na podstawie umów cywilnoprawnych w Ministerstwie Obrony Narodowej lub</w:t>
      </w:r>
      <w:r w:rsidR="00F950E0" w:rsidRPr="00CF092A">
        <w:rPr>
          <w:rFonts w:ascii="Arial" w:hAnsi="Arial" w:cs="Arial"/>
          <w:szCs w:val="24"/>
        </w:rPr>
        <w:t xml:space="preserve"> w </w:t>
      </w:r>
      <w:r w:rsidRPr="00CF092A">
        <w:rPr>
          <w:rFonts w:ascii="Arial" w:hAnsi="Arial" w:cs="Arial"/>
          <w:szCs w:val="24"/>
        </w:rPr>
        <w:t>jednostkach organizacyjnych – w stosunku do osób prawnych, osób fizycznych oraz</w:t>
      </w:r>
      <w:r w:rsidR="00F950E0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jednostek organizacyjnych niebędących osobami prawnymi, którym ustawa przyznaje</w:t>
      </w:r>
      <w:r w:rsidR="00F950E0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zdolność prawną:</w:t>
      </w:r>
    </w:p>
    <w:p w:rsidR="00F950E0" w:rsidRPr="00CF092A" w:rsidRDefault="00494304" w:rsidP="00CF092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wykonujących na rzecz Skarbu Państwa lub państwowej osoby prawnej odpłatne</w:t>
      </w:r>
      <w:r w:rsidR="00F950E0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umowy, w szczególności na dostawy, świadczenie usług lub roboty budowlane;</w:t>
      </w:r>
      <w:r w:rsidR="00F950E0" w:rsidRPr="00CF092A">
        <w:rPr>
          <w:rFonts w:ascii="Arial" w:hAnsi="Arial" w:cs="Arial"/>
          <w:szCs w:val="24"/>
        </w:rPr>
        <w:t xml:space="preserve">  </w:t>
      </w:r>
    </w:p>
    <w:p w:rsidR="00494304" w:rsidRPr="00CF092A" w:rsidRDefault="00494304" w:rsidP="00CF092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które z racji zakresu prowadzonej działalności mogą starać się o zawarcie umów,</w:t>
      </w:r>
      <w:r w:rsidR="00F950E0" w:rsidRPr="00CF092A">
        <w:rPr>
          <w:rFonts w:ascii="Arial" w:hAnsi="Arial" w:cs="Arial"/>
          <w:szCs w:val="24"/>
        </w:rPr>
        <w:t xml:space="preserve"> o </w:t>
      </w:r>
      <w:r w:rsidRPr="00CF092A">
        <w:rPr>
          <w:rFonts w:ascii="Arial" w:hAnsi="Arial" w:cs="Arial"/>
          <w:szCs w:val="24"/>
        </w:rPr>
        <w:t>których mowa w pkt 1;</w:t>
      </w:r>
    </w:p>
    <w:p w:rsidR="00494304" w:rsidRPr="00CF092A" w:rsidRDefault="00494304" w:rsidP="00CF092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które działają w imieniu lub na rzecz podmiotów wskazanych w pkt 1 lub 2, zwanych</w:t>
      </w:r>
      <w:r w:rsidR="008D5B0B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dalej "wykonawcami".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2.</w:t>
      </w:r>
    </w:p>
    <w:p w:rsidR="00494304" w:rsidRDefault="00494304" w:rsidP="00CF092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 kontaktach z wykonawcami należy zachować świadomość, że mogą oni</w:t>
      </w:r>
      <w:r w:rsidR="008D5B0B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stosować działania mające na celu zapewnienie im przychylności, skutkujące</w:t>
      </w:r>
      <w:r w:rsidR="008D5B0B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naruszeniem zasady bezstronności, równego traktowania lub uczciwej konkurencji</w:t>
      </w:r>
      <w:r w:rsidR="008D5B0B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(reguła wzajemności).</w:t>
      </w:r>
    </w:p>
    <w:p w:rsidR="00073AE6" w:rsidRPr="00CF092A" w:rsidRDefault="00073AE6" w:rsidP="00CF092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Cs w:val="24"/>
        </w:rPr>
      </w:pP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lastRenderedPageBreak/>
        <w:t>§ 3.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 kontaktach z wykonawcami należy kierować się zasadami: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godności i honoru;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zdrowego rozsądku i umiaru;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ochrony dobrego imienia Ministerstwa Obrony Narodowej i Sił Zbrojnych</w:t>
      </w:r>
      <w:r w:rsidR="0005185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Rzeczypospolitej Polskiej;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pierwszeństwa interesów Ministerstwa Obrony Narodowej i Sił Zbrojnych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Rzeczypospolitej Polskiej;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unikania sytuacji, które mogłyby wywoływać powstanie długu materialnego lub</w:t>
      </w:r>
      <w:r w:rsidR="0005185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honorowego albo poczucia wdzięczności;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bezstronności oraz unikania zachowań faworyzujących konkretnego wykonawcę</w:t>
      </w:r>
      <w:r w:rsidR="0005185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stosunku do jego konkurencji.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2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Rozliczanie kosztów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4.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Przy rozliczaniu kosztów poniesionych w związku z bezpośrednimi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kontaktami z wykonawcami należy przyjąć zasadę "każdy płaci za siebie",</w:t>
      </w:r>
      <w:r w:rsidR="00CE69BF" w:rsidRPr="00CF092A">
        <w:rPr>
          <w:rFonts w:ascii="Arial" w:hAnsi="Arial" w:cs="Arial"/>
          <w:szCs w:val="24"/>
        </w:rPr>
        <w:t xml:space="preserve"> w </w:t>
      </w:r>
      <w:r w:rsidRPr="00CF092A">
        <w:rPr>
          <w:rFonts w:ascii="Arial" w:hAnsi="Arial" w:cs="Arial"/>
          <w:szCs w:val="24"/>
        </w:rPr>
        <w:t>szczególności:</w:t>
      </w:r>
    </w:p>
    <w:p w:rsidR="00494304" w:rsidRPr="00CF092A" w:rsidRDefault="00494304" w:rsidP="00CF092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koszty podróży służbowych, w tym koszty dojazdów, wyżywienia i noclegów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pokrywa się wyłącznie z budżetu, którego dysponentem jest Minister Obrony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Narodowej;</w:t>
      </w:r>
    </w:p>
    <w:p w:rsidR="00494304" w:rsidRPr="00CF092A" w:rsidRDefault="00494304" w:rsidP="00CF092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 restauracjach i innych miejscach wspólnego przebywania rachunki należy opłacać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 własnych środków w ramach późniejszego rozliczenia służbowego, lub ze środków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pochodzących z budżetu, którego dysponentem jest Minister Obrony Narodowej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(karty płatnicze).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Niedopuszczalne jest korzystanie z fundowanego przez wykonawców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wyżywienia, transportu, ani z pokrywa</w:t>
      </w:r>
      <w:r w:rsidR="00CE69BF" w:rsidRPr="00CF092A">
        <w:rPr>
          <w:rFonts w:ascii="Arial" w:hAnsi="Arial" w:cs="Arial"/>
          <w:szCs w:val="24"/>
        </w:rPr>
        <w:t>nia przez nich innych kosztów i </w:t>
      </w:r>
      <w:r w:rsidRPr="00CF092A">
        <w:rPr>
          <w:rFonts w:ascii="Arial" w:hAnsi="Arial" w:cs="Arial"/>
          <w:szCs w:val="24"/>
        </w:rPr>
        <w:t>zobowiązań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 wyjątkiem:</w:t>
      </w:r>
    </w:p>
    <w:p w:rsidR="00494304" w:rsidRPr="00CF092A" w:rsidRDefault="00494304" w:rsidP="00CF092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drobnych poczęstunków serwowanych w trakcie podróży służbowych;</w:t>
      </w:r>
    </w:p>
    <w:p w:rsidR="00494304" w:rsidRDefault="00494304" w:rsidP="00CF092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transportu związanego z wykonywaniem zadań w ramach podróży służbowych.</w:t>
      </w:r>
    </w:p>
    <w:p w:rsidR="00B651C9" w:rsidRDefault="00B651C9">
      <w:pPr>
        <w:spacing w:after="20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lastRenderedPageBreak/>
        <w:t>Rozdział 3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Przedsięwzięcia i spotkania z udziałem wykonawców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5.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Dopuszczalne są przedsięwzięcia związane z zawarciem lub realizacją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umowy, organizowane wspólnie przez komórki lub jednostki organizacyjne oraz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wykonawców.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Dopuszczalne jest udzielanie pomocy krajowym przedsiębiorstwom sektora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obronnego w przedsięwzięciach promocyjnych skierowanych na rynki zagraniczne, w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tym w ramach międzynarodowych targów, pokaz</w:t>
      </w:r>
      <w:r w:rsidR="000E078A" w:rsidRPr="00CF092A">
        <w:rPr>
          <w:rFonts w:ascii="Arial" w:hAnsi="Arial" w:cs="Arial"/>
          <w:szCs w:val="24"/>
        </w:rPr>
        <w:t>ów, wystaw i konferencji o </w:t>
      </w:r>
      <w:r w:rsidRPr="00CF092A">
        <w:rPr>
          <w:rFonts w:ascii="Arial" w:hAnsi="Arial" w:cs="Arial"/>
          <w:szCs w:val="24"/>
        </w:rPr>
        <w:t>tematyce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obronnej, w szczególności w postaci wystawiania referencji dla sprzętu będącego na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wyposażeniu Sił Zbrojnych Rzeczypospolitej Polskiej oraz udostępniania informacji i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materiałów będących w posiadaniu resortu obrony narodowej, a stanowiących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informację publiczną lub informację przetworzoną w rozumieniu przepisów o dostępie do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informacji publicznej.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Dopuszczalny jest udział w posiedzeniach i konferencjach organizowanych lub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współorganizowanych przez organizacje międzynarodowe, których członkiem jest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Rzeczpospolita Polska, a w szczególności przez Organizację Traktatu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Północnoatlantyckiego lub Unię</w:t>
      </w:r>
      <w:r w:rsidR="000E078A" w:rsidRPr="00CF092A">
        <w:rPr>
          <w:rFonts w:ascii="Arial" w:hAnsi="Arial" w:cs="Arial"/>
          <w:szCs w:val="24"/>
        </w:rPr>
        <w:t xml:space="preserve"> Europejską, odbywających się z </w:t>
      </w:r>
      <w:r w:rsidRPr="00CF092A">
        <w:rPr>
          <w:rFonts w:ascii="Arial" w:hAnsi="Arial" w:cs="Arial"/>
          <w:szCs w:val="24"/>
        </w:rPr>
        <w:t>udziałem wykonawców,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a także w przedsięwzięciach realizowanych przez komórki lub jednostki organizacyjne,</w:t>
      </w:r>
      <w:r w:rsidR="000E078A" w:rsidRPr="00CF092A">
        <w:rPr>
          <w:rFonts w:ascii="Arial" w:hAnsi="Arial" w:cs="Arial"/>
          <w:szCs w:val="24"/>
        </w:rPr>
        <w:t xml:space="preserve"> </w:t>
      </w:r>
      <w:r w:rsidR="00C2514E" w:rsidRPr="00CF092A">
        <w:rPr>
          <w:rFonts w:ascii="Arial" w:hAnsi="Arial" w:cs="Arial"/>
          <w:szCs w:val="24"/>
        </w:rPr>
        <w:t>które wynikają z </w:t>
      </w:r>
      <w:r w:rsidRPr="00CF092A">
        <w:rPr>
          <w:rFonts w:ascii="Arial" w:hAnsi="Arial" w:cs="Arial"/>
          <w:szCs w:val="24"/>
        </w:rPr>
        <w:t>zaakceptowanego rocznego planu współpracy międzynarodowej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resortu obrony narodowej.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4. Zaangażowanie w inne niż wymienio</w:t>
      </w:r>
      <w:r w:rsidR="000E078A" w:rsidRPr="00CF092A">
        <w:rPr>
          <w:rFonts w:ascii="Arial" w:hAnsi="Arial" w:cs="Arial"/>
          <w:szCs w:val="24"/>
        </w:rPr>
        <w:t>ne w ust. 1-3 przedsięwzięcia z </w:t>
      </w:r>
      <w:r w:rsidRPr="00CF092A">
        <w:rPr>
          <w:rFonts w:ascii="Arial" w:hAnsi="Arial" w:cs="Arial"/>
          <w:szCs w:val="24"/>
        </w:rPr>
        <w:t>udziałem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 xml:space="preserve">wykonawców, w tym w szczególności konferencje, seminaria, sympozja </w:t>
      </w:r>
      <w:r w:rsidR="000E078A" w:rsidRPr="00CF092A">
        <w:rPr>
          <w:rFonts w:ascii="Arial" w:hAnsi="Arial" w:cs="Arial"/>
          <w:szCs w:val="24"/>
        </w:rPr>
        <w:t>–</w:t>
      </w:r>
      <w:r w:rsidRPr="00CF092A">
        <w:rPr>
          <w:rFonts w:ascii="Arial" w:hAnsi="Arial" w:cs="Arial"/>
          <w:szCs w:val="24"/>
        </w:rPr>
        <w:t xml:space="preserve"> dopuszczalne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jest wyłącznie po uzyskaniu od organizatora informacji zgodnej z wzorem zapytania,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zawartym w załączniku Nr 1 do Zasad postępowania w kontaktach z wykonawcami oraz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udzieleniu pisemnej zgody dyrektora (szefa, komendanta, kierownika, dowódcy,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prezesa) komórki lub jednostki organizacyjnej na uczestnictwo w takim przedsięwzięciu.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przypadku chęci uczestnictwa dyrektora (szefa, komendanta, kierownika, dowódcy,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prezesa) w przedsięwzięciu z udziałem wykonawców, pisemną zgodę wydaje jego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bezpośredni przełożony.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5. Obowiązki, o których mowa w ust. 4, nie dotyczą przypadku, gdy organizatorem,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lub współorganizatorem przedsięwzięcia jest Ministerstwo Obrony Narodowej lub inne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instytucje krajowej administracji rządowej.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szCs w:val="24"/>
        </w:rPr>
      </w:pPr>
      <w:r w:rsidRPr="00CF092A">
        <w:rPr>
          <w:rFonts w:ascii="Arial" w:hAnsi="Arial" w:cs="Arial"/>
          <w:b/>
          <w:bCs/>
          <w:szCs w:val="24"/>
        </w:rPr>
        <w:lastRenderedPageBreak/>
        <w:t>§ 6</w:t>
      </w:r>
      <w:r w:rsidRPr="00CF092A">
        <w:rPr>
          <w:rFonts w:ascii="Arial" w:hAnsi="Arial" w:cs="Arial"/>
          <w:szCs w:val="24"/>
        </w:rPr>
        <w:t>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Wszelkie spotkania z wykonawcami, jeżeli nie mają charakteru:</w:t>
      </w:r>
    </w:p>
    <w:p w:rsidR="00494304" w:rsidRPr="00CF092A" w:rsidRDefault="00494304" w:rsidP="00CF09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przedsięwzięć wymienionych w § 5 ust. 1-3, lub</w:t>
      </w:r>
    </w:p>
    <w:p w:rsidR="00494304" w:rsidRPr="00CF092A" w:rsidRDefault="00494304" w:rsidP="00CF09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konferencji, seminariów lub sympozjów wymienionych w § 5 ust. 4 i 5, lub</w:t>
      </w:r>
    </w:p>
    <w:p w:rsidR="00494304" w:rsidRPr="00CF092A" w:rsidRDefault="00494304" w:rsidP="00CF09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spotkań towarzyskich, odbywających się poza godzinami pracy, podczas których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nie poruszano żadnych kwestii służbowych, lub</w:t>
      </w:r>
    </w:p>
    <w:p w:rsidR="00494304" w:rsidRPr="00CF092A" w:rsidRDefault="00494304" w:rsidP="00CF09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spotkań o charakterze jedynie organizacyjno-porządkowym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– powinny odbywać się przy udziale co najmniej dwóch osób będących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przedstawicielami komórek lub jednostek organizacyjnych (zasada „wielu par oczu”), w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przeciwnym wypadku całość spotkania powinna zostać utrwalona za pomocą urządzeń i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środków technicznych służących do utrwalania dźwięku albo obrazu i dźwięku.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Utrwalenie przebiegu spotkania z w</w:t>
      </w:r>
      <w:r w:rsidR="00477C86" w:rsidRPr="00CF092A">
        <w:rPr>
          <w:rFonts w:ascii="Arial" w:hAnsi="Arial" w:cs="Arial"/>
          <w:szCs w:val="24"/>
        </w:rPr>
        <w:t>ykonawcami za pomocą urządzeń i </w:t>
      </w:r>
      <w:r w:rsidRPr="00CF092A">
        <w:rPr>
          <w:rFonts w:ascii="Arial" w:hAnsi="Arial" w:cs="Arial"/>
          <w:szCs w:val="24"/>
        </w:rPr>
        <w:t>środków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technicznych służących do utrwalania dźwięku albo obrazu i dźwięku, zwane dalej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„zapisem”, następuje po uprzednim uzyskaniu zgody wykonawcy na taki sposób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utrwalenia przebiegu spotkania.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Niedopuszczalne jest kontynuowanie spotkania z wykonawcą, który nie wyraził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zgody na utrwalenie jego przebiegu, przy jednoczesnym braku możliwości zapewnienia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udziału dwóch os</w:t>
      </w:r>
      <w:r w:rsidR="00477C86" w:rsidRPr="00CF092A">
        <w:rPr>
          <w:rFonts w:ascii="Arial" w:hAnsi="Arial" w:cs="Arial"/>
          <w:szCs w:val="24"/>
        </w:rPr>
        <w:t>ób w spotkaniu, o którym mowa w </w:t>
      </w:r>
      <w:r w:rsidRPr="00CF092A">
        <w:rPr>
          <w:rFonts w:ascii="Arial" w:hAnsi="Arial" w:cs="Arial"/>
          <w:szCs w:val="24"/>
        </w:rPr>
        <w:t>ust. 1.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4. Zapis następuje za pomocą urządzeń i środków technicznych wykorzystujących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technikę cyfrową, zapewniającą: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integralność zapisu;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kopiowanie zapisu pomiędzy urządzeniami, środkami technicznymi i</w:t>
      </w:r>
      <w:r w:rsidR="00477C86" w:rsidRPr="00CF092A">
        <w:rPr>
          <w:rFonts w:ascii="Arial" w:hAnsi="Arial" w:cs="Arial"/>
          <w:szCs w:val="24"/>
        </w:rPr>
        <w:t> </w:t>
      </w:r>
      <w:r w:rsidRPr="00CF092A">
        <w:rPr>
          <w:rFonts w:ascii="Arial" w:hAnsi="Arial" w:cs="Arial"/>
          <w:szCs w:val="24"/>
        </w:rPr>
        <w:t>informatycznymi nośnikami danych;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zabezpieczenie zapisu, w szczególności przed utratą lub nieuzasadnioną zmianą;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odtworzenie zapisu także przy użyciu urządzeń i środków technicznych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korygujących lub wzmacniających utrwalony dźwięk lub obraz;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udostępnienie zapisu na informatycznym nośniku danych;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możliwość bieżącej kontroli dokonywanego zapisu.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5. Informatyczne nośniki danych na których dokonano zapisu podlegają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zdeponowaniu w kancelarii komórki lub jednostki organizacyjnej, której pracownik lub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żołnierz brał udział w spotkaniu z wykonawcą, gdzie następnie są archiwizowane przez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okres 3 lat.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lastRenderedPageBreak/>
        <w:t>Rozdział 4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Sponsorowanie przedsięwzięć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7.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Z zastrzeżeniem § 5 ust. 1-3, niedopuszczalne jest, aby przedsięwzięcia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organizowane lub współorganizowane przez komórki lub jednostki organizacyjne były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finansowane, współfinansowane lub w inny sposób materialnie wspierane przez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wykonawców, chyba że jest to związane bezpośrednio z koniecznością pokrycia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kosztów wynikających z uczestnictwa wykonawcy w danym przedsięwzięciu.</w:t>
      </w:r>
      <w:r w:rsidR="00477C86" w:rsidRPr="00CF092A">
        <w:rPr>
          <w:rFonts w:ascii="Arial" w:hAnsi="Arial" w:cs="Arial"/>
          <w:szCs w:val="24"/>
        </w:rPr>
        <w:t xml:space="preserve"> 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5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Prezenty, materiały promocyjne i informacyjne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8.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Niedopuszczalne jest przyjmo</w:t>
      </w:r>
      <w:r w:rsidR="00477C86" w:rsidRPr="00CF092A">
        <w:rPr>
          <w:rFonts w:ascii="Arial" w:hAnsi="Arial" w:cs="Arial"/>
          <w:szCs w:val="24"/>
        </w:rPr>
        <w:t>wanie od wykonawców prezentów w </w:t>
      </w:r>
      <w:r w:rsidRPr="00CF092A">
        <w:rPr>
          <w:rFonts w:ascii="Arial" w:hAnsi="Arial" w:cs="Arial"/>
          <w:szCs w:val="24"/>
        </w:rPr>
        <w:t>postaci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jakichkolwiek korzyści majątkowych lub osobistych.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Dopuszczalne jest przyjmowanie materiałów promocyjnych o znikomej wartości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handlowej.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Dopuszczalne i zalecane jest przyjmowanie materiałów informacyjnych.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4. Dopuszcza się eksponowanie w salach konferencyjnych oraz w innych miejscach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powszechnie dostępnych na terenie komórek i jednostek organizacyjnych otrzymanych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od wykonawców materiałów promujących Siły Zbrojne Rzeczypospolitej Polskiej.</w:t>
      </w:r>
    </w:p>
    <w:p w:rsidR="00494304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5. Niewskazane jest używanie na terenie komórek i jednostek organizacyjnych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materiałów i oznaczeń promujących wykonawców, w tym także materiałów biurowych.</w:t>
      </w:r>
    </w:p>
    <w:p w:rsidR="004C643A" w:rsidRDefault="004C643A">
      <w:pPr>
        <w:spacing w:after="20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lastRenderedPageBreak/>
        <w:t>Rozdział 6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Kontakty towarzyskie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 xml:space="preserve">§ 9. 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szCs w:val="24"/>
        </w:rPr>
        <w:t>1. Kontakty towarzyskie z wykonawcami, nawiązane zanim powstały relacje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wynikające z wykonywanych obowiązków mogą być kontynuowane, przy zachowaniu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zasad określonych w § 3 niniejszego załącznika.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W przypadkach innych niż określone w ust. 1, nie zaleca się nawiązywania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kontaktów towarzyskich z wykonawcami.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7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Najem i użyczanie lokali oraz terenów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10.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Dopuszczalne jest wynajmowanie lub użyczanie wykonawcom lokali i terenów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resortu obrony narodowej w celu:</w:t>
      </w:r>
    </w:p>
    <w:p w:rsidR="00494304" w:rsidRPr="00CF092A" w:rsidRDefault="00494304" w:rsidP="00CF092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przeprowadzenia prezentacji lub pokazów na rzecz komórek lub jednostek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organizacyjnych;</w:t>
      </w:r>
    </w:p>
    <w:p w:rsidR="00494304" w:rsidRPr="00CF092A" w:rsidRDefault="00494304" w:rsidP="00CF092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przeprowadzenia prezentacji lub pokazów organizowanych przez krajowe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przedsiębiorstwa sektora obronnego dla odbiorców zagranicznych;</w:t>
      </w:r>
    </w:p>
    <w:p w:rsidR="00494304" w:rsidRPr="00CF092A" w:rsidRDefault="00494304" w:rsidP="00CF092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realizowania zadań przez Agencję Mi</w:t>
      </w:r>
      <w:r w:rsidR="00006DF1" w:rsidRPr="00CF092A">
        <w:rPr>
          <w:rFonts w:ascii="Arial" w:hAnsi="Arial" w:cs="Arial"/>
          <w:szCs w:val="24"/>
        </w:rPr>
        <w:t>enia Wojskowego, wynikających z </w:t>
      </w:r>
      <w:r w:rsidRPr="00CF092A">
        <w:rPr>
          <w:rFonts w:ascii="Arial" w:hAnsi="Arial" w:cs="Arial"/>
          <w:szCs w:val="24"/>
        </w:rPr>
        <w:t>odrębnych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przepisów.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8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Prezentacje, pokazy i referencje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11.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Działania informacyjne, z wyłączeniem oficjalnej korespondencji</w:t>
      </w:r>
      <w:r w:rsidR="00AC2BD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dokonywanej w formie pisemnej lub realizowanej przy pomocy faksu albo służbowej</w:t>
      </w:r>
      <w:r w:rsidR="00AC2BD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poczty elektronicznej, powinny być przeprowadzane przez wykonawców w formie</w:t>
      </w:r>
      <w:r w:rsidR="00AC2BD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oficjalnych prezentacji lub pokazów.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Wskazane jest, aby prezentacje lub pokazy odbywały się na terenie komórek</w:t>
      </w:r>
      <w:r w:rsidR="00AC2BD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i jednostek organizacyjnych lub podczas targów.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W przypadku, gdyby koszty prezentacji lub pokazu były zbyt wysokie dla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wykonawcy, bądź też gdyby prezentacja lub pokaz były ze względów technicznych lub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organizacyjnych znacznym utrudnieniem, dopuszczalne jest ich przeprowadzenie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 wykonawcy na rzecz oficjalnej delegacji komórek lub jednostek organizacyjnych.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lastRenderedPageBreak/>
        <w:t>4. Niedopuszczalne jest obciążanie Skarbu Państwa – Ministra Obrony Narodowej,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lub państwowej osoby prawnej kosztami organizowanych prezentacji lub pokazów,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 wyłączeniem o</w:t>
      </w:r>
      <w:r w:rsidR="00395A78" w:rsidRPr="00CF092A">
        <w:rPr>
          <w:rFonts w:ascii="Arial" w:hAnsi="Arial" w:cs="Arial"/>
          <w:szCs w:val="24"/>
        </w:rPr>
        <w:t>płat z tytułu zużytych mediów i </w:t>
      </w:r>
      <w:r w:rsidRPr="00CF092A">
        <w:rPr>
          <w:rFonts w:ascii="Arial" w:hAnsi="Arial" w:cs="Arial"/>
          <w:szCs w:val="24"/>
        </w:rPr>
        <w:t>wstawek konferencyjnych.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5. W celu zbierania niezbędnych doświadczeń i informacji dyrektorzy (szefowie,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komendanci, kierownicy, dowódcy, prezesi) komórek i jednostek organizacyjnych mogą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za pisemną zgodą bezpośredniego przełożonego organizować prezentacje i pokazy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 udziałem wykonawców.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6. Dyrektor (szef, komendant, kierownik, dowódca, prezes) komórki lub jednostki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organizacyjnej odpowiedzialnej za</w:t>
      </w:r>
      <w:r w:rsidR="00395A78" w:rsidRPr="00CF092A">
        <w:rPr>
          <w:rFonts w:ascii="Arial" w:hAnsi="Arial" w:cs="Arial"/>
          <w:szCs w:val="24"/>
        </w:rPr>
        <w:t xml:space="preserve"> organizację przedsięwzięcia, o </w:t>
      </w:r>
      <w:r w:rsidRPr="00CF092A">
        <w:rPr>
          <w:rFonts w:ascii="Arial" w:hAnsi="Arial" w:cs="Arial"/>
          <w:szCs w:val="24"/>
        </w:rPr>
        <w:t>którym mowa w ust.</w:t>
      </w:r>
      <w:r w:rsidR="003624ED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5, dotyczącego sprzętu wojskowego, w terminie 14 dni od dnia jego zakończenia,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przekazuje Dyrektorowi Departamentu Polityki Zbrojeniowej notatkę o tym wydarzeniu,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zgodnie ze wzorem stanowiącym załącznik Nr 2 do Zasad postępowania w kontaktach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 wykonawcami.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7. Wskazane jest zamieszczanie przez komórki i jednostki organizacyjne</w:t>
      </w:r>
      <w:r w:rsidR="00395A78" w:rsidRPr="00CF092A">
        <w:rPr>
          <w:rFonts w:ascii="Arial" w:hAnsi="Arial" w:cs="Arial"/>
          <w:szCs w:val="24"/>
        </w:rPr>
        <w:t xml:space="preserve"> z </w:t>
      </w:r>
      <w:r w:rsidRPr="00CF092A">
        <w:rPr>
          <w:rFonts w:ascii="Arial" w:hAnsi="Arial" w:cs="Arial"/>
          <w:szCs w:val="24"/>
        </w:rPr>
        <w:t>odpowiednim wyprzedzeniem na własnych stronach internetowych informacji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 zamiarze organizacji lub możliwości przeprowadzenia prezentacji lub pokazu,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dotyczącego konkretnych grup asortymentowych sprzętu lub usług, w celu umożliwienia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jak największej grupie wykonawc</w:t>
      </w:r>
      <w:r w:rsidR="00395A78" w:rsidRPr="00CF092A">
        <w:rPr>
          <w:rFonts w:ascii="Arial" w:hAnsi="Arial" w:cs="Arial"/>
          <w:szCs w:val="24"/>
        </w:rPr>
        <w:t>ów zgłoszenia swojego udziału w </w:t>
      </w:r>
      <w:r w:rsidRPr="00CF092A">
        <w:rPr>
          <w:rFonts w:ascii="Arial" w:hAnsi="Arial" w:cs="Arial"/>
          <w:szCs w:val="24"/>
        </w:rPr>
        <w:t>tego typu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wydarzeniach.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12.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Dopuszczalne jest udzielenie wykonawcy pozytywnych referencji</w:t>
      </w:r>
      <w:r w:rsidR="00E6504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(poświadczenia) w związku z należytym wykonaniem przez niego umowy.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Referencji, o których mowa w ust. 1, udziela w formie pisemnej zamawiający po</w:t>
      </w:r>
      <w:r w:rsidR="00E6504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uprzednim ustaleniu należytego wykonania umowy.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Niedopuszczalne jest udzielanie referencji, o których mowa w ust. 1,</w:t>
      </w:r>
      <w:r w:rsidR="00E6504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wykonawcom, w stosunku do których zamawiający uprawniony jest do zgłoszenia</w:t>
      </w:r>
      <w:r w:rsidR="00E6504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roszczeń z tytułu niewykonania lub nienależytego wykonania umowy, której mają</w:t>
      </w:r>
      <w:r w:rsidR="00E6504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dotyczyć referencje.</w:t>
      </w:r>
    </w:p>
    <w:p w:rsidR="00E65047" w:rsidRPr="00CF092A" w:rsidRDefault="00E65047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Cs w:val="24"/>
        </w:rPr>
      </w:pPr>
    </w:p>
    <w:p w:rsidR="00CF092A" w:rsidRDefault="00CF092A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9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Faworyzowanie i konflikt interesów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13.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lastRenderedPageBreak/>
        <w:t>1. Niedopuszczalne jest faworyzowanie wykonawcy, polegające</w:t>
      </w:r>
      <w:r w:rsidR="00E65047" w:rsidRPr="00CF092A">
        <w:rPr>
          <w:rFonts w:ascii="Arial" w:hAnsi="Arial" w:cs="Arial"/>
          <w:szCs w:val="24"/>
        </w:rPr>
        <w:t xml:space="preserve"> w </w:t>
      </w:r>
      <w:r w:rsidRPr="00CF092A">
        <w:rPr>
          <w:rFonts w:ascii="Arial" w:hAnsi="Arial" w:cs="Arial"/>
          <w:szCs w:val="24"/>
        </w:rPr>
        <w:t>szczególności na:</w:t>
      </w:r>
    </w:p>
    <w:p w:rsidR="00494304" w:rsidRPr="00CF092A" w:rsidRDefault="00494304" w:rsidP="00CF09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wcześniejszym udzielaniu mu informacji,</w:t>
      </w:r>
    </w:p>
    <w:p w:rsidR="00494304" w:rsidRPr="00CF092A" w:rsidRDefault="00494304" w:rsidP="00CF09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nieuzasadnionym ograniczeniu innym wykonawcom dostępu do informacji</w:t>
      </w:r>
      <w:r w:rsidR="00EB4C73" w:rsidRPr="00CF092A">
        <w:rPr>
          <w:rFonts w:ascii="Arial" w:hAnsi="Arial" w:cs="Arial"/>
          <w:szCs w:val="24"/>
        </w:rPr>
        <w:br/>
      </w:r>
      <w:r w:rsidR="00E65047" w:rsidRPr="00CF092A">
        <w:rPr>
          <w:rFonts w:ascii="Arial" w:hAnsi="Arial" w:cs="Arial"/>
          <w:szCs w:val="24"/>
        </w:rPr>
        <w:t>– </w:t>
      </w:r>
      <w:r w:rsidRPr="00CF092A">
        <w:rPr>
          <w:rFonts w:ascii="Arial" w:hAnsi="Arial" w:cs="Arial"/>
          <w:szCs w:val="24"/>
        </w:rPr>
        <w:t>które może stawiać go w uprzywilejowanej pozycji w stosunku do innych</w:t>
      </w:r>
      <w:r w:rsidR="00EB4C73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wykonawców.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Wskazane jest, aby pracownicy i żołnierze komórek i jednostek organizacyjnych</w:t>
      </w:r>
      <w:r w:rsidR="00EB4C73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oraz osoby fizyczne świadczące pracę na podstawie umów cywilnoprawnych</w:t>
      </w:r>
      <w:r w:rsidR="00EB4C73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Ministerstwie Obrony Narodowej lub w jednostkach organizacyjnych, informowali</w:t>
      </w:r>
      <w:r w:rsidR="00EB4C73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odpowiednio bezpośrednich przełożonych lub zamawiających o relacjach prawnych lub</w:t>
      </w:r>
      <w:r w:rsidR="00EB4C73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faktycznych, w których ich interes prywatny (osobisty lub majątkowy), wynikający</w:t>
      </w:r>
      <w:r w:rsidR="00EB4C73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 powiązań z konkretnym wykonawcą, wpływa, bądź może wpływać na obiektywne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i bezstronne wykonywanie powierzonych obowiązków (realny bądź potencjalny konflikt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interesów) lub też może być on postrzegany przez opinię publiczną jako znajdujący się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konflikcie z obiektywnym i bezstronnym wykonywaniem realizowanych przez nich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obowiązków (postrzegalny konflikt interesów).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Przez konflikt interesów należy rozumieć, w szczególności posiadanie powiązań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 charakterze finansowym, rodzinnym lub towarzyskim z wykonawcą.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4. Dyrektor (szef, komendant, kierownik, dowódca, prezes) komórki lub jednostki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organizacyjnej dysponujący wiarygodną informacją o realnym, potencjalnym lub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postrzegalnym konflikcie interesów podległego mu pracownika lub żołnierza komórki lub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jednostki organizacyjnej, bądź osoby fizycznej świadczącej pracę na podstawie umów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cywilnoprawnych w Ministerstwie Obrony Narodowej lub w jednostkach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organizacyjnych, rozstrzyga niezwłocznie o potrzebie podjęcia czynności zaradczych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celu wyeliminowania lub ograniczenia możliwości zaistnienia konfliktu interesów.</w:t>
      </w:r>
    </w:p>
    <w:p w:rsidR="003E6798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5. Czynnością zaradczą, o której mowa w ust. 4, może być w szczególności:</w:t>
      </w:r>
    </w:p>
    <w:p w:rsidR="00494304" w:rsidRPr="00CF092A" w:rsidRDefault="00494304" w:rsidP="00CF092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wydanie dyspozycji o koniecznoś</w:t>
      </w:r>
      <w:r w:rsidR="00C2514E" w:rsidRPr="00CF092A">
        <w:rPr>
          <w:rFonts w:ascii="Arial" w:hAnsi="Arial" w:cs="Arial"/>
          <w:szCs w:val="24"/>
        </w:rPr>
        <w:t>ci udziału minimum dwóch osób w </w:t>
      </w:r>
      <w:r w:rsidRPr="00CF092A">
        <w:rPr>
          <w:rFonts w:ascii="Arial" w:hAnsi="Arial" w:cs="Arial"/>
          <w:szCs w:val="24"/>
        </w:rPr>
        <w:t>realizacji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określonych czynności (zasada „wielu par oczu”), lub</w:t>
      </w:r>
    </w:p>
    <w:p w:rsidR="00494304" w:rsidRPr="00CF092A" w:rsidRDefault="00494304" w:rsidP="00CF092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włączenie dodatkowych mechanizmów nadzorczych, w tym kontrolnych, lub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sprawozdawczych w realizacji określonych czynności, lub</w:t>
      </w:r>
    </w:p>
    <w:p w:rsidR="00494304" w:rsidRPr="00CF092A" w:rsidRDefault="00494304" w:rsidP="00CF092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wyłączenie osoby pozostającej w konflikcie interesów z udziału w określonej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czynności, lub</w:t>
      </w:r>
    </w:p>
    <w:p w:rsidR="00494304" w:rsidRPr="00CF092A" w:rsidRDefault="00494304" w:rsidP="00CF092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lastRenderedPageBreak/>
        <w:t>doprowadzenie do rozwiązania umowy cywilnoprawnej zawartej z osobą fizyczną,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 której mowa w ust. 2.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6. W przypadku postrzegalnego lub potencjalnego konfliktu interesów dyrektor (szef,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komendant, kierownik, dowódca, prezes) komórki lub jednostki organizacyjnej może nie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podejmować żadne</w:t>
      </w:r>
      <w:r w:rsidR="003E6798" w:rsidRPr="00CF092A">
        <w:rPr>
          <w:rFonts w:ascii="Arial" w:hAnsi="Arial" w:cs="Arial"/>
          <w:szCs w:val="24"/>
        </w:rPr>
        <w:t>j czynności zaradczej, jeżeli w </w:t>
      </w:r>
      <w:r w:rsidRPr="00CF092A">
        <w:rPr>
          <w:rFonts w:ascii="Arial" w:hAnsi="Arial" w:cs="Arial"/>
          <w:szCs w:val="24"/>
        </w:rPr>
        <w:t>pisemnej notatce, zarejestrowanej w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kancelarii potwierdzi, że konflikt ten jest w</w:t>
      </w:r>
      <w:r w:rsidR="003E6798" w:rsidRPr="00CF092A">
        <w:rPr>
          <w:rFonts w:ascii="Arial" w:hAnsi="Arial" w:cs="Arial"/>
          <w:szCs w:val="24"/>
        </w:rPr>
        <w:t> </w:t>
      </w:r>
      <w:r w:rsidRPr="00CF092A">
        <w:rPr>
          <w:rFonts w:ascii="Arial" w:hAnsi="Arial" w:cs="Arial"/>
          <w:szCs w:val="24"/>
        </w:rPr>
        <w:t>jego ocenie nieistotny z punktu widzenia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prawidłowego działania danej komórki lub jednostki organizacyjnej, a samo ujawnienie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go przez osobę, pozostającą w konflikcie interesów jest wystarczające do jego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skutecznej kontroli.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7. W przypadku, gdy konflikt interesów dotyczy dyrektora (szefa, komendanta,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 xml:space="preserve">kierownika, dowódcy, prezesa) komórki </w:t>
      </w:r>
      <w:r w:rsidR="003E6798" w:rsidRPr="00CF092A">
        <w:rPr>
          <w:rFonts w:ascii="Arial" w:hAnsi="Arial" w:cs="Arial"/>
          <w:szCs w:val="24"/>
        </w:rPr>
        <w:t>lub jednostki organizacyjnej, o </w:t>
      </w:r>
      <w:r w:rsidRPr="00CF092A">
        <w:rPr>
          <w:rFonts w:ascii="Arial" w:hAnsi="Arial" w:cs="Arial"/>
          <w:szCs w:val="24"/>
        </w:rPr>
        <w:t>potrzebie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podjęcia czynności zaradczych w celu wyeliminowania lub ograniczenia możliwości jego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zaistnienia, decyduje bezpośredni przełożony tej osoby. Przepisy ust. 2-6 stosuje się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odpowiednio.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10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Sprawozdawczość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14.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Z wszelkich kontaktów z wykonawcami, osoby biorące w nich udział,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sporządzają notatkę zawierającą informacje odnośnie: stron, celu, inicjatora, formy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kontaktu lub miejsca spotkania oraz faktu udokumentowania jego przebiegu za pomocą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urządzeń i środków technicznych służących do utrwalania dźwięku albo obrazu i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dźwięku, a w przypadku gdy przebieg spotkania nie został w ten sposób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udokumentowany – również szczegółowych danych uzyskanych od wykonawcy i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przekazanych wykonawcy. Istnieje możliwość sporządzenia wspólnej notatki przez</w:t>
      </w:r>
      <w:r w:rsidR="003E6798" w:rsidRPr="00CF092A">
        <w:rPr>
          <w:rFonts w:ascii="Arial" w:hAnsi="Arial" w:cs="Arial"/>
          <w:szCs w:val="24"/>
        </w:rPr>
        <w:t xml:space="preserve"> osoby uczestniczące w </w:t>
      </w:r>
      <w:r w:rsidRPr="00CF092A">
        <w:rPr>
          <w:rFonts w:ascii="Arial" w:hAnsi="Arial" w:cs="Arial"/>
          <w:szCs w:val="24"/>
        </w:rPr>
        <w:t>kontaktach z wykonawcami.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Notatkę, o której mowa w ust. 1, sporządza się również w przypadku kontaktów z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podmiotami zainteresowanymi nabyciem nieruchomości Skarbu Państwa lub mienia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ruchomego o wartości księgowej przekraczającej 10.000 złotych.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Treść notatki zamieszcza się w terminie 14 dni od dnia przeprowadzenia kontaktu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wewnętrznej sieci elektronicznej w</w:t>
      </w:r>
      <w:r w:rsidR="00C75FC9" w:rsidRPr="00CF092A">
        <w:rPr>
          <w:rFonts w:ascii="Arial" w:hAnsi="Arial" w:cs="Arial"/>
          <w:szCs w:val="24"/>
        </w:rPr>
        <w:t xml:space="preserve"> zakładce pod nazwą „kontakty z </w:t>
      </w:r>
      <w:r w:rsidRPr="00CF092A">
        <w:rPr>
          <w:rFonts w:ascii="Arial" w:hAnsi="Arial" w:cs="Arial"/>
          <w:szCs w:val="24"/>
        </w:rPr>
        <w:t>wykonawcami”.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4. Obowiązek, o którym mowa w ust. 1 i 3, nie dotyczy: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czynności zamawiającego, w związku z postępowaniem o udzielenie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zamówienia od chwili zamieszczenia ogłoszenia o postępowaniu lub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lastRenderedPageBreak/>
        <w:t>skierowania zaproszenia do udziału w postępowaniu w trybie negocjacji, do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chwili wyboru wykonawcy, o ile czynności te podejmowane są w ramach prac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komisji;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czynności zamawiającego podejmowanych od chwili wyboru wykonawcy do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chwili podpisania umowy oraz czynności związanych z wykonywaniem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zawartych umów, o ile czynności te podejmowane są przez uprzednio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pisemnie wyznaczone osoby;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kontaktów mających charakter oficjalnej korespondencji dokonywanej w</w:t>
      </w:r>
      <w:r w:rsidR="00ED564C" w:rsidRPr="00CF092A">
        <w:rPr>
          <w:rFonts w:ascii="Arial" w:hAnsi="Arial" w:cs="Arial"/>
          <w:szCs w:val="24"/>
        </w:rPr>
        <w:t> </w:t>
      </w:r>
      <w:r w:rsidRPr="00CF092A">
        <w:rPr>
          <w:rFonts w:ascii="Arial" w:hAnsi="Arial" w:cs="Arial"/>
          <w:szCs w:val="24"/>
        </w:rPr>
        <w:t>formie pisemnej lub realizowanej przy pomocy faksu albo służbowej poczty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elektronicznej;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kontaktów mających miejsce w związku z realizacją fazy analityczno</w:t>
      </w:r>
      <w:r w:rsidR="00ED564C" w:rsidRPr="00CF092A">
        <w:rPr>
          <w:rFonts w:ascii="Arial" w:hAnsi="Arial" w:cs="Arial"/>
          <w:szCs w:val="24"/>
        </w:rPr>
        <w:t>-</w:t>
      </w:r>
      <w:r w:rsidRPr="00CF092A">
        <w:rPr>
          <w:rFonts w:ascii="Arial" w:hAnsi="Arial" w:cs="Arial"/>
          <w:szCs w:val="24"/>
        </w:rPr>
        <w:t>koncepcyjnej,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 której mowa w przepisach decyzji w spawie pozyskiwania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sprzętu wojskowego i usług dla Sił Zbrojny</w:t>
      </w:r>
      <w:r w:rsidR="00C2514E" w:rsidRPr="00CF092A">
        <w:rPr>
          <w:rFonts w:ascii="Arial" w:hAnsi="Arial" w:cs="Arial"/>
          <w:szCs w:val="24"/>
        </w:rPr>
        <w:t>ch Rzeczypospolitej Polskiej, o </w:t>
      </w:r>
      <w:r w:rsidRPr="00CF092A">
        <w:rPr>
          <w:rFonts w:ascii="Arial" w:hAnsi="Arial" w:cs="Arial"/>
          <w:szCs w:val="24"/>
        </w:rPr>
        <w:t>ile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 xml:space="preserve">kontakty te zostaną opisane w </w:t>
      </w:r>
      <w:r w:rsidR="00C2514E" w:rsidRPr="00CF092A">
        <w:rPr>
          <w:rFonts w:ascii="Arial" w:hAnsi="Arial" w:cs="Arial"/>
          <w:szCs w:val="24"/>
        </w:rPr>
        <w:t>dokumentacji, która powstanie w </w:t>
      </w:r>
      <w:r w:rsidRPr="00CF092A">
        <w:rPr>
          <w:rFonts w:ascii="Arial" w:hAnsi="Arial" w:cs="Arial"/>
          <w:szCs w:val="24"/>
        </w:rPr>
        <w:t>ramach tej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fazy, pisemnej notatce lub protokole spotkania, bądź też ich przebieg zostanie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utrwalony za pomocą urządzeń i środków technicznych służących do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utrwalania dźwięku albo obrazu i dźwięku;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kontaktów dotyczących jedynie zagadnień o charakterze organizacyjno</w:t>
      </w:r>
      <w:r w:rsidR="00C2514E" w:rsidRPr="00CF092A">
        <w:rPr>
          <w:rFonts w:ascii="Arial" w:hAnsi="Arial" w:cs="Arial"/>
          <w:szCs w:val="24"/>
        </w:rPr>
        <w:t>-</w:t>
      </w:r>
      <w:r w:rsidRPr="00CF092A">
        <w:rPr>
          <w:rFonts w:ascii="Arial" w:hAnsi="Arial" w:cs="Arial"/>
          <w:szCs w:val="24"/>
        </w:rPr>
        <w:t>porządkowym;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kontaktów o charakterze wyłącznie towarzyskim, odbywających się poza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godzinami pracy, w trakcie których nie poruszano żadnych kwestii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służbowych;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prezentacji i pokazów organizowanych na podstawie § 11 ust. 5;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kontaktów realizowanych w celu wykonywania obowiązków przewidzianych w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ustawie o niektórych umowach zawieranych w związku z realizacją zamówień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 podstawowym znaczeniu dla bezpieczeństwa państwa, o ile kontakty te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zostaną opisane w pisemnej notatce lub protokole spotkania, bądź też ich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przebieg zostanie utrwalony za pomocą urządzeń i środków technicznych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służących do utrwalania dźwięku albo obrazu i dźwięku;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kontaktów realizowanych w celu wykonania obowiązków przewidzianych w</w:t>
      </w:r>
      <w:r w:rsidR="00747FD9" w:rsidRPr="00CF092A">
        <w:rPr>
          <w:rFonts w:ascii="Arial" w:hAnsi="Arial" w:cs="Arial"/>
          <w:szCs w:val="24"/>
        </w:rPr>
        <w:t> </w:t>
      </w:r>
      <w:r w:rsidRPr="00CF092A">
        <w:rPr>
          <w:rFonts w:ascii="Arial" w:hAnsi="Arial" w:cs="Arial"/>
          <w:szCs w:val="24"/>
        </w:rPr>
        <w:t>przepisach decyzji w spawie zasad funkcjonowania systemu zapewnienia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jakości wyrobów obronnych, o ile kontakty te zostaną opisane w pisemnej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notatce lub protokole spotkania, bądź też ich przebieg zostanie utrwalony za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lastRenderedPageBreak/>
        <w:t>pomocą urządzeń i środków technicznych służących do utrwalania dźwięku</w:t>
      </w:r>
      <w:r w:rsidR="00747FD9" w:rsidRPr="00CF092A">
        <w:rPr>
          <w:rFonts w:ascii="Arial" w:hAnsi="Arial" w:cs="Arial"/>
          <w:szCs w:val="24"/>
        </w:rPr>
        <w:t xml:space="preserve">  </w:t>
      </w:r>
      <w:r w:rsidRPr="00CF092A">
        <w:rPr>
          <w:rFonts w:ascii="Arial" w:hAnsi="Arial" w:cs="Arial"/>
          <w:szCs w:val="24"/>
        </w:rPr>
        <w:t>albo obrazu i dźwięku.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bCs/>
          <w:szCs w:val="24"/>
        </w:rPr>
        <w:t>5.</w:t>
      </w:r>
      <w:r w:rsidRPr="00CF092A">
        <w:rPr>
          <w:rFonts w:ascii="Arial" w:hAnsi="Arial" w:cs="Arial"/>
          <w:b/>
          <w:bCs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wewnętrznej sieci elektronicznej nie powinny być zamieszczane notatki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sporządzane ze spotkań z wykonawcami, w przypadku gdyby podlegały one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szczególnej ochronie przewidzianej w ustawie o ochronie informacji niejawnych.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11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Wykładnia postanowień decyzji</w:t>
      </w:r>
    </w:p>
    <w:p w:rsidR="00CF092A" w:rsidRDefault="00494304" w:rsidP="004C643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15.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Podmioty zainteresowane mogą zwrócić się z pisemnym wnioskiem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do Dyrektora Biura do Spraw Procedur Antykorupcyjnych o wydanie pisemnej opinii w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sprawie interpretacji postanowień zawartych w decyzji, zwanej dalej "opinią".</w:t>
      </w:r>
    </w:p>
    <w:p w:rsidR="00494304" w:rsidRPr="00CF092A" w:rsidRDefault="00494304" w:rsidP="004C643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Podmiot wnioskujący może zastr</w:t>
      </w:r>
      <w:r w:rsidR="00C2514E" w:rsidRPr="00CF092A">
        <w:rPr>
          <w:rFonts w:ascii="Arial" w:hAnsi="Arial" w:cs="Arial"/>
          <w:szCs w:val="24"/>
        </w:rPr>
        <w:t>zec we wniosku, o którym mowa w </w:t>
      </w:r>
      <w:r w:rsidRPr="00CF092A">
        <w:rPr>
          <w:rFonts w:ascii="Arial" w:hAnsi="Arial" w:cs="Arial"/>
          <w:szCs w:val="24"/>
        </w:rPr>
        <w:t>ust. 1,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anonimizację danych osobowych.</w:t>
      </w:r>
    </w:p>
    <w:p w:rsidR="00494304" w:rsidRPr="00CF092A" w:rsidRDefault="00494304" w:rsidP="004C643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Opinia ma charakter wiążący dla wszystkich komórek i jednostek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organizacyjnych.</w:t>
      </w:r>
    </w:p>
    <w:p w:rsidR="00494304" w:rsidRPr="00CF092A" w:rsidRDefault="00494304" w:rsidP="004C643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4. Dyrektor Biura do Spraw Procedur Antykorupcyjnych zamieszcza opinię</w:t>
      </w:r>
      <w:r w:rsidR="00747FD9" w:rsidRPr="00CF092A">
        <w:rPr>
          <w:rFonts w:ascii="Arial" w:hAnsi="Arial" w:cs="Arial"/>
          <w:szCs w:val="24"/>
        </w:rPr>
        <w:t xml:space="preserve"> w </w:t>
      </w:r>
      <w:r w:rsidRPr="00CF092A">
        <w:rPr>
          <w:rFonts w:ascii="Arial" w:hAnsi="Arial" w:cs="Arial"/>
          <w:szCs w:val="24"/>
        </w:rPr>
        <w:t>wewnętrznej sieci elektronicznej (in</w:t>
      </w:r>
      <w:r w:rsidR="00747FD9" w:rsidRPr="00CF092A">
        <w:rPr>
          <w:rFonts w:ascii="Arial" w:hAnsi="Arial" w:cs="Arial"/>
          <w:szCs w:val="24"/>
        </w:rPr>
        <w:t>tranet), w zakładce "kontakty z </w:t>
      </w:r>
      <w:r w:rsidRPr="00CF092A">
        <w:rPr>
          <w:rFonts w:ascii="Arial" w:hAnsi="Arial" w:cs="Arial"/>
          <w:szCs w:val="24"/>
        </w:rPr>
        <w:t>wykonawcami".</w:t>
      </w:r>
    </w:p>
    <w:p w:rsidR="00E64D88" w:rsidRDefault="00494304" w:rsidP="004C643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5. Dyrektor Biura do Spraw Procedur Antykorupcyjnych może odmówić wydania</w:t>
      </w:r>
      <w:r w:rsidR="00B656E2" w:rsidRPr="00CF092A">
        <w:rPr>
          <w:rFonts w:ascii="Arial" w:hAnsi="Arial" w:cs="Arial"/>
          <w:szCs w:val="24"/>
        </w:rPr>
        <w:t xml:space="preserve">  </w:t>
      </w:r>
      <w:r w:rsidRPr="00CF092A">
        <w:rPr>
          <w:rFonts w:ascii="Arial" w:hAnsi="Arial" w:cs="Arial"/>
          <w:szCs w:val="24"/>
        </w:rPr>
        <w:t>opinii w sprawach, które były już prz</w:t>
      </w:r>
      <w:r w:rsidR="00C2514E" w:rsidRPr="00CF092A">
        <w:rPr>
          <w:rFonts w:ascii="Arial" w:hAnsi="Arial" w:cs="Arial"/>
          <w:szCs w:val="24"/>
        </w:rPr>
        <w:t>edmiotem rozstrzygnięcia lub, w </w:t>
      </w:r>
      <w:r w:rsidRPr="00CF092A">
        <w:rPr>
          <w:rFonts w:ascii="Arial" w:hAnsi="Arial" w:cs="Arial"/>
          <w:szCs w:val="24"/>
        </w:rPr>
        <w:t>których stan</w:t>
      </w:r>
      <w:r w:rsidR="00B656E2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faktyczny ma charakter analogiczny do uprzednio opiniowanej sprawy.</w:t>
      </w:r>
    </w:p>
    <w:sectPr w:rsidR="00E64D88" w:rsidSect="00073AE6">
      <w:footerReference w:type="default" r:id="rId9"/>
      <w:pgSz w:w="11906" w:h="16838"/>
      <w:pgMar w:top="709" w:right="1418" w:bottom="1418" w:left="1985" w:header="1417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DB7" w:rsidRDefault="00BD1DB7" w:rsidP="002374F7">
      <w:pPr>
        <w:spacing w:line="240" w:lineRule="auto"/>
      </w:pPr>
      <w:r>
        <w:separator/>
      </w:r>
    </w:p>
  </w:endnote>
  <w:endnote w:type="continuationSeparator" w:id="0">
    <w:p w:rsidR="00BD1DB7" w:rsidRDefault="00BD1DB7" w:rsidP="002374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20673739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374F7" w:rsidRPr="00D91784" w:rsidRDefault="004C643A">
            <w:pPr>
              <w:pStyle w:val="Stopka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str.</w:t>
            </w:r>
            <w:r w:rsidR="005F48AF" w:rsidRPr="00D91784">
              <w:rPr>
                <w:rFonts w:ascii="Arial" w:hAnsi="Arial" w:cs="Arial"/>
                <w:bCs/>
                <w:szCs w:val="24"/>
              </w:rPr>
              <w:fldChar w:fldCharType="begin"/>
            </w:r>
            <w:r w:rsidR="002374F7" w:rsidRPr="00D91784">
              <w:rPr>
                <w:rFonts w:ascii="Arial" w:hAnsi="Arial" w:cs="Arial"/>
                <w:bCs/>
              </w:rPr>
              <w:instrText>PAGE</w:instrText>
            </w:r>
            <w:r w:rsidR="005F48AF" w:rsidRPr="00D91784">
              <w:rPr>
                <w:rFonts w:ascii="Arial" w:hAnsi="Arial" w:cs="Arial"/>
                <w:bCs/>
                <w:szCs w:val="24"/>
              </w:rPr>
              <w:fldChar w:fldCharType="separate"/>
            </w:r>
            <w:r w:rsidR="00872B68">
              <w:rPr>
                <w:rFonts w:ascii="Arial" w:hAnsi="Arial" w:cs="Arial"/>
                <w:bCs/>
                <w:noProof/>
              </w:rPr>
              <w:t>1</w:t>
            </w:r>
            <w:r w:rsidR="005F48AF" w:rsidRPr="00D91784">
              <w:rPr>
                <w:rFonts w:ascii="Arial" w:hAnsi="Arial" w:cs="Arial"/>
                <w:bCs/>
                <w:szCs w:val="24"/>
              </w:rPr>
              <w:fldChar w:fldCharType="end"/>
            </w:r>
            <w:r>
              <w:rPr>
                <w:rFonts w:ascii="Arial" w:hAnsi="Arial" w:cs="Arial"/>
                <w:bCs/>
                <w:szCs w:val="24"/>
              </w:rPr>
              <w:t>/</w:t>
            </w:r>
            <w:r w:rsidR="005F48AF" w:rsidRPr="00D91784">
              <w:rPr>
                <w:rFonts w:ascii="Arial" w:hAnsi="Arial" w:cs="Arial"/>
                <w:bCs/>
                <w:szCs w:val="24"/>
              </w:rPr>
              <w:fldChar w:fldCharType="begin"/>
            </w:r>
            <w:r w:rsidR="002374F7" w:rsidRPr="00D91784">
              <w:rPr>
                <w:rFonts w:ascii="Arial" w:hAnsi="Arial" w:cs="Arial"/>
                <w:bCs/>
              </w:rPr>
              <w:instrText>NUMPAGES</w:instrText>
            </w:r>
            <w:r w:rsidR="005F48AF" w:rsidRPr="00D91784">
              <w:rPr>
                <w:rFonts w:ascii="Arial" w:hAnsi="Arial" w:cs="Arial"/>
                <w:bCs/>
                <w:szCs w:val="24"/>
              </w:rPr>
              <w:fldChar w:fldCharType="separate"/>
            </w:r>
            <w:r w:rsidR="00872B68">
              <w:rPr>
                <w:rFonts w:ascii="Arial" w:hAnsi="Arial" w:cs="Arial"/>
                <w:bCs/>
                <w:noProof/>
              </w:rPr>
              <w:t>11</w:t>
            </w:r>
            <w:r w:rsidR="005F48AF" w:rsidRPr="00D91784">
              <w:rPr>
                <w:rFonts w:ascii="Arial" w:hAnsi="Arial" w:cs="Arial"/>
                <w:bCs/>
                <w:szCs w:val="24"/>
              </w:rPr>
              <w:fldChar w:fldCharType="end"/>
            </w:r>
          </w:p>
        </w:sdtContent>
      </w:sdt>
    </w:sdtContent>
  </w:sdt>
  <w:p w:rsidR="002374F7" w:rsidRDefault="00237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DB7" w:rsidRDefault="00BD1DB7" w:rsidP="002374F7">
      <w:pPr>
        <w:spacing w:line="240" w:lineRule="auto"/>
      </w:pPr>
      <w:r>
        <w:separator/>
      </w:r>
    </w:p>
  </w:footnote>
  <w:footnote w:type="continuationSeparator" w:id="0">
    <w:p w:rsidR="00BD1DB7" w:rsidRDefault="00BD1DB7" w:rsidP="002374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86CA5"/>
    <w:multiLevelType w:val="hybridMultilevel"/>
    <w:tmpl w:val="4CD4F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37793B"/>
    <w:multiLevelType w:val="hybridMultilevel"/>
    <w:tmpl w:val="05B42EB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AE61C7"/>
    <w:multiLevelType w:val="hybridMultilevel"/>
    <w:tmpl w:val="B2E47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E1400"/>
    <w:multiLevelType w:val="hybridMultilevel"/>
    <w:tmpl w:val="4AA863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95560"/>
    <w:multiLevelType w:val="hybridMultilevel"/>
    <w:tmpl w:val="16680A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1A7E95"/>
    <w:multiLevelType w:val="hybridMultilevel"/>
    <w:tmpl w:val="85CA17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4583D"/>
    <w:multiLevelType w:val="hybridMultilevel"/>
    <w:tmpl w:val="DD46578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4041B2"/>
    <w:multiLevelType w:val="hybridMultilevel"/>
    <w:tmpl w:val="BF6C15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10BC6"/>
    <w:multiLevelType w:val="hybridMultilevel"/>
    <w:tmpl w:val="A24479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772FE0"/>
    <w:multiLevelType w:val="hybridMultilevel"/>
    <w:tmpl w:val="7BAAA8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4F4215"/>
    <w:multiLevelType w:val="hybridMultilevel"/>
    <w:tmpl w:val="4F70E940"/>
    <w:lvl w:ilvl="0" w:tplc="D8D4ED3A">
      <w:start w:val="1"/>
      <w:numFmt w:val="bullet"/>
      <w:pStyle w:val="a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C794B84"/>
    <w:multiLevelType w:val="hybridMultilevel"/>
    <w:tmpl w:val="912A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5613F"/>
    <w:multiLevelType w:val="hybridMultilevel"/>
    <w:tmpl w:val="07885B16"/>
    <w:lvl w:ilvl="0" w:tplc="44303964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5B7927"/>
    <w:multiLevelType w:val="hybridMultilevel"/>
    <w:tmpl w:val="331E8F5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6B4266"/>
    <w:multiLevelType w:val="hybridMultilevel"/>
    <w:tmpl w:val="FE2A5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411DA"/>
    <w:multiLevelType w:val="hybridMultilevel"/>
    <w:tmpl w:val="261694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BF5B5F"/>
    <w:multiLevelType w:val="hybridMultilevel"/>
    <w:tmpl w:val="67BE5E04"/>
    <w:lvl w:ilvl="0" w:tplc="D660A2CE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16820"/>
    <w:multiLevelType w:val="hybridMultilevel"/>
    <w:tmpl w:val="D41A92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7F2D28"/>
    <w:multiLevelType w:val="hybridMultilevel"/>
    <w:tmpl w:val="25C0B5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84A97"/>
    <w:multiLevelType w:val="hybridMultilevel"/>
    <w:tmpl w:val="6F36F3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5"/>
  </w:num>
  <w:num w:numId="5">
    <w:abstractNumId w:val="7"/>
  </w:num>
  <w:num w:numId="6">
    <w:abstractNumId w:val="18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  <w:num w:numId="11">
    <w:abstractNumId w:val="4"/>
  </w:num>
  <w:num w:numId="12">
    <w:abstractNumId w:val="3"/>
  </w:num>
  <w:num w:numId="13">
    <w:abstractNumId w:val="11"/>
  </w:num>
  <w:num w:numId="14">
    <w:abstractNumId w:val="9"/>
  </w:num>
  <w:num w:numId="15">
    <w:abstractNumId w:val="19"/>
  </w:num>
  <w:num w:numId="16">
    <w:abstractNumId w:val="0"/>
  </w:num>
  <w:num w:numId="17">
    <w:abstractNumId w:val="14"/>
  </w:num>
  <w:num w:numId="18">
    <w:abstractNumId w:val="13"/>
  </w:num>
  <w:num w:numId="19">
    <w:abstractNumId w:val="2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304"/>
    <w:rsid w:val="00006DF1"/>
    <w:rsid w:val="000136FB"/>
    <w:rsid w:val="0005185C"/>
    <w:rsid w:val="00073AE6"/>
    <w:rsid w:val="00090986"/>
    <w:rsid w:val="000E078A"/>
    <w:rsid w:val="00113E75"/>
    <w:rsid w:val="001A34F2"/>
    <w:rsid w:val="001F07E4"/>
    <w:rsid w:val="002374F7"/>
    <w:rsid w:val="0028735F"/>
    <w:rsid w:val="002A4BC0"/>
    <w:rsid w:val="002D6170"/>
    <w:rsid w:val="002F4924"/>
    <w:rsid w:val="00315A5A"/>
    <w:rsid w:val="003624ED"/>
    <w:rsid w:val="00395A78"/>
    <w:rsid w:val="003E6798"/>
    <w:rsid w:val="00477C86"/>
    <w:rsid w:val="00494304"/>
    <w:rsid w:val="004C643A"/>
    <w:rsid w:val="004E5431"/>
    <w:rsid w:val="004F6E14"/>
    <w:rsid w:val="00554270"/>
    <w:rsid w:val="005A5D53"/>
    <w:rsid w:val="005C0936"/>
    <w:rsid w:val="005C2D95"/>
    <w:rsid w:val="005C68FD"/>
    <w:rsid w:val="005F48AF"/>
    <w:rsid w:val="0063460C"/>
    <w:rsid w:val="00640DA3"/>
    <w:rsid w:val="006466B3"/>
    <w:rsid w:val="00744A83"/>
    <w:rsid w:val="00747FD9"/>
    <w:rsid w:val="00756A0E"/>
    <w:rsid w:val="007F3904"/>
    <w:rsid w:val="00872B68"/>
    <w:rsid w:val="008A6AD5"/>
    <w:rsid w:val="008D5B0B"/>
    <w:rsid w:val="008E42CA"/>
    <w:rsid w:val="009214BA"/>
    <w:rsid w:val="009604F3"/>
    <w:rsid w:val="00A014DA"/>
    <w:rsid w:val="00A5144C"/>
    <w:rsid w:val="00AC2BD8"/>
    <w:rsid w:val="00AE2231"/>
    <w:rsid w:val="00AE5C4E"/>
    <w:rsid w:val="00B651C9"/>
    <w:rsid w:val="00B656E2"/>
    <w:rsid w:val="00BA3BCC"/>
    <w:rsid w:val="00BB0117"/>
    <w:rsid w:val="00BD1DB7"/>
    <w:rsid w:val="00BF2788"/>
    <w:rsid w:val="00C0109A"/>
    <w:rsid w:val="00C2514E"/>
    <w:rsid w:val="00C75FC9"/>
    <w:rsid w:val="00CA4143"/>
    <w:rsid w:val="00CC5BD5"/>
    <w:rsid w:val="00CE69BF"/>
    <w:rsid w:val="00CE6C34"/>
    <w:rsid w:val="00CF092A"/>
    <w:rsid w:val="00CF6790"/>
    <w:rsid w:val="00D71C98"/>
    <w:rsid w:val="00D77974"/>
    <w:rsid w:val="00D831B7"/>
    <w:rsid w:val="00D91784"/>
    <w:rsid w:val="00E61967"/>
    <w:rsid w:val="00E64D88"/>
    <w:rsid w:val="00E65047"/>
    <w:rsid w:val="00EB4C73"/>
    <w:rsid w:val="00EC24FE"/>
    <w:rsid w:val="00ED564C"/>
    <w:rsid w:val="00F03BA3"/>
    <w:rsid w:val="00F41FE2"/>
    <w:rsid w:val="00F950E0"/>
    <w:rsid w:val="00FA115E"/>
    <w:rsid w:val="00FA50C5"/>
    <w:rsid w:val="00FB3795"/>
    <w:rsid w:val="00FE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D41EC"/>
  <w15:docId w15:val="{E19093D6-D215-401D-85E1-1FC284B3D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5D53"/>
    <w:pPr>
      <w:spacing w:after="0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5D53"/>
    <w:pPr>
      <w:keepNext/>
      <w:keepLines/>
      <w:spacing w:before="24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5D5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a">
    <w:name w:val=""/>
    <w:basedOn w:val="Normalny"/>
    <w:link w:val="Znak"/>
    <w:qFormat/>
    <w:rsid w:val="00640DA3"/>
    <w:pPr>
      <w:numPr>
        <w:numId w:val="1"/>
      </w:numPr>
      <w:spacing w:line="240" w:lineRule="auto"/>
      <w:ind w:left="1068"/>
    </w:pPr>
    <w:rPr>
      <w:rFonts w:ascii="Calibri" w:eastAsia="Calibri" w:hAnsi="Calibri"/>
      <w:sz w:val="22"/>
    </w:rPr>
  </w:style>
  <w:style w:type="character" w:customStyle="1" w:styleId="Znak">
    <w:name w:val=" Znak"/>
    <w:link w:val="a"/>
    <w:rsid w:val="00640DA3"/>
    <w:rPr>
      <w:rFonts w:ascii="Calibri" w:eastAsia="Calibri" w:hAnsi="Calibri"/>
    </w:rPr>
  </w:style>
  <w:style w:type="paragraph" w:styleId="Akapitzlist">
    <w:name w:val="List Paragraph"/>
    <w:basedOn w:val="Normalny"/>
    <w:uiPriority w:val="34"/>
    <w:qFormat/>
    <w:rsid w:val="00C75FC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74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74F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74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74F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4B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4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7C6113E7CD64FAE3E6897064E80DE" ma:contentTypeVersion="2" ma:contentTypeDescription="Utwórz nowy dokument." ma:contentTypeScope="" ma:versionID="ba84094da1946fd74dae0093bc41810d">
  <xsd:schema xmlns:xsd="http://www.w3.org/2001/XMLSchema" xmlns:xs="http://www.w3.org/2001/XMLSchema" xmlns:p="http://schemas.microsoft.com/office/2006/metadata/properties" xmlns:ns2="15ba1deb-2b06-471a-ab4f-996cde05c4ec" targetNamespace="http://schemas.microsoft.com/office/2006/metadata/properties" ma:root="true" ma:fieldsID="faefbb7f7da8b08ee66e7f1dda72c80b" ns2:_="">
    <xsd:import namespace="15ba1deb-2b06-471a-ab4f-996cde05c4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1deb-2b06-471a-ab4f-996cde05c4e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B0ED26-DA4E-4C3E-8A5C-15FF0D14022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CA5BBB-5C4E-4FAA-8ED7-04EDBB55A9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FBB75A-C2DD-413A-8A53-87526D11D3DF}"/>
</file>

<file path=customXml/itemProps4.xml><?xml version="1.0" encoding="utf-8"?>
<ds:datastoreItem xmlns:ds="http://schemas.openxmlformats.org/officeDocument/2006/customXml" ds:itemID="{0EB84BC9-4E70-44C9-8649-F71DABB77787}"/>
</file>

<file path=customXml/itemProps5.xml><?xml version="1.0" encoding="utf-8"?>
<ds:datastoreItem xmlns:ds="http://schemas.openxmlformats.org/officeDocument/2006/customXml" ds:itemID="{A0262D3C-8185-4227-8B08-D808644F0F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2753</Words>
  <Characters>16520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Skrabalak Paweł</dc:creator>
  <cp:lastModifiedBy>Wojtasik Marcin</cp:lastModifiedBy>
  <cp:revision>5</cp:revision>
  <cp:lastPrinted>2024-10-22T11:09:00Z</cp:lastPrinted>
  <dcterms:created xsi:type="dcterms:W3CDTF">2024-10-08T13:19:00Z</dcterms:created>
  <dcterms:modified xsi:type="dcterms:W3CDTF">2024-10-22T11:09:00Z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84ff89f2-5b5b-4e09-b7a7-d1af70373bce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uoJJyxS30qidtqAoY+NLMqA3cWMNbIAa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10.68.67.150</vt:lpwstr>
  </property>
  <property fmtid="{D5CDD505-2E9C-101B-9397-08002B2CF9AE}" pid="11" name="s5636:Creator type=author">
    <vt:lpwstr>Skrabalak Paweł</vt:lpwstr>
  </property>
  <property fmtid="{D5CDD505-2E9C-101B-9397-08002B2CF9AE}" pid="12" name="ContentTypeId">
    <vt:lpwstr>0x0101006587C6113E7CD64FAE3E6897064E80DE</vt:lpwstr>
  </property>
</Properties>
</file>