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FF7C0" w14:textId="77777777" w:rsidR="006B38E0" w:rsidRPr="006B38E0" w:rsidRDefault="006B38E0" w:rsidP="006B38E0">
      <w:pPr>
        <w:spacing w:after="160" w:line="254" w:lineRule="auto"/>
        <w:jc w:val="center"/>
        <w:rPr>
          <w:rFonts w:ascii="Times New Roman" w:eastAsia="Times New Roman" w:hAnsi="Times New Roman" w:cs="Times New Roman"/>
          <w:b/>
          <w:bCs/>
          <w:kern w:val="0"/>
          <w:sz w:val="28"/>
          <w:szCs w:val="28"/>
          <w14:ligatures w14:val="none"/>
        </w:rPr>
      </w:pPr>
      <w:r w:rsidRPr="006B38E0">
        <w:rPr>
          <w:rFonts w:ascii="Times New Roman" w:eastAsia="Times New Roman" w:hAnsi="Times New Roman" w:cs="Times New Roman"/>
          <w:b/>
          <w:bCs/>
          <w:kern w:val="0"/>
          <w:sz w:val="28"/>
          <w:szCs w:val="28"/>
          <w14:ligatures w14:val="none"/>
        </w:rPr>
        <w:t>OPIS PRZEDMIOTU ZAMÓWIENIA</w:t>
      </w:r>
    </w:p>
    <w:p w14:paraId="48805352" w14:textId="752981A2" w:rsidR="006B38E0" w:rsidRPr="006B38E0" w:rsidRDefault="006B38E0" w:rsidP="006B38E0">
      <w:pPr>
        <w:autoSpaceDE w:val="0"/>
        <w:autoSpaceDN w:val="0"/>
        <w:adjustRightInd w:val="0"/>
        <w:spacing w:after="0" w:line="240" w:lineRule="auto"/>
        <w:jc w:val="left"/>
        <w:rPr>
          <w:rFonts w:ascii="Times New Roman" w:eastAsia="Times New Roman" w:hAnsi="Times New Roman" w:cs="Times New Roman"/>
          <w:b/>
          <w:bCs/>
          <w:color w:val="000000"/>
          <w:kern w:val="0"/>
          <w:sz w:val="24"/>
          <w:szCs w:val="24"/>
          <w14:ligatures w14:val="none"/>
        </w:rPr>
      </w:pPr>
      <w:r w:rsidRPr="006B38E0">
        <w:rPr>
          <w:rFonts w:ascii="Times New Roman" w:eastAsia="Times New Roman" w:hAnsi="Times New Roman" w:cs="Times New Roman"/>
          <w:b/>
          <w:bCs/>
          <w:color w:val="000000"/>
          <w:kern w:val="0"/>
          <w:sz w:val="24"/>
          <w:szCs w:val="24"/>
          <w14:ligatures w14:val="none"/>
        </w:rPr>
        <w:t>1.</w:t>
      </w:r>
      <w:r>
        <w:rPr>
          <w:rFonts w:ascii="Times New Roman" w:eastAsia="Times New Roman" w:hAnsi="Times New Roman" w:cs="Times New Roman"/>
          <w:b/>
          <w:bCs/>
          <w:color w:val="000000"/>
          <w:kern w:val="0"/>
          <w:sz w:val="24"/>
          <w:szCs w:val="24"/>
          <w14:ligatures w14:val="none"/>
        </w:rPr>
        <w:t xml:space="preserve"> </w:t>
      </w:r>
      <w:r w:rsidRPr="006B38E0">
        <w:rPr>
          <w:rFonts w:ascii="Times New Roman" w:eastAsia="Times New Roman" w:hAnsi="Times New Roman" w:cs="Times New Roman"/>
          <w:b/>
          <w:bCs/>
          <w:color w:val="000000"/>
          <w:kern w:val="0"/>
          <w:sz w:val="24"/>
          <w:szCs w:val="24"/>
          <w14:ligatures w14:val="none"/>
        </w:rPr>
        <w:t xml:space="preserve">Przedmiotem zamówienia jest opracowanie dokumentacji projektowo-kosztorysowej w zakresie: </w:t>
      </w:r>
    </w:p>
    <w:p w14:paraId="050E4212" w14:textId="77777777" w:rsidR="006B38E0" w:rsidRDefault="006B38E0" w:rsidP="006B38E0">
      <w:pPr>
        <w:spacing w:after="0" w:line="240" w:lineRule="auto"/>
        <w:rPr>
          <w:rFonts w:ascii="Times New Roman" w:eastAsia="Times New Roman" w:hAnsi="Times New Roman" w:cs="Times New Roman"/>
          <w:b/>
          <w:bCs/>
          <w:kern w:val="0"/>
          <w:sz w:val="24"/>
          <w:szCs w:val="24"/>
          <w14:ligatures w14:val="none"/>
        </w:rPr>
      </w:pPr>
      <w:bookmarkStart w:id="0" w:name="_Hlk100735670"/>
    </w:p>
    <w:p w14:paraId="4730989A" w14:textId="7866FBFA" w:rsidR="006B38E0"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 xml:space="preserve"> </w:t>
      </w:r>
      <w:r w:rsidRPr="006B38E0">
        <w:rPr>
          <w:rFonts w:ascii="Times New Roman" w:eastAsia="Times New Roman" w:hAnsi="Times New Roman" w:cs="Times New Roman"/>
          <w:bCs/>
          <w:kern w:val="0"/>
          <w:sz w:val="24"/>
          <w:szCs w:val="24"/>
          <w14:ligatures w14:val="none"/>
        </w:rPr>
        <w:t xml:space="preserve">„Przebudowa odcinka drogi gminnej ul. </w:t>
      </w:r>
      <w:r>
        <w:rPr>
          <w:rFonts w:ascii="Times New Roman" w:eastAsia="Times New Roman" w:hAnsi="Times New Roman" w:cs="Times New Roman"/>
          <w:bCs/>
          <w:kern w:val="0"/>
          <w:sz w:val="24"/>
          <w:szCs w:val="24"/>
          <w14:ligatures w14:val="none"/>
        </w:rPr>
        <w:t>Wierzbowej</w:t>
      </w:r>
      <w:r w:rsidRPr="006B38E0">
        <w:rPr>
          <w:rFonts w:ascii="Times New Roman" w:eastAsia="Times New Roman" w:hAnsi="Times New Roman" w:cs="Times New Roman"/>
          <w:bCs/>
          <w:kern w:val="0"/>
          <w:sz w:val="24"/>
          <w:szCs w:val="24"/>
          <w14:ligatures w14:val="none"/>
        </w:rPr>
        <w:t xml:space="preserve"> w miejscowości </w:t>
      </w:r>
      <w:r>
        <w:rPr>
          <w:rFonts w:ascii="Times New Roman" w:eastAsia="Times New Roman" w:hAnsi="Times New Roman" w:cs="Times New Roman"/>
          <w:bCs/>
          <w:kern w:val="0"/>
          <w:sz w:val="24"/>
          <w:szCs w:val="24"/>
          <w14:ligatures w14:val="none"/>
        </w:rPr>
        <w:t>Drewnica</w:t>
      </w:r>
      <w:r w:rsidRPr="006B38E0">
        <w:rPr>
          <w:rFonts w:ascii="Times New Roman" w:eastAsia="Times New Roman" w:hAnsi="Times New Roman" w:cs="Times New Roman"/>
          <w:bCs/>
          <w:kern w:val="0"/>
          <w:sz w:val="24"/>
          <w:szCs w:val="24"/>
          <w14:ligatures w14:val="none"/>
        </w:rPr>
        <w:t>, gmina Stegna”</w:t>
      </w:r>
      <w:r w:rsidRPr="006B38E0">
        <w:rPr>
          <w:rFonts w:ascii="Times New Roman" w:eastAsia="Times New Roman" w:hAnsi="Times New Roman" w:cs="Times New Roman"/>
          <w:kern w:val="0"/>
          <w:sz w:val="24"/>
          <w:szCs w:val="24"/>
          <w14:ligatures w14:val="none"/>
        </w:rPr>
        <w:t xml:space="preserve"> o długości ok. </w:t>
      </w:r>
      <w:r>
        <w:rPr>
          <w:rFonts w:ascii="Times New Roman" w:eastAsia="Times New Roman" w:hAnsi="Times New Roman" w:cs="Times New Roman"/>
          <w:kern w:val="0"/>
          <w:sz w:val="24"/>
          <w:szCs w:val="24"/>
          <w14:ligatures w14:val="none"/>
        </w:rPr>
        <w:t>685</w:t>
      </w:r>
      <w:r w:rsidRPr="006B38E0">
        <w:rPr>
          <w:rFonts w:ascii="Times New Roman" w:eastAsia="Times New Roman" w:hAnsi="Times New Roman" w:cs="Times New Roman"/>
          <w:kern w:val="0"/>
          <w:sz w:val="24"/>
          <w:szCs w:val="24"/>
          <w14:ligatures w14:val="none"/>
        </w:rPr>
        <w:t xml:space="preserve"> m i szerokości </w:t>
      </w:r>
      <w:r>
        <w:rPr>
          <w:rFonts w:ascii="Times New Roman" w:eastAsia="Times New Roman" w:hAnsi="Times New Roman" w:cs="Times New Roman"/>
          <w:kern w:val="0"/>
          <w:sz w:val="24"/>
          <w:szCs w:val="24"/>
          <w14:ligatures w14:val="none"/>
        </w:rPr>
        <w:t xml:space="preserve">5 </w:t>
      </w:r>
      <w:r w:rsidRPr="006B38E0">
        <w:rPr>
          <w:rFonts w:ascii="Times New Roman" w:eastAsia="Times New Roman" w:hAnsi="Times New Roman" w:cs="Times New Roman"/>
          <w:kern w:val="0"/>
          <w:sz w:val="24"/>
          <w:szCs w:val="24"/>
          <w14:ligatures w14:val="none"/>
        </w:rPr>
        <w:t>m. Projektuje się nawierzchnię z płyt drogowych pełnych o wym. 3x1,5x0,15</w:t>
      </w:r>
      <w:r>
        <w:rPr>
          <w:rFonts w:ascii="Times New Roman" w:eastAsia="Times New Roman" w:hAnsi="Times New Roman" w:cs="Times New Roman"/>
          <w:kern w:val="0"/>
          <w:sz w:val="24"/>
          <w:szCs w:val="24"/>
          <w14:ligatures w14:val="none"/>
        </w:rPr>
        <w:t xml:space="preserve"> </w:t>
      </w:r>
      <w:r w:rsidRPr="006B38E0">
        <w:rPr>
          <w:rFonts w:ascii="Times New Roman" w:eastAsia="Times New Roman" w:hAnsi="Times New Roman" w:cs="Times New Roman"/>
          <w:kern w:val="0"/>
          <w:sz w:val="24"/>
          <w:szCs w:val="24"/>
          <w14:ligatures w14:val="none"/>
        </w:rPr>
        <w:t>m</w:t>
      </w:r>
      <w:r>
        <w:rPr>
          <w:rFonts w:ascii="Times New Roman" w:eastAsia="Times New Roman" w:hAnsi="Times New Roman" w:cs="Times New Roman"/>
          <w:kern w:val="0"/>
          <w:sz w:val="24"/>
          <w:szCs w:val="24"/>
          <w14:ligatures w14:val="none"/>
        </w:rPr>
        <w:t xml:space="preserve"> i płyt betonowych, ażurowych typu IOBM o łącznej szerokości 4 m i obustronne pobocze o szerokości 0,5 m wzmocnione kruszywem kamiennym. </w:t>
      </w:r>
    </w:p>
    <w:p w14:paraId="4678090A" w14:textId="223E32D3" w:rsidR="006B38E0" w:rsidRPr="006B38E0"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Dopuszcza się zaprojektowanie elementów nawierzchni z materiałów przepuszczalnych.</w:t>
      </w:r>
    </w:p>
    <w:p w14:paraId="05FF94E3" w14:textId="2CBF88DC" w:rsidR="006B38E0" w:rsidRPr="006B38E0"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 xml:space="preserve">Projektuje się dowiązanie do drogi gminnej ul. </w:t>
      </w:r>
      <w:r w:rsidR="00C94C7D">
        <w:rPr>
          <w:rFonts w:ascii="Times New Roman" w:eastAsia="Times New Roman" w:hAnsi="Times New Roman" w:cs="Times New Roman"/>
          <w:kern w:val="0"/>
          <w:sz w:val="24"/>
          <w:szCs w:val="24"/>
          <w14:ligatures w14:val="none"/>
        </w:rPr>
        <w:t>Spokojnej</w:t>
      </w:r>
      <w:r w:rsidRPr="006B38E0">
        <w:rPr>
          <w:rFonts w:ascii="Times New Roman" w:eastAsia="Times New Roman" w:hAnsi="Times New Roman" w:cs="Times New Roman"/>
          <w:kern w:val="0"/>
          <w:sz w:val="24"/>
          <w:szCs w:val="24"/>
          <w14:ligatures w14:val="none"/>
        </w:rPr>
        <w:t xml:space="preserve"> działka nr 1</w:t>
      </w:r>
      <w:r w:rsidR="00C94C7D">
        <w:rPr>
          <w:rFonts w:ascii="Times New Roman" w:eastAsia="Times New Roman" w:hAnsi="Times New Roman" w:cs="Times New Roman"/>
          <w:kern w:val="0"/>
          <w:sz w:val="24"/>
          <w:szCs w:val="24"/>
          <w14:ligatures w14:val="none"/>
        </w:rPr>
        <w:t>63</w:t>
      </w:r>
      <w:r w:rsidRPr="006B38E0">
        <w:rPr>
          <w:rFonts w:ascii="Times New Roman" w:eastAsia="Times New Roman" w:hAnsi="Times New Roman" w:cs="Times New Roman"/>
          <w:kern w:val="0"/>
          <w:sz w:val="24"/>
          <w:szCs w:val="24"/>
          <w14:ligatures w14:val="none"/>
        </w:rPr>
        <w:t xml:space="preserve"> w </w:t>
      </w:r>
      <w:r w:rsidR="00C94C7D">
        <w:rPr>
          <w:rFonts w:ascii="Times New Roman" w:eastAsia="Times New Roman" w:hAnsi="Times New Roman" w:cs="Times New Roman"/>
          <w:kern w:val="0"/>
          <w:sz w:val="24"/>
          <w:szCs w:val="24"/>
          <w14:ligatures w14:val="none"/>
        </w:rPr>
        <w:t>Drewnicy</w:t>
      </w:r>
      <w:r w:rsidRPr="006B38E0">
        <w:rPr>
          <w:rFonts w:ascii="Times New Roman" w:eastAsia="Times New Roman" w:hAnsi="Times New Roman" w:cs="Times New Roman"/>
          <w:kern w:val="0"/>
          <w:sz w:val="24"/>
          <w:szCs w:val="24"/>
          <w14:ligatures w14:val="none"/>
        </w:rPr>
        <w:t xml:space="preserve">. </w:t>
      </w:r>
    </w:p>
    <w:p w14:paraId="38FF6A2F" w14:textId="77777777" w:rsidR="006B38E0" w:rsidRPr="006B38E0"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Projektuje się odwodnienie powierzchniowe.</w:t>
      </w:r>
    </w:p>
    <w:p w14:paraId="16973936" w14:textId="77777777" w:rsidR="00C94C7D"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 xml:space="preserve">Zadanie obejmuje drogę gminną działka nr </w:t>
      </w:r>
      <w:r w:rsidR="00C94C7D">
        <w:rPr>
          <w:rFonts w:ascii="Times New Roman" w:eastAsia="Times New Roman" w:hAnsi="Times New Roman" w:cs="Times New Roman"/>
          <w:kern w:val="0"/>
          <w:sz w:val="24"/>
          <w:szCs w:val="24"/>
          <w14:ligatures w14:val="none"/>
        </w:rPr>
        <w:t>95</w:t>
      </w:r>
      <w:r w:rsidRPr="006B38E0">
        <w:rPr>
          <w:rFonts w:ascii="Times New Roman" w:eastAsia="Times New Roman" w:hAnsi="Times New Roman" w:cs="Times New Roman"/>
          <w:kern w:val="0"/>
          <w:sz w:val="24"/>
          <w:szCs w:val="24"/>
          <w14:ligatures w14:val="none"/>
        </w:rPr>
        <w:t xml:space="preserve">, która stanowi drogę gminną publiczną. </w:t>
      </w:r>
    </w:p>
    <w:p w14:paraId="39995CE0" w14:textId="1C3EFFE3" w:rsidR="006B38E0" w:rsidRPr="006B38E0" w:rsidRDefault="006B38E0" w:rsidP="006B38E0">
      <w:pPr>
        <w:spacing w:after="0" w:line="240" w:lineRule="auto"/>
        <w:rPr>
          <w:rFonts w:ascii="Times New Roman" w:eastAsia="Times New Roman" w:hAnsi="Times New Roman" w:cs="Times New Roman"/>
          <w:kern w:val="0"/>
          <w:sz w:val="24"/>
          <w:szCs w:val="24"/>
          <w14:ligatures w14:val="none"/>
        </w:rPr>
      </w:pPr>
      <w:r w:rsidRPr="006B38E0">
        <w:rPr>
          <w:rFonts w:ascii="Times New Roman" w:eastAsia="Times New Roman" w:hAnsi="Times New Roman" w:cs="Times New Roman"/>
          <w:kern w:val="0"/>
          <w:sz w:val="24"/>
          <w:szCs w:val="24"/>
          <w14:ligatures w14:val="none"/>
        </w:rPr>
        <w:t>W/w droga stanowi dojazd do zabudowy mieszkaniowej, jednorodzinnej</w:t>
      </w:r>
      <w:r w:rsidR="00C94C7D">
        <w:rPr>
          <w:rFonts w:ascii="Times New Roman" w:eastAsia="Times New Roman" w:hAnsi="Times New Roman" w:cs="Times New Roman"/>
          <w:kern w:val="0"/>
          <w:sz w:val="24"/>
          <w:szCs w:val="24"/>
          <w14:ligatures w14:val="none"/>
        </w:rPr>
        <w:t xml:space="preserve"> oraz gruntów rolnych</w:t>
      </w:r>
      <w:r w:rsidRPr="006B38E0">
        <w:rPr>
          <w:rFonts w:ascii="Times New Roman" w:eastAsia="Times New Roman" w:hAnsi="Times New Roman" w:cs="Times New Roman"/>
          <w:kern w:val="0"/>
          <w:sz w:val="24"/>
          <w:szCs w:val="24"/>
          <w14:ligatures w14:val="none"/>
        </w:rPr>
        <w:t>.</w:t>
      </w:r>
    </w:p>
    <w:bookmarkEnd w:id="0"/>
    <w:p w14:paraId="0355725A" w14:textId="77777777" w:rsidR="006B38E0" w:rsidRPr="006B38E0" w:rsidRDefault="006B38E0" w:rsidP="006B38E0">
      <w:pPr>
        <w:spacing w:after="0" w:line="240" w:lineRule="auto"/>
        <w:rPr>
          <w:rFonts w:ascii="Times New Roman" w:eastAsia="Calibri" w:hAnsi="Times New Roman" w:cs="Times New Roman"/>
          <w:kern w:val="0"/>
          <w:sz w:val="24"/>
          <w:szCs w:val="24"/>
          <w14:ligatures w14:val="none"/>
        </w:rPr>
      </w:pPr>
    </w:p>
    <w:p w14:paraId="001094C8"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b/>
          <w:bCs/>
          <w:color w:val="000000"/>
          <w:kern w:val="0"/>
          <w:sz w:val="24"/>
          <w:szCs w:val="24"/>
          <w14:ligatures w14:val="none"/>
        </w:rPr>
      </w:pPr>
      <w:r w:rsidRPr="006B38E0">
        <w:rPr>
          <w:rFonts w:ascii="Times New Roman" w:eastAsia="Calibri" w:hAnsi="Times New Roman" w:cs="Times New Roman"/>
          <w:b/>
          <w:bCs/>
          <w:color w:val="000000"/>
          <w:kern w:val="0"/>
          <w:sz w:val="24"/>
          <w:szCs w:val="24"/>
          <w14:ligatures w14:val="none"/>
        </w:rPr>
        <w:t xml:space="preserve">2. Na przedmiot zamówienia określony w pkt 1 w zakresie każdej z części, składa się zakres rzeczowy prac projektowych, w szczególności obejmujących: </w:t>
      </w:r>
    </w:p>
    <w:p w14:paraId="172864F8"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1) wykonanie mapy do celów projektowych i wypisów z rejestru gruntów działek, które będą podstawą opracowania dokumentacji, </w:t>
      </w:r>
    </w:p>
    <w:p w14:paraId="03B64D4C"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2) wykonanie koncepcji układu drogowego przedmiotu umowy oraz uzyskania pozytywnej opinii Zamawiającego, </w:t>
      </w:r>
    </w:p>
    <w:p w14:paraId="03C01D85"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3) uzyskanie w imieniu Zamawiającego wszelkich stosownych decyzji administracyjnych, ekspertyz, uzgodnień i opinii niezbędnych do, prawidłowego wykonania prac projektowych, a koniecznych do uzyskania przez Zamawiającego ostatecznego pozwolenia na budowę/ zgłoszenia wykonania robót, </w:t>
      </w:r>
    </w:p>
    <w:p w14:paraId="7C392E7B"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4) uzyskanie zgody właścicieli urządzeń technicznych i sieci, właścicieli działek na udostępnienie terenu oraz innych dokumentów związanych z wykonaniem zamówienia, a wymaganych obowiązującymi przepisami prawa – pozwoleń, zgód, porozumień, warunków technicznych, warunków realizacyjnych, uzgodnień w przypadku zaistnienia takiej konieczności, </w:t>
      </w:r>
    </w:p>
    <w:p w14:paraId="38B9110D"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5) uzyskanie w imieniu Zamawiającego od wszelkich użytkowników sieci infrastrukturalnych technicznych warunków przyłączenia i realizacji robót, </w:t>
      </w:r>
    </w:p>
    <w:p w14:paraId="2ECFE46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6) uzgodnienia branżowe dokonane przez wszystkich gestorów sieci występujących w granicach opracowania, </w:t>
      </w:r>
    </w:p>
    <w:p w14:paraId="787B3F73"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7) w razie kolizji z sieciami podziemnymi urządzeń obcych opracowanie projektu przebudowy lub rozwiązania zamienne przebudowy sieci w obrębie projektu, </w:t>
      </w:r>
    </w:p>
    <w:p w14:paraId="2B3E29C5"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8) zapewnienie obsługi geodezyjnej i geologicznej, </w:t>
      </w:r>
    </w:p>
    <w:p w14:paraId="0AD54250"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9) wykonanie dokumentacji hydrotechnicznej i hydrologicznej w razie konieczności, </w:t>
      </w:r>
    </w:p>
    <w:p w14:paraId="325D9F13"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10) sprawowanie nadzoru autorskiego przez cały okres realizacji inwestycji do momentu uzyskania zgody na użytkowanie obiektów budowlanych, </w:t>
      </w:r>
    </w:p>
    <w:p w14:paraId="4CAC7597"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lastRenderedPageBreak/>
        <w:t xml:space="preserve">11) uzyskanie decyzji o środowiskowych uwarunkowaniach realizacji przedsięwzięcia wraz z wnioskiem oraz materiałami wymaganymi do decyzji o </w:t>
      </w:r>
      <w:r w:rsidRPr="006B38E0">
        <w:rPr>
          <w:rFonts w:ascii="Times New Roman" w:eastAsia="Calibri" w:hAnsi="Times New Roman" w:cs="Times New Roman"/>
          <w:kern w:val="0"/>
          <w:sz w:val="24"/>
          <w:szCs w:val="24"/>
          <w14:ligatures w14:val="none"/>
        </w:rPr>
        <w:t xml:space="preserve">środowiskowych uwarunkowaniach realizacji przedsięwzięcia (KIP) (w razie konieczności), </w:t>
      </w:r>
    </w:p>
    <w:p w14:paraId="0F280BF5"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12) opracowanie raportu o oddziaływaniu przedsięwzięcia na środowisko (w razie konieczności); </w:t>
      </w:r>
    </w:p>
    <w:p w14:paraId="0E5F7147"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13) uzyskanie pozwolenia wodnoprawnego (w razie konieczności), </w:t>
      </w:r>
    </w:p>
    <w:p w14:paraId="7E8957E7"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14) wykonanie inwentaryzacji stanu istniejącego, </w:t>
      </w:r>
    </w:p>
    <w:p w14:paraId="75FE3213"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15) uzyskanie zgody na usadowienie znaków drogowych, w przypadku zaistnienia takiej konieczności, </w:t>
      </w:r>
    </w:p>
    <w:p w14:paraId="33D3F82B"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16) wykonanie zbiorczego zestawienia kosztów (ZZK),  </w:t>
      </w:r>
    </w:p>
    <w:p w14:paraId="65E4476F"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17) uzgodnienie z Państwowym Gospodarstwem Wodnym Wody Polskie rozwiązań projektowych oraz operatów wodnoprawnych w obszarach objętych oddziaływaniem w razie konieczności, </w:t>
      </w:r>
    </w:p>
    <w:p w14:paraId="019567E9" w14:textId="77777777" w:rsidR="006B38E0" w:rsidRPr="006B38E0" w:rsidRDefault="006B38E0" w:rsidP="006B38E0">
      <w:pPr>
        <w:autoSpaceDE w:val="0"/>
        <w:autoSpaceDN w:val="0"/>
        <w:adjustRightInd w:val="0"/>
        <w:spacing w:after="17"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18) niezwłoczne informowanie Zamawiającego, nie później jednak niż w terminie 3 dni od dnia powzięcia wiadomości o wszelkich nieprawidłowościach oraz zagrożeniach powstania nieprawidłowości mogących mieć jakikolwiek wpływ na sytuację Zamawiającego w sprawach objętych niniejszą Umową. </w:t>
      </w:r>
    </w:p>
    <w:p w14:paraId="5BC00F6A"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color w:val="000000"/>
          <w:kern w:val="0"/>
          <w:sz w:val="24"/>
          <w:szCs w:val="24"/>
          <w14:ligatures w14:val="none"/>
        </w:rPr>
      </w:pPr>
    </w:p>
    <w:p w14:paraId="721C3112"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b/>
          <w:bCs/>
          <w:color w:val="000000"/>
          <w:kern w:val="0"/>
          <w:sz w:val="24"/>
          <w:szCs w:val="24"/>
          <w14:ligatures w14:val="none"/>
        </w:rPr>
      </w:pPr>
      <w:r w:rsidRPr="006B38E0">
        <w:rPr>
          <w:rFonts w:ascii="Times New Roman" w:eastAsia="Calibri" w:hAnsi="Times New Roman" w:cs="Times New Roman"/>
          <w:b/>
          <w:bCs/>
          <w:color w:val="000000"/>
          <w:kern w:val="0"/>
          <w:sz w:val="24"/>
          <w:szCs w:val="24"/>
          <w14:ligatures w14:val="none"/>
        </w:rPr>
        <w:t xml:space="preserve">3. Wykonana dokumentacja musi być kompletna z punktu widzenia celu, któremu ma służyć. </w:t>
      </w:r>
    </w:p>
    <w:p w14:paraId="3E93637E"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b/>
          <w:bCs/>
          <w:color w:val="000000"/>
          <w:kern w:val="0"/>
          <w:sz w:val="24"/>
          <w:szCs w:val="24"/>
          <w14:ligatures w14:val="none"/>
        </w:rPr>
      </w:pPr>
      <w:r w:rsidRPr="006B38E0">
        <w:rPr>
          <w:rFonts w:ascii="Times New Roman" w:eastAsia="Calibri" w:hAnsi="Times New Roman" w:cs="Times New Roman"/>
          <w:b/>
          <w:bCs/>
          <w:color w:val="000000"/>
          <w:kern w:val="0"/>
          <w:sz w:val="24"/>
          <w:szCs w:val="24"/>
          <w14:ligatures w14:val="none"/>
        </w:rPr>
        <w:t>4. Opracowana dokumentacja musi być przygotowana w sposób umożliwiający uzyskanie przez Wykonawcę decyzji o pozwoleniu na budowę lub stosownie od wymagań dokonanie skutecznego zgłoszenia robót nie wymagających pozwolenia na budowę.</w:t>
      </w:r>
    </w:p>
    <w:p w14:paraId="375CBE9A"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b/>
          <w:bCs/>
          <w:color w:val="000000"/>
          <w:kern w:val="0"/>
          <w:sz w:val="24"/>
          <w:szCs w:val="24"/>
          <w14:ligatures w14:val="none"/>
        </w:rPr>
      </w:pPr>
      <w:r w:rsidRPr="006B38E0">
        <w:rPr>
          <w:rFonts w:ascii="Times New Roman" w:eastAsia="Calibri" w:hAnsi="Times New Roman" w:cs="Times New Roman"/>
          <w:b/>
          <w:bCs/>
          <w:color w:val="000000"/>
          <w:kern w:val="0"/>
          <w:sz w:val="24"/>
          <w:szCs w:val="24"/>
          <w14:ligatures w14:val="none"/>
        </w:rPr>
        <w:t xml:space="preserve">5. Dokumentacja projektowa winna składać się z następujących elementów: </w:t>
      </w:r>
    </w:p>
    <w:p w14:paraId="7C08EE03"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1) mapy do celów projektowych, </w:t>
      </w:r>
    </w:p>
    <w:p w14:paraId="7D9FE1A5"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2) wypisów i wyrysów z rejestru gruntów, </w:t>
      </w:r>
    </w:p>
    <w:p w14:paraId="79A0812E"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3) koncepcji zagospodarowania terenu, </w:t>
      </w:r>
    </w:p>
    <w:p w14:paraId="1D88C6DC"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4) opinii, uzgodnień, zgód, decyzji, zezwoleń i sprawdzeń zastosowanych rozwiązań projektowych w zakresie wynikającym z obowiązujących przepisów, niezbędnych do prawidłowego wykonania prac projektowych, a niezbędnych do uzyskania ostatecznego pozwolenia na budowę / zgłoszenia robót, </w:t>
      </w:r>
    </w:p>
    <w:p w14:paraId="2341B739"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5) projektu budowlanego wraz z uzyskaniem w imieniu Zamawiającego pozwolenia na budowę/zgłoszenia wykonania robót, </w:t>
      </w:r>
    </w:p>
    <w:p w14:paraId="2B1EBC42"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6) projektów technicznych, </w:t>
      </w:r>
    </w:p>
    <w:p w14:paraId="5528EC71"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7) opracowań kosztorysowych, przedmiarów robót oraz specyfikacji technicznych wykonania i odbioru robót budowlanych (</w:t>
      </w:r>
      <w:proofErr w:type="spellStart"/>
      <w:r w:rsidRPr="006B38E0">
        <w:rPr>
          <w:rFonts w:ascii="Times New Roman" w:eastAsia="Calibri" w:hAnsi="Times New Roman" w:cs="Times New Roman"/>
          <w:color w:val="000000"/>
          <w:kern w:val="0"/>
          <w:sz w:val="24"/>
          <w:szCs w:val="24"/>
          <w14:ligatures w14:val="none"/>
        </w:rPr>
        <w:t>STWiORB</w:t>
      </w:r>
      <w:proofErr w:type="spellEnd"/>
      <w:r w:rsidRPr="006B38E0">
        <w:rPr>
          <w:rFonts w:ascii="Times New Roman" w:eastAsia="Calibri" w:hAnsi="Times New Roman" w:cs="Times New Roman"/>
          <w:color w:val="000000"/>
          <w:kern w:val="0"/>
          <w:sz w:val="24"/>
          <w:szCs w:val="24"/>
          <w14:ligatures w14:val="none"/>
        </w:rPr>
        <w:t xml:space="preserve">), odpowiadających dokumentacji projektowej, </w:t>
      </w:r>
    </w:p>
    <w:p w14:paraId="1E039B4C"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8) projektu zagospodarowania terenu oraz projektu infrastruktury technicznej, tj. sieci w niezbędnym zakresie, wynikającym z uzgodnień i warunków technicznych zasilania, </w:t>
      </w:r>
    </w:p>
    <w:p w14:paraId="0B6969D6"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9) projektu stałej organizacji ruchu, </w:t>
      </w:r>
    </w:p>
    <w:p w14:paraId="660DE532"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color w:val="000000"/>
          <w:kern w:val="0"/>
          <w:sz w:val="24"/>
          <w:szCs w:val="24"/>
          <w14:ligatures w14:val="none"/>
        </w:rPr>
      </w:pPr>
      <w:r w:rsidRPr="006B38E0">
        <w:rPr>
          <w:rFonts w:ascii="Times New Roman" w:eastAsia="Calibri" w:hAnsi="Times New Roman" w:cs="Times New Roman"/>
          <w:color w:val="000000"/>
          <w:kern w:val="0"/>
          <w:sz w:val="24"/>
          <w:szCs w:val="24"/>
          <w14:ligatures w14:val="none"/>
        </w:rPr>
        <w:t xml:space="preserve">10) dokumentacji hydrotechnicznej i hydrologicznej w razie konieczności, </w:t>
      </w:r>
    </w:p>
    <w:p w14:paraId="3E1EA0AE"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p>
    <w:p w14:paraId="3807142B"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11) dokumentacji geologiczno-inżynierskiej w razie konieczności. </w:t>
      </w:r>
    </w:p>
    <w:p w14:paraId="029D911D"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p>
    <w:p w14:paraId="71D4B0B1"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6. Dokumentacja powinna być wykonana w następującej formie: </w:t>
      </w:r>
    </w:p>
    <w:p w14:paraId="078B681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 </w:t>
      </w:r>
      <w:r w:rsidRPr="006B38E0">
        <w:rPr>
          <w:rFonts w:ascii="Times New Roman" w:eastAsia="Calibri" w:hAnsi="Times New Roman" w:cs="Times New Roman"/>
          <w:b/>
          <w:bCs/>
          <w:kern w:val="0"/>
          <w:sz w:val="24"/>
          <w:szCs w:val="24"/>
          <w14:ligatures w14:val="none"/>
        </w:rPr>
        <w:t xml:space="preserve">zatwierdzona koncepcja </w:t>
      </w:r>
      <w:r w:rsidRPr="006B38E0">
        <w:rPr>
          <w:rFonts w:ascii="Times New Roman" w:eastAsia="Calibri" w:hAnsi="Times New Roman" w:cs="Times New Roman"/>
          <w:kern w:val="0"/>
          <w:sz w:val="24"/>
          <w:szCs w:val="24"/>
          <w14:ligatures w14:val="none"/>
        </w:rPr>
        <w:t xml:space="preserve">– 2 egzemplarze w formie papierowej oraz wersja elektroniczna, </w:t>
      </w:r>
    </w:p>
    <w:p w14:paraId="0A26345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2) </w:t>
      </w:r>
      <w:r w:rsidRPr="006B38E0">
        <w:rPr>
          <w:rFonts w:ascii="Times New Roman" w:eastAsia="Calibri" w:hAnsi="Times New Roman" w:cs="Times New Roman"/>
          <w:b/>
          <w:bCs/>
          <w:kern w:val="0"/>
          <w:sz w:val="24"/>
          <w:szCs w:val="24"/>
          <w14:ligatures w14:val="none"/>
        </w:rPr>
        <w:t xml:space="preserve">projekt budowlany dla wszystkich branż </w:t>
      </w:r>
      <w:r w:rsidRPr="006B38E0">
        <w:rPr>
          <w:rFonts w:ascii="Times New Roman" w:eastAsia="Calibri" w:hAnsi="Times New Roman" w:cs="Times New Roman"/>
          <w:kern w:val="0"/>
          <w:sz w:val="24"/>
          <w:szCs w:val="24"/>
          <w14:ligatures w14:val="none"/>
        </w:rPr>
        <w:t xml:space="preserve">– w ilości 4 kompletnych egzemplarzy w formie papierowej oraz wersja elektroniczna – wykonany zgodnie z wymaganiami ustawy z dnia 7 lipca 1994 r. Prawo budowlane (Dz. U. z 2021 r., poz. 2351 z </w:t>
      </w:r>
      <w:proofErr w:type="spellStart"/>
      <w:r w:rsidRPr="006B38E0">
        <w:rPr>
          <w:rFonts w:ascii="Times New Roman" w:eastAsia="Calibri" w:hAnsi="Times New Roman" w:cs="Times New Roman"/>
          <w:kern w:val="0"/>
          <w:sz w:val="24"/>
          <w:szCs w:val="24"/>
          <w14:ligatures w14:val="none"/>
        </w:rPr>
        <w:t>późn</w:t>
      </w:r>
      <w:proofErr w:type="spellEnd"/>
      <w:r w:rsidRPr="006B38E0">
        <w:rPr>
          <w:rFonts w:ascii="Times New Roman" w:eastAsia="Calibri" w:hAnsi="Times New Roman" w:cs="Times New Roman"/>
          <w:kern w:val="0"/>
          <w:sz w:val="24"/>
          <w:szCs w:val="24"/>
          <w14:ligatures w14:val="none"/>
        </w:rPr>
        <w:t xml:space="preserve">. zm.), </w:t>
      </w:r>
    </w:p>
    <w:p w14:paraId="76B3E272"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3) </w:t>
      </w:r>
      <w:r w:rsidRPr="006B38E0">
        <w:rPr>
          <w:rFonts w:ascii="Times New Roman" w:eastAsia="Calibri" w:hAnsi="Times New Roman" w:cs="Times New Roman"/>
          <w:b/>
          <w:bCs/>
          <w:kern w:val="0"/>
          <w:sz w:val="24"/>
          <w:szCs w:val="24"/>
          <w14:ligatures w14:val="none"/>
        </w:rPr>
        <w:t xml:space="preserve">projekt techniczny dla wszystkich branż </w:t>
      </w:r>
      <w:r w:rsidRPr="006B38E0">
        <w:rPr>
          <w:rFonts w:ascii="Times New Roman" w:eastAsia="Calibri" w:hAnsi="Times New Roman" w:cs="Times New Roman"/>
          <w:kern w:val="0"/>
          <w:sz w:val="24"/>
          <w:szCs w:val="24"/>
          <w14:ligatures w14:val="none"/>
        </w:rPr>
        <w:t xml:space="preserve">– w ilości 4 kompletnych egzemplarzy w formie papierowej oraz wersja elektroniczna – wykonany zgodnie z wymaganiami Rozporządzenia Ministra Rozwoju i Technologii z dnia 20 grudnia 2021 r. w sprawie szczegółowego zakresu i formy dokumentacji projektowej, specyfikacji technicznych wykonania i odbioru robót budowlanych oraz programu funkcjonalno-użytkowego (Dz. U. z 2021 r., poz. 2454 z </w:t>
      </w:r>
      <w:proofErr w:type="spellStart"/>
      <w:r w:rsidRPr="006B38E0">
        <w:rPr>
          <w:rFonts w:ascii="Times New Roman" w:eastAsia="Calibri" w:hAnsi="Times New Roman" w:cs="Times New Roman"/>
          <w:kern w:val="0"/>
          <w:sz w:val="24"/>
          <w:szCs w:val="24"/>
          <w14:ligatures w14:val="none"/>
        </w:rPr>
        <w:t>późn</w:t>
      </w:r>
      <w:proofErr w:type="spellEnd"/>
      <w:r w:rsidRPr="006B38E0">
        <w:rPr>
          <w:rFonts w:ascii="Times New Roman" w:eastAsia="Calibri" w:hAnsi="Times New Roman" w:cs="Times New Roman"/>
          <w:kern w:val="0"/>
          <w:sz w:val="24"/>
          <w:szCs w:val="24"/>
          <w14:ligatures w14:val="none"/>
        </w:rPr>
        <w:t xml:space="preserve">. zm.), </w:t>
      </w:r>
    </w:p>
    <w:p w14:paraId="6E03299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4) </w:t>
      </w:r>
      <w:r w:rsidRPr="006B38E0">
        <w:rPr>
          <w:rFonts w:ascii="Times New Roman" w:eastAsia="Calibri" w:hAnsi="Times New Roman" w:cs="Times New Roman"/>
          <w:b/>
          <w:bCs/>
          <w:kern w:val="0"/>
          <w:sz w:val="24"/>
          <w:szCs w:val="24"/>
          <w14:ligatures w14:val="none"/>
        </w:rPr>
        <w:t xml:space="preserve">kosztorys inwestorski </w:t>
      </w:r>
      <w:r w:rsidRPr="006B38E0">
        <w:rPr>
          <w:rFonts w:ascii="Times New Roman" w:eastAsia="Calibri" w:hAnsi="Times New Roman" w:cs="Times New Roman"/>
          <w:kern w:val="0"/>
          <w:sz w:val="24"/>
          <w:szCs w:val="24"/>
          <w14:ligatures w14:val="none"/>
        </w:rPr>
        <w:t xml:space="preserve">– w ilości 2 kompletnych egzemplarzy w rozbiciu na poszczególne branże w formie papierowego oryginału oraz 2 w formie cyfrowej – wykonany zgodnie z wymaganiami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 poz. 2458), </w:t>
      </w:r>
    </w:p>
    <w:p w14:paraId="0A609C7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5) </w:t>
      </w:r>
      <w:r w:rsidRPr="006B38E0">
        <w:rPr>
          <w:rFonts w:ascii="Times New Roman" w:eastAsia="Calibri" w:hAnsi="Times New Roman" w:cs="Times New Roman"/>
          <w:b/>
          <w:bCs/>
          <w:kern w:val="0"/>
          <w:sz w:val="24"/>
          <w:szCs w:val="24"/>
          <w14:ligatures w14:val="none"/>
        </w:rPr>
        <w:t xml:space="preserve">zbiorcze zestawienie kosztów </w:t>
      </w:r>
      <w:r w:rsidRPr="006B38E0">
        <w:rPr>
          <w:rFonts w:ascii="Times New Roman" w:eastAsia="Calibri" w:hAnsi="Times New Roman" w:cs="Times New Roman"/>
          <w:kern w:val="0"/>
          <w:sz w:val="24"/>
          <w:szCs w:val="24"/>
          <w14:ligatures w14:val="none"/>
        </w:rPr>
        <w:t xml:space="preserve">– w ilości 2 kompletnych egzemplarzy w formie papierowego oryginału oraz 2 w formie cyfrowej, </w:t>
      </w:r>
    </w:p>
    <w:p w14:paraId="37605E9F"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6) </w:t>
      </w:r>
      <w:r w:rsidRPr="006B38E0">
        <w:rPr>
          <w:rFonts w:ascii="Times New Roman" w:eastAsia="Calibri" w:hAnsi="Times New Roman" w:cs="Times New Roman"/>
          <w:b/>
          <w:bCs/>
          <w:kern w:val="0"/>
          <w:sz w:val="24"/>
          <w:szCs w:val="24"/>
          <w14:ligatures w14:val="none"/>
        </w:rPr>
        <w:t xml:space="preserve">przedmiar robót </w:t>
      </w:r>
      <w:r w:rsidRPr="006B38E0">
        <w:rPr>
          <w:rFonts w:ascii="Times New Roman" w:eastAsia="Calibri" w:hAnsi="Times New Roman" w:cs="Times New Roman"/>
          <w:kern w:val="0"/>
          <w:sz w:val="24"/>
          <w:szCs w:val="24"/>
          <w14:ligatures w14:val="none"/>
        </w:rPr>
        <w:t xml:space="preserve">– w ilości 2 kompletnych egzemplarzy formie papierowej oraz w wersji elektronicznej w rozbiciu na poszczególne branże wykonany zgodnie z wymaganiami Rozporządzenia Ministra Rozwoju i Technologii z dnia 20 grudnia 2021 r. w sprawie szczegółowego zakresu i formy dokumentacji projektowej, specyfikacji technicznych wykonania i odbioru robót budowlanych oraz programu funkcjonalno-użytkowego (Dz. U. z 2021 r., poz. 2454 z </w:t>
      </w:r>
      <w:proofErr w:type="spellStart"/>
      <w:r w:rsidRPr="006B38E0">
        <w:rPr>
          <w:rFonts w:ascii="Times New Roman" w:eastAsia="Calibri" w:hAnsi="Times New Roman" w:cs="Times New Roman"/>
          <w:kern w:val="0"/>
          <w:sz w:val="24"/>
          <w:szCs w:val="24"/>
          <w14:ligatures w14:val="none"/>
        </w:rPr>
        <w:t>późn</w:t>
      </w:r>
      <w:proofErr w:type="spellEnd"/>
      <w:r w:rsidRPr="006B38E0">
        <w:rPr>
          <w:rFonts w:ascii="Times New Roman" w:eastAsia="Calibri" w:hAnsi="Times New Roman" w:cs="Times New Roman"/>
          <w:kern w:val="0"/>
          <w:sz w:val="24"/>
          <w:szCs w:val="24"/>
          <w14:ligatures w14:val="none"/>
        </w:rPr>
        <w:t xml:space="preserve">. zm.), </w:t>
      </w:r>
    </w:p>
    <w:p w14:paraId="071AD33B" w14:textId="77777777" w:rsidR="006B38E0" w:rsidRPr="006B38E0" w:rsidRDefault="006B38E0" w:rsidP="006B38E0">
      <w:pPr>
        <w:autoSpaceDE w:val="0"/>
        <w:autoSpaceDN w:val="0"/>
        <w:adjustRightInd w:val="0"/>
        <w:spacing w:after="154"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7) </w:t>
      </w:r>
      <w:r w:rsidRPr="006B38E0">
        <w:rPr>
          <w:rFonts w:ascii="Times New Roman" w:eastAsia="Calibri" w:hAnsi="Times New Roman" w:cs="Times New Roman"/>
          <w:b/>
          <w:bCs/>
          <w:kern w:val="0"/>
          <w:sz w:val="24"/>
          <w:szCs w:val="24"/>
          <w14:ligatures w14:val="none"/>
        </w:rPr>
        <w:t xml:space="preserve">specyfikacja techniczna wykonania i odbioru robót budowlanych </w:t>
      </w:r>
      <w:r w:rsidRPr="006B38E0">
        <w:rPr>
          <w:rFonts w:ascii="Times New Roman" w:eastAsia="Calibri" w:hAnsi="Times New Roman" w:cs="Times New Roman"/>
          <w:kern w:val="0"/>
          <w:sz w:val="24"/>
          <w:szCs w:val="24"/>
          <w14:ligatures w14:val="none"/>
        </w:rPr>
        <w:t xml:space="preserve">– w ilości 2 kompletnych egzemplarzy w formie papierowej oraz wersji elektronicznej w rozbiciu na poszczególne branże wykonana zgodnie z wymaganiami Rozporządzenia Ministra Rozwoju i Technologii z dnia 20 grudnia 2021 r. w sprawie szczegółowego zakresu i formy dokumentacji projektowej, specyfikacji technicznych wykonania i odbioru robót budowlanych oraz programu funkcjonalno-użytkowego (Dz. U. z 2021 r., poz. 2454 z </w:t>
      </w:r>
      <w:proofErr w:type="spellStart"/>
      <w:r w:rsidRPr="006B38E0">
        <w:rPr>
          <w:rFonts w:ascii="Times New Roman" w:eastAsia="Calibri" w:hAnsi="Times New Roman" w:cs="Times New Roman"/>
          <w:kern w:val="0"/>
          <w:sz w:val="24"/>
          <w:szCs w:val="24"/>
          <w14:ligatures w14:val="none"/>
        </w:rPr>
        <w:t>późn</w:t>
      </w:r>
      <w:proofErr w:type="spellEnd"/>
      <w:r w:rsidRPr="006B38E0">
        <w:rPr>
          <w:rFonts w:ascii="Times New Roman" w:eastAsia="Calibri" w:hAnsi="Times New Roman" w:cs="Times New Roman"/>
          <w:kern w:val="0"/>
          <w:sz w:val="24"/>
          <w:szCs w:val="24"/>
          <w14:ligatures w14:val="none"/>
        </w:rPr>
        <w:t xml:space="preserve">. zm.), </w:t>
      </w:r>
    </w:p>
    <w:p w14:paraId="2B262D44"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p>
    <w:p w14:paraId="72A35155"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7. Wykonawca zobowiązany będzie do: </w:t>
      </w:r>
    </w:p>
    <w:p w14:paraId="7E741C97"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1) trzykrotnej aktualizacji każdego z opracowanych kosztorysów inwestorskich.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 Kosztorysy te niezbędne będą do przeprowadzenia procedury przetargowej wyłaniającej wykonawcę robót budowlanych w oparciu o wykonaną dokumentację. </w:t>
      </w:r>
    </w:p>
    <w:p w14:paraId="4779D0A7"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2) udzielania odpowiedzi na pytania Wykonawców dotyczące projektu niezwłocznie, nie później jednak niż w terminie 48 godzin od przekazania treści zapytań oraz do uzupełniania braków w projekcie i w przedmiarach robót, bez dodatkowego wynagrodzenia. </w:t>
      </w:r>
    </w:p>
    <w:p w14:paraId="274683FD"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p>
    <w:p w14:paraId="57425B46"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9. Zamawiający wymaga, aby zaprojektowane rozwiązania uwzględniały dostępność drogi dla potrzeb wszystkich użytkowników, w tym dla osób niepełnosprawnych zgodnie z ustawą o zapewnianiu dostępności osobom z szczególnymi potrzebami (t. j. Dz. U. z 2020 r., poz. 1062 ze zm.). </w:t>
      </w:r>
    </w:p>
    <w:p w14:paraId="27B46885"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10.</w:t>
      </w:r>
      <w:r w:rsidRPr="006B38E0">
        <w:rPr>
          <w:rFonts w:ascii="Times New Roman" w:eastAsia="Calibri" w:hAnsi="Times New Roman" w:cs="Times New Roman"/>
          <w:kern w:val="0"/>
          <w:sz w:val="24"/>
          <w:szCs w:val="24"/>
          <w14:ligatures w14:val="none"/>
        </w:rPr>
        <w:t xml:space="preserve"> </w:t>
      </w:r>
      <w:r w:rsidRPr="006B38E0">
        <w:rPr>
          <w:rFonts w:ascii="Times New Roman" w:eastAsia="Calibri" w:hAnsi="Times New Roman" w:cs="Times New Roman"/>
          <w:b/>
          <w:bCs/>
          <w:kern w:val="0"/>
          <w:sz w:val="24"/>
          <w:szCs w:val="24"/>
          <w14:ligatures w14:val="none"/>
        </w:rPr>
        <w:t xml:space="preserve">Wykonawca zobowiązany jest zrealizować zamówienie na zasadach i warunkach opisanych w umowie. </w:t>
      </w:r>
    </w:p>
    <w:p w14:paraId="4F1A72DC"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11.</w:t>
      </w:r>
      <w:r w:rsidRPr="006B38E0">
        <w:rPr>
          <w:rFonts w:ascii="Times New Roman" w:eastAsia="Calibri" w:hAnsi="Times New Roman" w:cs="Times New Roman"/>
          <w:kern w:val="0"/>
          <w:sz w:val="24"/>
          <w:szCs w:val="24"/>
          <w14:ligatures w14:val="none"/>
        </w:rPr>
        <w:t xml:space="preserve"> </w:t>
      </w:r>
      <w:r w:rsidRPr="006B38E0">
        <w:rPr>
          <w:rFonts w:ascii="Times New Roman" w:eastAsia="Calibri" w:hAnsi="Times New Roman" w:cs="Times New Roman"/>
          <w:b/>
          <w:bCs/>
          <w:kern w:val="0"/>
          <w:sz w:val="24"/>
          <w:szCs w:val="24"/>
          <w14:ligatures w14:val="none"/>
        </w:rPr>
        <w:t xml:space="preserve">Opis przedmiotu zamówienia został sporządzony z uwzględnieniem wymagań w zakresie dostępności dla osób niepełnosprawnych i projektowania z przeznaczeniem dla wszystkich użytkowników. </w:t>
      </w:r>
    </w:p>
    <w:p w14:paraId="44B532C5" w14:textId="77777777" w:rsidR="006B38E0" w:rsidRPr="006B38E0" w:rsidRDefault="006B38E0" w:rsidP="006B38E0">
      <w:pPr>
        <w:autoSpaceDE w:val="0"/>
        <w:autoSpaceDN w:val="0"/>
        <w:adjustRightInd w:val="0"/>
        <w:spacing w:after="151"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12.</w:t>
      </w:r>
      <w:r w:rsidRPr="006B38E0">
        <w:rPr>
          <w:rFonts w:ascii="Times New Roman" w:eastAsia="Calibri" w:hAnsi="Times New Roman" w:cs="Times New Roman"/>
          <w:kern w:val="0"/>
          <w:sz w:val="24"/>
          <w:szCs w:val="24"/>
          <w14:ligatures w14:val="none"/>
        </w:rPr>
        <w:t xml:space="preserve"> </w:t>
      </w:r>
      <w:r w:rsidRPr="006B38E0">
        <w:rPr>
          <w:rFonts w:ascii="Times New Roman" w:eastAsia="Calibri" w:hAnsi="Times New Roman" w:cs="Times New Roman"/>
          <w:b/>
          <w:bCs/>
          <w:kern w:val="0"/>
          <w:sz w:val="24"/>
          <w:szCs w:val="24"/>
          <w14:ligatures w14:val="none"/>
        </w:rPr>
        <w:t xml:space="preserve">Zamawiający wymaga, aby Wykonawca posiadał przez cały okres obowiązywania Umowy ubezpieczenie odpowiedzialności cywilnej w zakresie prowadzonej działalności związanej z przedmiotem zamówienia z sumą ubezpieczenia nie mniejszą niż wartość przedmiotu umowy dla jednej i wszystkich szkód. </w:t>
      </w:r>
    </w:p>
    <w:p w14:paraId="76698907"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13. Wykonawca zobowiązany jest do udzielenia rękojmi za wady nie krótszego niż 36 miesięcy, licząc od daty podpisania protokołu odbioru końcowego. Wykonawca zobowiązany jest do wskazania udzielonego okresu rękojmi za wady w formularzu ofertowym. </w:t>
      </w:r>
    </w:p>
    <w:p w14:paraId="49BACD19"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W przypadku niewypełnienia przez Wykonawcę w formularzu ofertowym pozycji dotyczącej okresu rękojmi za wady, Zamawiający przyjmuje minimalny okres rękojmi za wady tj. 36 miesięcy. Zaoferowanie okresu rękojmi, krótszego niż wymagany przez Zamawiającego, spowoduje odrzucenie oferty na podstawie art. 226 ust.1 pkt 5 ustawy PZP. </w:t>
      </w:r>
    </w:p>
    <w:p w14:paraId="1E5B2627"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b/>
          <w:bCs/>
          <w:kern w:val="0"/>
          <w:sz w:val="24"/>
          <w:szCs w:val="24"/>
          <w14:ligatures w14:val="none"/>
        </w:rPr>
      </w:pPr>
      <w:r w:rsidRPr="006B38E0">
        <w:rPr>
          <w:rFonts w:ascii="Times New Roman" w:eastAsia="Calibri" w:hAnsi="Times New Roman" w:cs="Times New Roman"/>
          <w:b/>
          <w:bCs/>
          <w:kern w:val="0"/>
          <w:sz w:val="24"/>
          <w:szCs w:val="24"/>
          <w14:ligatures w14:val="none"/>
        </w:rPr>
        <w:t xml:space="preserve">14. Nazwy i kody opisujące przedmiot zamówienia określone we Wspólnym Słowniku Zamówień CPV </w:t>
      </w:r>
    </w:p>
    <w:p w14:paraId="29D3797D"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p>
    <w:p w14:paraId="30E889A7"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71320000-7 Usługi inżynieryjne w zakresie projektowania </w:t>
      </w:r>
    </w:p>
    <w:p w14:paraId="63F58BF4" w14:textId="77777777" w:rsidR="006B38E0" w:rsidRPr="006B38E0" w:rsidRDefault="006B38E0" w:rsidP="006B38E0">
      <w:pPr>
        <w:autoSpaceDE w:val="0"/>
        <w:autoSpaceDN w:val="0"/>
        <w:adjustRightInd w:val="0"/>
        <w:spacing w:after="0" w:line="240" w:lineRule="auto"/>
        <w:jc w:val="left"/>
        <w:rPr>
          <w:rFonts w:ascii="Times New Roman" w:eastAsia="Calibri" w:hAnsi="Times New Roman" w:cs="Times New Roman"/>
          <w:kern w:val="0"/>
          <w:sz w:val="24"/>
          <w:szCs w:val="24"/>
          <w14:ligatures w14:val="none"/>
        </w:rPr>
      </w:pPr>
      <w:r w:rsidRPr="006B38E0">
        <w:rPr>
          <w:rFonts w:ascii="Times New Roman" w:eastAsia="Calibri" w:hAnsi="Times New Roman" w:cs="Times New Roman"/>
          <w:kern w:val="0"/>
          <w:sz w:val="24"/>
          <w:szCs w:val="24"/>
          <w14:ligatures w14:val="none"/>
        </w:rPr>
        <w:t xml:space="preserve">71240000-2 Usługi architektoniczne, inżynieryjne i planowania </w:t>
      </w:r>
    </w:p>
    <w:p w14:paraId="5E0709FF" w14:textId="77777777" w:rsidR="006B38E0" w:rsidRPr="006B38E0" w:rsidRDefault="006B38E0" w:rsidP="006B38E0">
      <w:pPr>
        <w:spacing w:after="200"/>
        <w:rPr>
          <w:rFonts w:ascii="Times New Roman" w:eastAsia="Calibri" w:hAnsi="Times New Roman" w:cs="Times New Roman"/>
          <w:color w:val="FF0000"/>
          <w:kern w:val="0"/>
          <w:sz w:val="24"/>
          <w:szCs w:val="24"/>
          <w14:ligatures w14:val="none"/>
        </w:rPr>
      </w:pPr>
      <w:r w:rsidRPr="006B38E0">
        <w:rPr>
          <w:rFonts w:ascii="Times New Roman" w:eastAsia="Calibri" w:hAnsi="Times New Roman" w:cs="Times New Roman"/>
          <w:kern w:val="0"/>
          <w:sz w:val="24"/>
          <w:szCs w:val="24"/>
          <w14:ligatures w14:val="none"/>
        </w:rPr>
        <w:t>71248000-8 Nadzór nad projektem i dokumentacją</w:t>
      </w:r>
    </w:p>
    <w:p w14:paraId="4F176D3A" w14:textId="77777777" w:rsidR="006B38E0" w:rsidRPr="006B38E0" w:rsidRDefault="006B38E0" w:rsidP="006B38E0">
      <w:pPr>
        <w:spacing w:after="200"/>
        <w:jc w:val="left"/>
        <w:rPr>
          <w:rFonts w:ascii="Calibri" w:eastAsia="Calibri" w:hAnsi="Calibri" w:cs="Times New Roman"/>
          <w:kern w:val="0"/>
          <w14:ligatures w14:val="none"/>
        </w:rPr>
      </w:pPr>
    </w:p>
    <w:p w14:paraId="0F4A11B1" w14:textId="77777777" w:rsidR="003E2378" w:rsidRDefault="003E2378"/>
    <w:sectPr w:rsidR="003E2378" w:rsidSect="006B38E0">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7663B4"/>
    <w:multiLevelType w:val="hybridMultilevel"/>
    <w:tmpl w:val="826E3E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6534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E0"/>
    <w:rsid w:val="0032131E"/>
    <w:rsid w:val="003E2378"/>
    <w:rsid w:val="004E0707"/>
    <w:rsid w:val="006B38E0"/>
    <w:rsid w:val="00833B9C"/>
    <w:rsid w:val="00C94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61FE"/>
  <w15:chartTrackingRefBased/>
  <w15:docId w15:val="{DD7CB845-F8D2-45C9-A95D-98B9BEAE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276" w:lineRule="auto"/>
    </w:pPr>
  </w:style>
  <w:style w:type="paragraph" w:styleId="Nagwek1">
    <w:name w:val="heading 1"/>
    <w:basedOn w:val="Normalny"/>
    <w:next w:val="Normalny"/>
    <w:link w:val="Nagwek1Znak"/>
    <w:uiPriority w:val="9"/>
    <w:qFormat/>
    <w:rsid w:val="006B38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B38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B38E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B38E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B38E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B38E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38E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38E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38E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38E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B38E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B38E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B38E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B38E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B38E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38E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38E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38E0"/>
    <w:rPr>
      <w:rFonts w:eastAsiaTheme="majorEastAsia" w:cstheme="majorBidi"/>
      <w:color w:val="272727" w:themeColor="text1" w:themeTint="D8"/>
    </w:rPr>
  </w:style>
  <w:style w:type="paragraph" w:styleId="Tytu">
    <w:name w:val="Title"/>
    <w:basedOn w:val="Normalny"/>
    <w:next w:val="Normalny"/>
    <w:link w:val="TytuZnak"/>
    <w:uiPriority w:val="10"/>
    <w:qFormat/>
    <w:rsid w:val="006B38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38E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38E0"/>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38E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38E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B38E0"/>
    <w:rPr>
      <w:i/>
      <w:iCs/>
      <w:color w:val="404040" w:themeColor="text1" w:themeTint="BF"/>
    </w:rPr>
  </w:style>
  <w:style w:type="paragraph" w:styleId="Akapitzlist">
    <w:name w:val="List Paragraph"/>
    <w:basedOn w:val="Normalny"/>
    <w:uiPriority w:val="34"/>
    <w:qFormat/>
    <w:rsid w:val="006B38E0"/>
    <w:pPr>
      <w:ind w:left="720"/>
      <w:contextualSpacing/>
    </w:pPr>
  </w:style>
  <w:style w:type="character" w:styleId="Wyrnienieintensywne">
    <w:name w:val="Intense Emphasis"/>
    <w:basedOn w:val="Domylnaczcionkaakapitu"/>
    <w:uiPriority w:val="21"/>
    <w:qFormat/>
    <w:rsid w:val="006B38E0"/>
    <w:rPr>
      <w:i/>
      <w:iCs/>
      <w:color w:val="0F4761" w:themeColor="accent1" w:themeShade="BF"/>
    </w:rPr>
  </w:style>
  <w:style w:type="paragraph" w:styleId="Cytatintensywny">
    <w:name w:val="Intense Quote"/>
    <w:basedOn w:val="Normalny"/>
    <w:next w:val="Normalny"/>
    <w:link w:val="CytatintensywnyZnak"/>
    <w:uiPriority w:val="30"/>
    <w:qFormat/>
    <w:rsid w:val="006B38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B38E0"/>
    <w:rPr>
      <w:i/>
      <w:iCs/>
      <w:color w:val="0F4761" w:themeColor="accent1" w:themeShade="BF"/>
    </w:rPr>
  </w:style>
  <w:style w:type="character" w:styleId="Odwoanieintensywne">
    <w:name w:val="Intense Reference"/>
    <w:basedOn w:val="Domylnaczcionkaakapitu"/>
    <w:uiPriority w:val="32"/>
    <w:qFormat/>
    <w:rsid w:val="006B38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1432</Words>
  <Characters>8598</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Gmina Stegna</cp:lastModifiedBy>
  <cp:revision>1</cp:revision>
  <dcterms:created xsi:type="dcterms:W3CDTF">2024-11-06T12:55:00Z</dcterms:created>
  <dcterms:modified xsi:type="dcterms:W3CDTF">2024-11-06T13:15:00Z</dcterms:modified>
</cp:coreProperties>
</file>