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1"/>
        <w:jc w:val="right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  <w:rtl w:val="true"/>
        </w:rPr>
      </w:r>
    </w:p>
    <w:p>
      <w:pPr>
        <w:pStyle w:val="Normal"/>
        <w:bidi w:val="0"/>
        <w:jc w:val="left"/>
        <w:rPr/>
      </w:pPr>
      <w:r>
        <w:rPr>
          <w:rFonts w:ascii="Arial Narrow" w:hAnsi="Arial Narrow"/>
          <w:b/>
          <w:bCs/>
          <w:sz w:val="28"/>
          <w:szCs w:val="28"/>
        </w:rPr>
        <w:t>Malowanie ciągów komunikacyjnych, klatek schodowych, pomieszczeń biurowych KPP Lubań.</w:t>
      </w:r>
    </w:p>
    <w:p>
      <w:pPr>
        <w:pStyle w:val="Normal"/>
        <w:bidi w:val="0"/>
        <w:jc w:val="left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Wymiana istniejących opraw świetlówkowych na LED 60x60 cm – 53 szt.</w:t>
      </w:r>
    </w:p>
    <w:p>
      <w:pPr>
        <w:pStyle w:val="Normal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- w pomieszczeniu świetlicy, nr 35, 36 na II piętrze zeskrobanie miejscami odpadającej farby z sufitu i malowanie ścian oraz sufitu</w:t>
      </w:r>
    </w:p>
    <w:p>
      <w:pPr>
        <w:pStyle w:val="Normal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- w pomieszczeniu nr 21 na I piętrze, pow. 18,73 m</w:t>
      </w:r>
      <w:r>
        <w:rPr>
          <w:rFonts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ascii="Arial Narrow" w:hAnsi="Arial Narrow"/>
          <w:b w:val="false"/>
          <w:bCs w:val="false"/>
          <w:sz w:val="24"/>
          <w:szCs w:val="24"/>
        </w:rPr>
        <w:t xml:space="preserve"> malowanie + dodatkowa lampa LED 60x60 cm</w:t>
      </w:r>
    </w:p>
    <w:p>
      <w:pPr>
        <w:pStyle w:val="Normal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- w pomieszczeniu na parterze sala o pow. 34,95 m</w:t>
      </w:r>
      <w:r>
        <w:rPr>
          <w:rFonts w:ascii="Arial Narrow" w:hAnsi="Arial Narrow"/>
          <w:b w:val="false"/>
          <w:bCs w:val="false"/>
          <w:sz w:val="24"/>
          <w:szCs w:val="24"/>
          <w:vertAlign w:val="superscript"/>
        </w:rPr>
        <w:t>2</w:t>
      </w:r>
      <w:r>
        <w:rPr>
          <w:rFonts w:ascii="Arial Narrow" w:hAnsi="Arial Narrow"/>
          <w:b w:val="false"/>
          <w:bCs w:val="false"/>
          <w:sz w:val="24"/>
          <w:szCs w:val="24"/>
        </w:rPr>
        <w:t xml:space="preserve"> położenie gładzi i malowanie ścian oraz sufitu</w:t>
      </w:r>
    </w:p>
    <w:p>
      <w:pPr>
        <w:pStyle w:val="Normal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- w pomieszczeniach na parterze recepcja, dyżurka i korytarzyk -  malowanie ścian i sufitów</w:t>
      </w:r>
    </w:p>
    <w:p>
      <w:pPr>
        <w:pStyle w:val="Normal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-   położenie podłogi technicznej w pomieszczeniu dyżurnych (materiał po stronie Zamawiającego)</w:t>
      </w:r>
    </w:p>
    <w:p>
      <w:pPr>
        <w:pStyle w:val="Normal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 xml:space="preserve">-   malowanie ścian i sufitów wszystkich ciągów komunikacyjnych parteru, piętra </w:t>
      </w:r>
      <w:r>
        <w:rPr>
          <w:rFonts w:ascii="Arial Narrow" w:hAnsi="Arial Narrow"/>
          <w:b w:val="false"/>
          <w:bCs w:val="false"/>
          <w:sz w:val="24"/>
          <w:szCs w:val="24"/>
        </w:rPr>
        <w:t>i</w:t>
      </w:r>
      <w:r>
        <w:rPr>
          <w:rFonts w:ascii="Arial Narrow" w:hAnsi="Arial Narrow"/>
          <w:b w:val="false"/>
          <w:bCs w:val="false"/>
          <w:sz w:val="24"/>
          <w:szCs w:val="24"/>
        </w:rPr>
        <w:t xml:space="preserve"> II piętra (w kalkulacji należy odjąć wysokość istniejącej lamperii z tynku strukturalnego: 1,5 m)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Rzuty kondygnacji z zaznaczeniem pomieszczeń w załączniku.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Kolor ścian: NCS: 1000 N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Kolor sufitów: biały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odcięcie przy suficie: szerokość ok. 50 mm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  <w:t>Złom stalowy (oprawy oświetleniowe) stanowi własność Skarbu Państwa (należy skalkulować odbiór przez punkt skupu złomu).</w:t>
      </w:r>
    </w:p>
    <w:p>
      <w:pPr>
        <w:pStyle w:val="Normal"/>
        <w:bidi w:val="0"/>
        <w:jc w:val="left"/>
        <w:rPr/>
      </w:pPr>
      <w:r>
        <w:rPr>
          <w:rFonts w:ascii="Arial Narrow" w:hAnsi="Arial Narrow"/>
          <w:b w:val="false"/>
          <w:bCs w:val="false"/>
          <w:sz w:val="24"/>
          <w:szCs w:val="24"/>
        </w:rPr>
        <w:t>Wyniesienie mebli biurowych po stronie Zamawiającego.</w:t>
      </w:r>
    </w:p>
    <w:p>
      <w:pPr>
        <w:pStyle w:val="Normal"/>
        <w:bidi w:val="0"/>
        <w:jc w:val="left"/>
        <w:rPr>
          <w:rFonts w:ascii="Arial Narrow" w:hAnsi="Arial Narrow"/>
          <w:b w:val="false"/>
          <w:bCs w:val="false"/>
          <w:sz w:val="24"/>
          <w:szCs w:val="24"/>
        </w:rPr>
      </w:pPr>
      <w:r>
        <w:rPr>
          <w:rFonts w:ascii="Arial Narrow" w:hAnsi="Arial Narrow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center"/>
        <w:rPr>
          <w:rFonts w:ascii="Arial Narrow" w:hAnsi="Arial Narrow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c5164"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5e23"/>
    <w:rPr>
      <w:rFonts w:ascii="Segoe UI" w:hAnsi="Segoe UI" w:eastAsia="Times New Roman" w:cs="Segoe UI"/>
      <w:kern w:val="2"/>
      <w:sz w:val="18"/>
      <w:szCs w:val="18"/>
      <w:lang w:eastAsia="pl-P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c5164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5e2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LibreOffice/7.5.5.2$Windows_x86 LibreOffice_project/ca8fe7424262805f223b9a2334bc7181abbcbf5e</Application>
  <AppVersion>15.0000</AppVersion>
  <Pages>1</Pages>
  <Words>168</Words>
  <Characters>994</Characters>
  <CharactersWithSpaces>1154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2020-03-05T07:53:00Z</dcterms:created>
  <dc:creator>hp</dc:creator>
  <dc:description/>
  <dc:language>ar-IQ</dc:language>
  <cp:lastModifiedBy/>
  <cp:lastPrinted>2020-03-05T08:07:00Z</cp:lastPrinted>
  <dcterms:modified xsi:type="dcterms:W3CDTF">2024-11-05T13:31:11Z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