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758E9" w14:textId="77777777" w:rsidR="00123A1B" w:rsidRDefault="00123A1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14:paraId="57BB5B87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A924D" w14:textId="77777777"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14:paraId="49B335CA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7B2367DC" w14:textId="77777777" w:rsidR="00123A1B" w:rsidRDefault="0081312F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 w14:anchorId="1E33D58F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20854256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3C22951B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15BF0E98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D9F9244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4DBB2B9F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334EB356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18546F31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7A3A5F79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2C6D9966" w14:textId="77777777"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03A29C06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/ pieczęć  firmy /  </w:t>
      </w:r>
    </w:p>
    <w:p w14:paraId="10484DFA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0E42159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</w:p>
    <w:p w14:paraId="0AE02FA6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55909E63" w14:textId="77777777" w:rsidR="00123A1B" w:rsidRDefault="00912A2B">
      <w:pPr>
        <w:pStyle w:val="Zwykytekst1"/>
        <w:jc w:val="both"/>
      </w:pPr>
      <w:proofErr w:type="spellStart"/>
      <w:r>
        <w:rPr>
          <w:rFonts w:ascii="Calibri" w:hAnsi="Calibri" w:cs="Calibri"/>
          <w:sz w:val="22"/>
          <w:szCs w:val="22"/>
        </w:rPr>
        <w:t>tel</w:t>
      </w:r>
      <w:proofErr w:type="spellEnd"/>
      <w:r>
        <w:rPr>
          <w:rFonts w:ascii="Calibri" w:hAnsi="Calibri" w:cs="Calibr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14:paraId="281926D0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67F2D426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Pesel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14:paraId="69C1A6CB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4528B6A7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45F3F6A4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14:paraId="3B49C07A" w14:textId="77777777"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4518F3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netto 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>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14:paraId="424FB813" w14:textId="77777777" w:rsidR="0081312F" w:rsidRPr="0081312F" w:rsidRDefault="0081312F" w:rsidP="0081312F">
      <w:pPr>
        <w:widowControl/>
        <w:numPr>
          <w:ilvl w:val="0"/>
          <w:numId w:val="18"/>
        </w:numPr>
        <w:tabs>
          <w:tab w:val="left" w:pos="142"/>
          <w:tab w:val="left" w:pos="426"/>
        </w:tabs>
        <w:suppressAutoHyphens w:val="0"/>
        <w:autoSpaceDE w:val="0"/>
        <w:autoSpaceDN/>
        <w:spacing w:before="120" w:line="276" w:lineRule="auto"/>
        <w:contextualSpacing/>
        <w:jc w:val="both"/>
        <w:textAlignment w:val="auto"/>
        <w:rPr>
          <w:rFonts w:ascii="Calibri" w:eastAsia="Times New Roman" w:hAnsi="Calibri" w:cs="Calibri"/>
          <w:bCs/>
          <w:kern w:val="0"/>
          <w:sz w:val="22"/>
          <w:szCs w:val="22"/>
          <w:lang w:eastAsia="pl-PL" w:bidi="ar-SA"/>
        </w:rPr>
      </w:pPr>
      <w:bookmarkStart w:id="0" w:name="_Hlk163727314"/>
      <w:r w:rsidRPr="0081312F">
        <w:rPr>
          <w:rFonts w:ascii="Calibri" w:eastAsia="Times New Roman" w:hAnsi="Calibri" w:cs="Calibri"/>
          <w:bCs/>
          <w:kern w:val="0"/>
          <w:sz w:val="22"/>
          <w:szCs w:val="22"/>
          <w:lang w:bidi="ar-SA"/>
        </w:rPr>
        <w:t xml:space="preserve">Usługi polegające na: </w:t>
      </w:r>
      <w:r w:rsidRPr="0081312F">
        <w:rPr>
          <w:rFonts w:ascii="Calibri" w:eastAsia="Times New Roman" w:hAnsi="Calibri" w:cs="Calibri"/>
          <w:bCs/>
          <w:kern w:val="0"/>
          <w:sz w:val="22"/>
          <w:szCs w:val="22"/>
          <w:lang w:eastAsia="pl-PL" w:bidi="ar-SA"/>
        </w:rPr>
        <w:t>Sporządzeniu operatów szacunkowych wyceny wartości nieruchomości gruntowych stanowiących własność Skarbu Państwa, położonych na terenie Powiatu Nowotarskiego, niezbędnych tut. Urzędowi do ustalenia i aktualizacji opłat rocznych z tytułu użytkowania wieczystego – CZĘŚĆ II</w:t>
      </w:r>
      <w:r w:rsidRPr="0081312F">
        <w:rPr>
          <w:rFonts w:ascii="Calibri" w:eastAsia="Times New Roman" w:hAnsi="Calibri" w:cs="Calibri"/>
          <w:bCs/>
          <w:kern w:val="0"/>
          <w:sz w:val="22"/>
          <w:szCs w:val="22"/>
          <w:lang w:val="x-none" w:eastAsia="pl-PL" w:bidi="ar-SA"/>
        </w:rPr>
        <w:t>.</w:t>
      </w:r>
    </w:p>
    <w:p w14:paraId="07558919" w14:textId="77777777" w:rsidR="0081312F" w:rsidRPr="0081312F" w:rsidRDefault="0081312F" w:rsidP="0081312F">
      <w:pPr>
        <w:widowControl/>
        <w:numPr>
          <w:ilvl w:val="0"/>
          <w:numId w:val="22"/>
        </w:numPr>
        <w:tabs>
          <w:tab w:val="left" w:pos="567"/>
          <w:tab w:val="left" w:pos="851"/>
        </w:tabs>
        <w:suppressAutoHyphens w:val="0"/>
        <w:autoSpaceDE w:val="0"/>
        <w:autoSpaceDN/>
        <w:adjustRightInd w:val="0"/>
        <w:spacing w:line="360" w:lineRule="auto"/>
        <w:ind w:left="709" w:hanging="425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Cena jednostkowa brutto dotyczy operatu szacunkowego wyceny nieruchomości objętej jedną księgą wieczystą.  </w:t>
      </w:r>
    </w:p>
    <w:p w14:paraId="77792F8A" w14:textId="77777777" w:rsidR="0081312F" w:rsidRPr="0081312F" w:rsidRDefault="0081312F" w:rsidP="0081312F">
      <w:pPr>
        <w:widowControl/>
        <w:numPr>
          <w:ilvl w:val="0"/>
          <w:numId w:val="16"/>
        </w:numPr>
        <w:suppressAutoHyphens w:val="0"/>
        <w:autoSpaceDE w:val="0"/>
        <w:autoSpaceDN/>
        <w:adjustRightInd w:val="0"/>
        <w:spacing w:line="276" w:lineRule="auto"/>
        <w:ind w:left="567" w:hanging="283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Operaty szacunkowe muszą być wykonane zgodnie z: </w:t>
      </w:r>
    </w:p>
    <w:p w14:paraId="7F21A875" w14:textId="77777777" w:rsidR="0081312F" w:rsidRPr="0081312F" w:rsidRDefault="0081312F" w:rsidP="0081312F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ind w:left="426" w:hanging="66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ustawą z dnia 21 sierpnia 1997 r. o gospodarce nieruchomościami (tekst jedn. Dz. U. z 2024 r., poz. 1145 z </w:t>
      </w:r>
      <w:proofErr w:type="spellStart"/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późn</w:t>
      </w:r>
      <w:proofErr w:type="spellEnd"/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. zm.); </w:t>
      </w:r>
    </w:p>
    <w:p w14:paraId="49487CED" w14:textId="77777777" w:rsidR="0081312F" w:rsidRPr="0081312F" w:rsidRDefault="0081312F" w:rsidP="0081312F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ind w:left="426" w:hanging="66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rozporządzeniem Rady Ministrów z dnia 5 września 2023 r. w sprawie wyceny nieruchomości</w:t>
      </w: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br/>
        <w:t xml:space="preserve">(Dz.U. z 2023 r., poz. 1832); </w:t>
      </w:r>
    </w:p>
    <w:p w14:paraId="7CED63A4" w14:textId="77777777" w:rsidR="0081312F" w:rsidRPr="0081312F" w:rsidRDefault="0081312F" w:rsidP="0081312F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Standardami Zawodowymi Polskiej Federacji Stowarzyszeń Rzeczoznawców Majątkowych; </w:t>
      </w:r>
    </w:p>
    <w:p w14:paraId="3A1478B9" w14:textId="77777777" w:rsidR="0081312F" w:rsidRPr="0081312F" w:rsidRDefault="0081312F" w:rsidP="0081312F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innymi przepisami obowiązującymi w tym zakresie;</w:t>
      </w:r>
    </w:p>
    <w:p w14:paraId="3E682BA5" w14:textId="77777777" w:rsidR="0081312F" w:rsidRPr="0081312F" w:rsidRDefault="0081312F" w:rsidP="0081312F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ind w:left="567" w:hanging="283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Kodeksem Etyki Zawodowej Rzeczoznawców Majątkowych, tj. rzetelnie, uczciwie, bezstronnie,                  z zachowaniem tajemnicy zawodowej oraz z uwzględnieniem aktualnego stanowiska organów                   II instancji i orzecznictwa sądów.  </w:t>
      </w:r>
    </w:p>
    <w:p w14:paraId="3D5F3BFF" w14:textId="77777777" w:rsidR="0081312F" w:rsidRPr="0081312F" w:rsidRDefault="0081312F" w:rsidP="0081312F">
      <w:pPr>
        <w:widowControl/>
        <w:numPr>
          <w:ilvl w:val="0"/>
          <w:numId w:val="16"/>
        </w:numPr>
        <w:suppressAutoHyphens w:val="0"/>
        <w:autoSpaceDE w:val="0"/>
        <w:autoSpaceDN/>
        <w:adjustRightInd w:val="0"/>
        <w:spacing w:line="276" w:lineRule="auto"/>
        <w:ind w:left="567" w:hanging="283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W postępowaniach, na potrzeby których zostaną wykonane ww. opracowania rzeczoznawca majątkowy na wezwanie Zamawiającego zobowiązany jest do uczestnictwa w rozprawach administracyjnych z udziałem stron prowadzonego postępowania (w wypadku konieczności </w:t>
      </w: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br/>
        <w:t>ich przeprowadzenia) oraz do składania pisemnych wyjaśnień.</w:t>
      </w:r>
    </w:p>
    <w:p w14:paraId="098D846D" w14:textId="77777777" w:rsidR="0081312F" w:rsidRPr="0081312F" w:rsidRDefault="0081312F" w:rsidP="0081312F">
      <w:pPr>
        <w:widowControl/>
        <w:numPr>
          <w:ilvl w:val="0"/>
          <w:numId w:val="16"/>
        </w:numPr>
        <w:suppressAutoHyphens w:val="0"/>
        <w:autoSpaceDE w:val="0"/>
        <w:autoSpaceDN/>
        <w:adjustRightInd w:val="0"/>
        <w:spacing w:line="276" w:lineRule="auto"/>
        <w:ind w:left="568" w:hanging="284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Jeżeli strony wniosą uwagi i zastrzeżenia do sporządzonego operatu szacunkowego, rzeczoznawca majątkowy odniesie się do nich na piśmie w terminie nie dłuższym niż 14 dni od dnia powiadomienia go przez Zamawiającego o uwagach czy zastrzeżeniach.   </w:t>
      </w:r>
    </w:p>
    <w:p w14:paraId="151DF476" w14:textId="77777777" w:rsidR="0081312F" w:rsidRPr="0081312F" w:rsidRDefault="0081312F" w:rsidP="0081312F">
      <w:pPr>
        <w:widowControl/>
        <w:numPr>
          <w:ilvl w:val="0"/>
          <w:numId w:val="16"/>
        </w:numPr>
        <w:suppressAutoHyphens w:val="0"/>
        <w:autoSpaceDE w:val="0"/>
        <w:autoSpaceDN/>
        <w:adjustRightInd w:val="0"/>
        <w:spacing w:line="276" w:lineRule="auto"/>
        <w:ind w:left="568" w:hanging="284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Rzeczoznawca majątkowy  zobowiązany jest do potwierdzania aktualności wykonanych operatów szacunkowych po upływie 12 miesięcy od daty ich sporządzenia, stosownie do art. 156 ust.                       4 ustawy o gospodarce nieruchomościami - w terminie nie dłuższym niż 14 dni kalendarzowych od daty przekazania takiego wniosku przez organ oraz w przypadku nie stwierdzenia znacznych różnic cen rynkowych nieruchomości.    </w:t>
      </w:r>
    </w:p>
    <w:p w14:paraId="39380273" w14:textId="77777777" w:rsidR="0081312F" w:rsidRPr="0081312F" w:rsidRDefault="0081312F" w:rsidP="0081312F">
      <w:pPr>
        <w:widowControl/>
        <w:numPr>
          <w:ilvl w:val="0"/>
          <w:numId w:val="16"/>
        </w:numPr>
        <w:suppressAutoHyphens w:val="0"/>
        <w:autoSpaceDE w:val="0"/>
        <w:autoSpaceDN/>
        <w:adjustRightInd w:val="0"/>
        <w:spacing w:line="276" w:lineRule="auto"/>
        <w:ind w:left="568" w:hanging="284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lastRenderedPageBreak/>
        <w:t xml:space="preserve">Rzeczoznawca majątkowy zobowiązany jest do umieszczania w operacie szacunkowym pełnego opisu nieruchomości porównawczych przyjętych do wyceny w kontekście obranych cech rynkowych stosownie do aktualnego orzecznictwa sądów administracyjnych (por. wyrok WSA w Krakowie z dnia 29.04.2021 r., sygn. akt II SA/Kr 157/21). </w:t>
      </w:r>
    </w:p>
    <w:p w14:paraId="34C2B65E" w14:textId="77777777" w:rsidR="0081312F" w:rsidRPr="0081312F" w:rsidRDefault="0081312F" w:rsidP="0081312F">
      <w:pPr>
        <w:widowControl/>
        <w:numPr>
          <w:ilvl w:val="0"/>
          <w:numId w:val="16"/>
        </w:numPr>
        <w:suppressAutoHyphens w:val="0"/>
        <w:autoSpaceDE w:val="0"/>
        <w:autoSpaceDN/>
        <w:adjustRightInd w:val="0"/>
        <w:spacing w:line="276" w:lineRule="auto"/>
        <w:ind w:left="568" w:hanging="284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Rzeczoznawca majątkowy zobowiązany jest do umieszczania w operacie szacunkowym dokumentacji fotograficznej sporządzonej w trakcie oględzin nieruchomości. </w:t>
      </w:r>
    </w:p>
    <w:p w14:paraId="2CDAFDA8" w14:textId="77777777" w:rsidR="0081312F" w:rsidRPr="0081312F" w:rsidRDefault="0081312F" w:rsidP="0081312F">
      <w:pPr>
        <w:widowControl/>
        <w:numPr>
          <w:ilvl w:val="0"/>
          <w:numId w:val="16"/>
        </w:numPr>
        <w:suppressAutoHyphens w:val="0"/>
        <w:autoSpaceDE w:val="0"/>
        <w:autoSpaceDN/>
        <w:adjustRightInd w:val="0"/>
        <w:spacing w:line="276" w:lineRule="auto"/>
        <w:ind w:left="567" w:hanging="283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Rzeczoznawca majątkowy zobowiązany jest uzasadnić przyjęty sposób wyceny </w:t>
      </w: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br/>
        <w:t>oraz wskazać i wyjaśnić przesłanki, które doprowadziły do przedstawionych konkluzji w sposób logiczny, spójny i wiarygodny.</w:t>
      </w:r>
    </w:p>
    <w:p w14:paraId="6841D0C6" w14:textId="77777777" w:rsidR="0081312F" w:rsidRPr="0081312F" w:rsidRDefault="0081312F" w:rsidP="0081312F">
      <w:pPr>
        <w:widowControl/>
        <w:numPr>
          <w:ilvl w:val="0"/>
          <w:numId w:val="16"/>
        </w:numPr>
        <w:suppressAutoHyphens w:val="0"/>
        <w:autoSpaceDE w:val="0"/>
        <w:autoSpaceDN/>
        <w:adjustRightInd w:val="0"/>
        <w:spacing w:line="276" w:lineRule="auto"/>
        <w:ind w:left="567" w:hanging="283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Rzeczoznawca majątkowy jest uprawniony do zapoznania się z dokumentami prowadzonych postępowań w zakresie, jaki jest niezbędny do przygotowania opinii w formie operatów szacunkowych.</w:t>
      </w:r>
    </w:p>
    <w:p w14:paraId="3FF3255B" w14:textId="77777777" w:rsidR="0081312F" w:rsidRPr="0081312F" w:rsidRDefault="0081312F" w:rsidP="0081312F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Calibri"/>
          <w:bCs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bCs/>
          <w:kern w:val="0"/>
          <w:sz w:val="22"/>
          <w:szCs w:val="22"/>
          <w:lang w:eastAsia="pl-PL" w:bidi="ar-SA"/>
        </w:rPr>
        <w:t xml:space="preserve">W ofercie wykonawca winien określić cenę jednostkową operatu szacunkowego. </w:t>
      </w:r>
    </w:p>
    <w:p w14:paraId="5A4EBAB2" w14:textId="53424AE9" w:rsidR="0081312F" w:rsidRPr="0081312F" w:rsidRDefault="0081312F" w:rsidP="0081312F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Calibri"/>
          <w:bCs/>
          <w:kern w:val="0"/>
          <w:sz w:val="22"/>
          <w:szCs w:val="22"/>
          <w:lang w:bidi="ar-SA"/>
        </w:rPr>
      </w:pPr>
      <w:r w:rsidRPr="0081312F">
        <w:rPr>
          <w:rFonts w:ascii="Calibri" w:eastAsia="Times New Roman" w:hAnsi="Calibri" w:cs="Calibri"/>
          <w:bCs/>
          <w:kern w:val="0"/>
          <w:sz w:val="22"/>
          <w:szCs w:val="22"/>
          <w:lang w:eastAsia="pl-PL" w:bidi="ar-SA"/>
        </w:rPr>
        <w:t>Cena jednostkowa dotyczy operatu szacunkowego wyceny nieruchomości objętej jedną księgą wieczystą.  Należność za wykonanie umowy będzie iloczynem ceny jednostkowej i ilości operatów szacunkowych.</w:t>
      </w:r>
      <w:r>
        <w:rPr>
          <w:rFonts w:ascii="Calibri" w:eastAsia="Times New Roman" w:hAnsi="Calibri" w:cs="Calibri"/>
          <w:bCs/>
          <w:kern w:val="0"/>
          <w:sz w:val="22"/>
          <w:szCs w:val="22"/>
          <w:lang w:eastAsia="pl-PL" w:bidi="ar-SA"/>
        </w:rPr>
        <w:t xml:space="preserve"> </w:t>
      </w:r>
      <w:r w:rsidRPr="0081312F">
        <w:rPr>
          <w:rFonts w:ascii="Calibri" w:eastAsia="Times New Roman" w:hAnsi="Calibri" w:cs="Calibri"/>
          <w:bCs/>
          <w:kern w:val="0"/>
          <w:sz w:val="22"/>
          <w:szCs w:val="22"/>
          <w:lang w:eastAsia="pl-PL" w:bidi="ar-SA"/>
        </w:rPr>
        <w:t>Zlecenia będą dokonywane sukcesywnie przez Wydział Gospodarki Nieruchomościami, stąd dopuszczenie wystawiania faktur cząstkowych za poszczególne etapy prac wykonanych w terminach wynikających ze zlecenia.</w:t>
      </w:r>
      <w:bookmarkEnd w:id="0"/>
      <w:r w:rsidRPr="0081312F">
        <w:rPr>
          <w:rFonts w:ascii="Calibri" w:eastAsia="Times New Roman" w:hAnsi="Calibri" w:cs="Calibri"/>
          <w:bCs/>
          <w:kern w:val="0"/>
          <w:sz w:val="22"/>
          <w:szCs w:val="22"/>
          <w:lang w:eastAsia="pl-PL" w:bidi="ar-SA"/>
        </w:rPr>
        <w:t xml:space="preserve"> </w:t>
      </w:r>
      <w:r w:rsidRPr="0081312F">
        <w:rPr>
          <w:rFonts w:ascii="Calibri" w:eastAsia="Times New Roman" w:hAnsi="Calibri" w:cs="Calibri"/>
          <w:bCs/>
          <w:kern w:val="0"/>
          <w:sz w:val="22"/>
          <w:szCs w:val="22"/>
          <w:lang w:bidi="ar-SA"/>
        </w:rPr>
        <w:t>Szczegółowe informacje udzielane są w Wydziale Gospodarki Nieruchomościami  pod nr tel. (18) 26-10-781. Osoba prowadząca: Łukasz Trzciński</w:t>
      </w:r>
    </w:p>
    <w:p w14:paraId="0F7618F2" w14:textId="77777777" w:rsidR="0081312F" w:rsidRPr="0081312F" w:rsidRDefault="0081312F" w:rsidP="0081312F">
      <w:pPr>
        <w:widowControl/>
        <w:numPr>
          <w:ilvl w:val="0"/>
          <w:numId w:val="18"/>
        </w:numPr>
        <w:autoSpaceDN/>
        <w:spacing w:line="276" w:lineRule="auto"/>
        <w:ind w:left="284" w:hanging="284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81312F"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Termin realizacji: </w:t>
      </w:r>
      <w:r w:rsidRPr="0081312F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zgodnie z zawartą umową -  do 6 grudnia 2024r. </w:t>
      </w:r>
    </w:p>
    <w:p w14:paraId="01A0A013" w14:textId="77777777" w:rsidR="00123A1B" w:rsidRDefault="00123A1B" w:rsidP="003B3DE9">
      <w:pPr>
        <w:suppressAutoHyphens w:val="0"/>
        <w:autoSpaceDE w:val="0"/>
        <w:adjustRightInd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519527C9" w14:textId="77777777" w:rsidR="0081312F" w:rsidRPr="003B3DE9" w:rsidRDefault="0081312F" w:rsidP="003B3DE9">
      <w:pPr>
        <w:suppressAutoHyphens w:val="0"/>
        <w:autoSpaceDE w:val="0"/>
        <w:adjustRightInd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0A29A1D1" w14:textId="77777777" w:rsidR="00123A1B" w:rsidRDefault="00912A2B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OFEROWANA CENA:</w:t>
      </w:r>
    </w:p>
    <w:p w14:paraId="684D7117" w14:textId="68596172" w:rsidR="00123A1B" w:rsidRDefault="0081312F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</w:pPr>
      <w:r w:rsidRPr="0081312F">
        <w:rPr>
          <w:rFonts w:ascii="Calibri" w:hAnsi="Calibri" w:cs="Calibri"/>
          <w:b/>
          <w:kern w:val="0"/>
          <w:sz w:val="22"/>
          <w:szCs w:val="22"/>
          <w:lang w:eastAsia="pl-PL"/>
        </w:rPr>
        <w:t xml:space="preserve">Cena jednostkowa </w:t>
      </w:r>
      <w:r>
        <w:rPr>
          <w:rFonts w:ascii="Calibri" w:hAnsi="Calibri" w:cs="Calibri"/>
          <w:b/>
          <w:kern w:val="0"/>
          <w:sz w:val="22"/>
          <w:szCs w:val="22"/>
          <w:lang w:eastAsia="pl-PL"/>
        </w:rPr>
        <w:t>brutto wykonania</w:t>
      </w:r>
      <w:r w:rsidRPr="0081312F">
        <w:rPr>
          <w:rFonts w:ascii="Calibri" w:hAnsi="Calibri" w:cs="Calibri"/>
          <w:b/>
          <w:kern w:val="0"/>
          <w:sz w:val="22"/>
          <w:szCs w:val="22"/>
          <w:lang w:eastAsia="pl-PL"/>
        </w:rPr>
        <w:t xml:space="preserve"> operatu szacunkowego wyceny nieruchomości objętej jedną księgą wieczystą</w:t>
      </w:r>
      <w:r w:rsidR="00912A2B">
        <w:rPr>
          <w:rFonts w:ascii="Calibri" w:hAnsi="Calibri" w:cs="Calibri"/>
          <w:b/>
          <w:iCs/>
          <w:spacing w:val="-1"/>
          <w:sz w:val="22"/>
          <w:szCs w:val="22"/>
          <w:lang w:eastAsia="pl-PL"/>
        </w:rPr>
        <w:t xml:space="preserve">  </w:t>
      </w:r>
      <w:r w:rsidR="00912A2B">
        <w:rPr>
          <w:rFonts w:ascii="Calibri" w:hAnsi="Calibri" w:cs="Calibri"/>
          <w:b/>
          <w:iCs/>
          <w:sz w:val="22"/>
          <w:szCs w:val="22"/>
          <w:lang w:eastAsia="pl-PL"/>
        </w:rPr>
        <w:t xml:space="preserve"> …………………………………………………………   zł</w:t>
      </w:r>
    </w:p>
    <w:p w14:paraId="7DF86002" w14:textId="77777777" w:rsidR="00123A1B" w:rsidRDefault="00912A2B">
      <w:pPr>
        <w:pStyle w:val="Standard"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>
        <w:rPr>
          <w:rFonts w:ascii="Calibri" w:hAnsi="Calibri" w:cs="Calibri"/>
          <w:b/>
          <w:sz w:val="22"/>
          <w:szCs w:val="22"/>
          <w:lang w:eastAsia="pl-PL"/>
        </w:rPr>
        <w:t>/słownie/...........................................................................................................................................</w:t>
      </w:r>
    </w:p>
    <w:p w14:paraId="3C883911" w14:textId="77777777" w:rsidR="00123A1B" w:rsidRDefault="00123A1B">
      <w:pPr>
        <w:pStyle w:val="Standard"/>
        <w:suppressAutoHyphens w:val="0"/>
        <w:rPr>
          <w:rFonts w:ascii="Calibri" w:hAnsi="Calibri" w:cs="Calibri"/>
          <w:b/>
          <w:sz w:val="22"/>
          <w:szCs w:val="22"/>
          <w:lang w:eastAsia="pl-PL"/>
        </w:rPr>
      </w:pPr>
    </w:p>
    <w:p w14:paraId="14760E87" w14:textId="77777777" w:rsidR="00123A1B" w:rsidRDefault="00123A1B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018183A" w14:textId="77777777"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:</w:t>
      </w:r>
    </w:p>
    <w:p w14:paraId="34C6B6E9" w14:textId="77777777" w:rsidR="0081312F" w:rsidRDefault="0081312F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</w:p>
    <w:p w14:paraId="076631FB" w14:textId="77777777" w:rsidR="00123A1B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uzyskaliśmy wszelkie niezbędne informacje do przygotowania oferty</w:t>
      </w:r>
    </w:p>
    <w:p w14:paraId="7698138A" w14:textId="77777777" w:rsidR="00123A1B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 w:rsidRPr="003B3DE9">
        <w:rPr>
          <w:rFonts w:ascii="Calibri" w:hAnsi="Calibri" w:cs="Calibri"/>
          <w:sz w:val="22"/>
          <w:szCs w:val="22"/>
        </w:rPr>
        <w:t xml:space="preserve">zapoznaliśmy się z treścią zapytania ofertowego oraz wszystkimi jego załącznikami </w:t>
      </w:r>
      <w:r w:rsidR="0063366A" w:rsidRPr="003B3DE9">
        <w:rPr>
          <w:rFonts w:ascii="Calibri" w:hAnsi="Calibri" w:cs="Calibri"/>
          <w:sz w:val="22"/>
          <w:szCs w:val="22"/>
        </w:rPr>
        <w:br/>
      </w:r>
      <w:r w:rsidRPr="003B3DE9">
        <w:rPr>
          <w:rFonts w:ascii="Calibri" w:hAnsi="Calibri" w:cs="Calibri"/>
          <w:sz w:val="22"/>
          <w:szCs w:val="22"/>
        </w:rPr>
        <w:t>i przyjmujemy je bez zastrzeżeń</w:t>
      </w:r>
    </w:p>
    <w:p w14:paraId="43329F87" w14:textId="5A76B9BB" w:rsidR="003B3DE9" w:rsidRPr="005F4148" w:rsidRDefault="007E578B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 </w:t>
      </w:r>
      <w:r w:rsidR="003B3DE9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o</w:t>
      </w:r>
      <w:r w:rsidR="003B3DE9" w:rsidRPr="005F4148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świadczamy, że nie zachodzą w stosunku do nas przesłanki wykluczenia z postępowania na podstawie art.  7 ust. 1 ustawy z dnia 13 kwietnia 2022 r.</w:t>
      </w:r>
      <w:r w:rsidR="003B3DE9" w:rsidRPr="005F4148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 w:bidi="ar-SA"/>
        </w:rPr>
        <w:t xml:space="preserve"> o szczególnych rozwiązaniach w zakresie przeciwdziałania wspieraniu agresji na Ukrainę oraz służących ochronie bezpieczeństwa narodowego </w:t>
      </w:r>
      <w:r w:rsidR="003B3DE9" w:rsidRPr="005F4148">
        <w:rPr>
          <w:rFonts w:ascii="Calibri" w:eastAsia="Times New Roman" w:hAnsi="Calibri" w:cs="Calibri"/>
          <w:iCs/>
          <w:kern w:val="0"/>
          <w:sz w:val="22"/>
          <w:szCs w:val="22"/>
          <w:lang w:eastAsia="pl-PL" w:bidi="ar-SA"/>
        </w:rPr>
        <w:t>(Dz. U. poz. 835).</w:t>
      </w:r>
    </w:p>
    <w:p w14:paraId="77885BBE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7DFAC2FD" w14:textId="77777777" w:rsidR="0081312F" w:rsidRDefault="0081312F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5146824A" w14:textId="77777777" w:rsidR="0081312F" w:rsidRDefault="0081312F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5C946F98" w14:textId="77777777" w:rsidR="0081312F" w:rsidRDefault="0081312F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45348E4C" w14:textId="77777777" w:rsidR="00123A1B" w:rsidRDefault="00912A2B">
      <w:pPr>
        <w:pStyle w:val="Zwykytekst1"/>
        <w:jc w:val="both"/>
      </w:pPr>
      <w:r>
        <w:rPr>
          <w:rFonts w:ascii="Calibri" w:eastAsia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</w:p>
    <w:p w14:paraId="0C43C045" w14:textId="77777777" w:rsidR="00123A1B" w:rsidRDefault="00912A2B">
      <w:pPr>
        <w:pStyle w:val="Standard"/>
        <w:shd w:val="clear" w:color="auto" w:fill="FFFFFF"/>
        <w:tabs>
          <w:tab w:val="left" w:pos="720"/>
        </w:tabs>
        <w:spacing w:before="110" w:line="288" w:lineRule="exact"/>
        <w:ind w:left="720" w:hanging="720"/>
        <w:jc w:val="both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/ podpis /</w:t>
      </w:r>
    </w:p>
    <w:sectPr w:rsidR="00123A1B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A806A" w14:textId="77777777" w:rsidR="006D0D92" w:rsidRDefault="006D0D92">
      <w:r>
        <w:separator/>
      </w:r>
    </w:p>
  </w:endnote>
  <w:endnote w:type="continuationSeparator" w:id="0">
    <w:p w14:paraId="62CE397E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C136C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B00EF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0C564280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F0AC8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E8E42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530F2801"/>
    <w:multiLevelType w:val="hybridMultilevel"/>
    <w:tmpl w:val="D592EE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539318673">
    <w:abstractNumId w:val="14"/>
  </w:num>
  <w:num w:numId="2" w16cid:durableId="2141610983">
    <w:abstractNumId w:val="2"/>
  </w:num>
  <w:num w:numId="3" w16cid:durableId="1606378808">
    <w:abstractNumId w:val="6"/>
  </w:num>
  <w:num w:numId="4" w16cid:durableId="451170233">
    <w:abstractNumId w:val="8"/>
  </w:num>
  <w:num w:numId="5" w16cid:durableId="1197348513">
    <w:abstractNumId w:val="15"/>
  </w:num>
  <w:num w:numId="6" w16cid:durableId="362479657">
    <w:abstractNumId w:val="3"/>
  </w:num>
  <w:num w:numId="7" w16cid:durableId="541136208">
    <w:abstractNumId w:val="11"/>
  </w:num>
  <w:num w:numId="8" w16cid:durableId="53282077">
    <w:abstractNumId w:val="1"/>
  </w:num>
  <w:num w:numId="9" w16cid:durableId="1841504053">
    <w:abstractNumId w:val="7"/>
  </w:num>
  <w:num w:numId="10" w16cid:durableId="1840387520">
    <w:abstractNumId w:val="1"/>
  </w:num>
  <w:num w:numId="11" w16cid:durableId="447160170">
    <w:abstractNumId w:val="14"/>
  </w:num>
  <w:num w:numId="12" w16cid:durableId="416754768">
    <w:abstractNumId w:val="13"/>
  </w:num>
  <w:num w:numId="13" w16cid:durableId="283972788">
    <w:abstractNumId w:val="10"/>
  </w:num>
  <w:num w:numId="14" w16cid:durableId="1147087901">
    <w:abstractNumId w:val="4"/>
  </w:num>
  <w:num w:numId="15" w16cid:durableId="14277291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1335904">
    <w:abstractNumId w:val="5"/>
  </w:num>
  <w:num w:numId="17" w16cid:durableId="1879587295">
    <w:abstractNumId w:val="10"/>
  </w:num>
  <w:num w:numId="18" w16cid:durableId="1364332420">
    <w:abstractNumId w:val="0"/>
  </w:num>
  <w:num w:numId="19" w16cid:durableId="1219050312">
    <w:abstractNumId w:val="9"/>
  </w:num>
  <w:num w:numId="20" w16cid:durableId="855578798">
    <w:abstractNumId w:val="5"/>
  </w:num>
  <w:num w:numId="21" w16cid:durableId="1727558789">
    <w:abstractNumId w:val="10"/>
  </w:num>
  <w:num w:numId="22" w16cid:durableId="14111942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123A1B"/>
    <w:rsid w:val="003B3DE9"/>
    <w:rsid w:val="004518F3"/>
    <w:rsid w:val="00521DD5"/>
    <w:rsid w:val="005B0DA0"/>
    <w:rsid w:val="00625920"/>
    <w:rsid w:val="0063366A"/>
    <w:rsid w:val="006D0D92"/>
    <w:rsid w:val="007E578B"/>
    <w:rsid w:val="0081312F"/>
    <w:rsid w:val="009058D9"/>
    <w:rsid w:val="00912A2B"/>
    <w:rsid w:val="009638AB"/>
    <w:rsid w:val="00996D7C"/>
    <w:rsid w:val="00A213B6"/>
    <w:rsid w:val="00A56719"/>
    <w:rsid w:val="00A72475"/>
    <w:rsid w:val="00AC6747"/>
    <w:rsid w:val="00C20D0F"/>
    <w:rsid w:val="00C453A5"/>
    <w:rsid w:val="00C67582"/>
    <w:rsid w:val="00DE21A5"/>
    <w:rsid w:val="00EB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FA0943"/>
  <w15:docId w15:val="{48C23FBA-A06D-4604-B8AC-3A3102E4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Iwona Waksmundzka</cp:lastModifiedBy>
  <cp:revision>18</cp:revision>
  <cp:lastPrinted>2019-07-29T14:48:00Z</cp:lastPrinted>
  <dcterms:created xsi:type="dcterms:W3CDTF">2008-10-03T10:05:00Z</dcterms:created>
  <dcterms:modified xsi:type="dcterms:W3CDTF">2024-10-29T11:40:00Z</dcterms:modified>
</cp:coreProperties>
</file>