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28" w:rsidRDefault="00F40A28" w:rsidP="000C0F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tytułu należących do Skarbu Państwa akcji lub udziałów w tych spółkach,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4) pierwszeństwa interesów Ministerstwa Obrony Narodowej i Sił Zbrojnych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  <w:r w:rsidR="006F4F55">
        <w:rPr>
          <w:rFonts w:ascii="Arial" w:hAnsi="Arial" w:cs="Arial"/>
          <w:sz w:val="23"/>
          <w:szCs w:val="23"/>
        </w:rPr>
        <w:t xml:space="preserve"> </w:t>
      </w:r>
      <w:r w:rsidR="006F4F55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stosunku do jego konkurencji.</w:t>
      </w:r>
    </w:p>
    <w:p w:rsidR="006F4F55" w:rsidRDefault="006F4F55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 xml:space="preserve">kontaktami </w:t>
      </w:r>
      <w:r w:rsidR="006F4F55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obronnej,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szczególności w postaci wystawiania referencji dla sprzętu będącego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wykonawców, w tym w szczególności konferencje, seminaria, sympozja </w:t>
      </w:r>
      <w:r w:rsidR="00E41228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dopuszczalne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technicznych służących do utrwalania dźwięku albo obrazu i dźwięku, zwane dalej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kontynuowanie spotkania z wykonawcą, który nie wyraził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zdeponowaniu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kancelarii komórki lub jednostki organizacyjnej, której pracownik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dotyczyć referencje.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9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faktycznych,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których ich interes prywatny (osobisty lub majątkowy), wynikający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z powiązań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konkretnym wykonawcą, wpływa, bądź może wpływać na obiektywne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 konflikcie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obiektywnym i bezstronnym wykonywaniem realizowanych przez nich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cywilnoprawnych w Ministerstwie Obrony Narodowej lub w jednostkach</w:t>
      </w:r>
      <w:r w:rsidR="00E41228">
        <w:rPr>
          <w:rFonts w:ascii="Arial" w:hAnsi="Arial" w:cs="Arial"/>
          <w:sz w:val="23"/>
          <w:szCs w:val="23"/>
        </w:rPr>
        <w:t xml:space="preserve"> organizacyjnych, </w:t>
      </w:r>
      <w:r>
        <w:rPr>
          <w:rFonts w:ascii="Arial" w:hAnsi="Arial" w:cs="Arial"/>
          <w:sz w:val="23"/>
          <w:szCs w:val="23"/>
        </w:rPr>
        <w:t>rozstrzyga niezwłocznie o potrzebie podjęcia czynności zaradczych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podejmować żadnej czynności zaradczej, jeżeli w pisemnej notatce, zarejestrowanej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urządzeń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środków technicznych służących do utrwalania dźwięku albo obrazu 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dźwięku,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a w przypadku gdy przebieg spotkania nie został w ten sposób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2. Notatkę, o której mowa w ust. 1, sporządza się również w przypadku kontaktów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skierowania zaproszenia 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 w:rsidR="000A177B">
        <w:rPr>
          <w:rFonts w:ascii="Arial" w:hAnsi="Arial" w:cs="Arial"/>
          <w:sz w:val="23"/>
          <w:szCs w:val="23"/>
        </w:rPr>
        <w:t xml:space="preserve">chwili wyboru wykonawcy, </w:t>
      </w:r>
      <w:r>
        <w:rPr>
          <w:rFonts w:ascii="Arial" w:hAnsi="Arial" w:cs="Arial"/>
          <w:sz w:val="23"/>
          <w:szCs w:val="23"/>
        </w:rPr>
        <w:t xml:space="preserve">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t xml:space="preserve">formie </w:t>
      </w:r>
      <w:r>
        <w:rPr>
          <w:rFonts w:ascii="Arial" w:hAnsi="Arial" w:cs="Arial"/>
          <w:sz w:val="23"/>
          <w:szCs w:val="23"/>
        </w:rPr>
        <w:t>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0A177B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 w:rsidR="004F7FF4">
        <w:rPr>
          <w:rFonts w:ascii="Arial" w:hAnsi="Arial" w:cs="Arial"/>
          <w:sz w:val="23"/>
          <w:szCs w:val="23"/>
        </w:rPr>
        <w:t>kontaktów</w:t>
      </w:r>
      <w:r>
        <w:rPr>
          <w:rFonts w:ascii="Arial" w:hAnsi="Arial" w:cs="Arial"/>
          <w:sz w:val="23"/>
          <w:szCs w:val="23"/>
        </w:rPr>
        <w:t xml:space="preserve"> </w:t>
      </w:r>
      <w:r w:rsidR="004F7FF4">
        <w:rPr>
          <w:rFonts w:ascii="Arial" w:hAnsi="Arial" w:cs="Arial"/>
          <w:sz w:val="23"/>
          <w:szCs w:val="23"/>
        </w:rPr>
        <w:t xml:space="preserve">dotyczących </w:t>
      </w:r>
      <w:r>
        <w:rPr>
          <w:rFonts w:ascii="Arial" w:hAnsi="Arial" w:cs="Arial"/>
          <w:sz w:val="23"/>
          <w:szCs w:val="23"/>
        </w:rPr>
        <w:t xml:space="preserve">jedynie zagadnień o charakterze </w:t>
      </w:r>
      <w:r w:rsidR="004F7FF4">
        <w:rPr>
          <w:rFonts w:ascii="Arial" w:hAnsi="Arial" w:cs="Arial"/>
          <w:sz w:val="23"/>
          <w:szCs w:val="23"/>
        </w:rPr>
        <w:t>organizacyjno</w:t>
      </w:r>
      <w:r>
        <w:rPr>
          <w:rFonts w:ascii="Arial" w:hAnsi="Arial" w:cs="Arial"/>
          <w:sz w:val="23"/>
          <w:szCs w:val="23"/>
        </w:rPr>
        <w:t>-</w:t>
      </w:r>
      <w:r w:rsidR="004F7FF4">
        <w:rPr>
          <w:rFonts w:ascii="Arial" w:hAnsi="Arial" w:cs="Arial"/>
          <w:sz w:val="23"/>
          <w:szCs w:val="23"/>
        </w:rPr>
        <w:t>porządkowym;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0A177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>kontaktów realizowanych w celu wykony</w:t>
      </w:r>
      <w:r w:rsidR="000A177B">
        <w:rPr>
          <w:rFonts w:ascii="Arial" w:hAnsi="Arial" w:cs="Arial"/>
          <w:sz w:val="23"/>
          <w:szCs w:val="23"/>
        </w:rPr>
        <w:t xml:space="preserve">wania obowiązków przewidzianych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 xml:space="preserve">pomocą urządzeń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4F7FF4" w:rsidRDefault="006C3660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</w:t>
      </w:r>
      <w:r w:rsidR="000A177B">
        <w:rPr>
          <w:rFonts w:ascii="Arial" w:hAnsi="Arial" w:cs="Arial"/>
          <w:sz w:val="23"/>
          <w:szCs w:val="23"/>
        </w:rPr>
        <w:t xml:space="preserve">o wydanie pisemnej opinii </w:t>
      </w:r>
      <w:r w:rsidR="00691DD1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  <w:r w:rsidR="002C768A">
        <w:rPr>
          <w:rFonts w:ascii="Arial" w:hAnsi="Arial" w:cs="Arial"/>
          <w:sz w:val="23"/>
          <w:szCs w:val="23"/>
        </w:rPr>
        <w:t xml:space="preserve"> w wewnętrznej </w:t>
      </w:r>
      <w:r>
        <w:rPr>
          <w:rFonts w:ascii="Arial" w:hAnsi="Arial" w:cs="Arial"/>
          <w:sz w:val="23"/>
          <w:szCs w:val="23"/>
        </w:rPr>
        <w:t>sieci elektronicznej (intranet), w zakładce "kontakty z wykonawcami".</w:t>
      </w:r>
    </w:p>
    <w:p w:rsidR="007C36EF" w:rsidRPr="002C768A" w:rsidRDefault="004F7FF4" w:rsidP="002C768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  <w:r w:rsidR="002C768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opinii </w:t>
      </w:r>
      <w:r w:rsidR="002C768A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sprawach, które były już przedmiotem rozstrzygnięcia lub, w których stan</w:t>
      </w:r>
      <w:r w:rsidR="002C768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RPr="002C76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2F7" w:rsidRDefault="004112F7" w:rsidP="004112F7">
      <w:pPr>
        <w:spacing w:after="0" w:line="240" w:lineRule="auto"/>
      </w:pPr>
      <w:r>
        <w:separator/>
      </w:r>
    </w:p>
  </w:endnote>
  <w:end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163802635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EC08F1" w:rsidRDefault="00EC08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C08F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C08F1">
          <w:rPr>
            <w:rFonts w:ascii="Arial" w:hAnsi="Arial" w:cs="Arial"/>
            <w:sz w:val="18"/>
            <w:szCs w:val="18"/>
          </w:rPr>
          <w:instrText>PAGE    \* MERGEFORMAT</w:instrTex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CA4F4B" w:rsidRPr="00CA4F4B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EC08F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:rsidR="00EC08F1" w:rsidRDefault="00EC0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2F7" w:rsidRDefault="004112F7" w:rsidP="004112F7">
      <w:pPr>
        <w:spacing w:after="0" w:line="240" w:lineRule="auto"/>
      </w:pPr>
      <w:r>
        <w:separator/>
      </w:r>
    </w:p>
  </w:footnote>
  <w:foot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F4B" w:rsidRPr="00CA4F4B" w:rsidRDefault="00CA4F4B" w:rsidP="00CA4F4B">
    <w:pPr>
      <w:pStyle w:val="Nagwek"/>
      <w:jc w:val="right"/>
      <w:rPr>
        <w:rFonts w:ascii="Arial" w:hAnsi="Arial" w:cs="Arial"/>
        <w:b/>
        <w:u w:val="single"/>
      </w:rPr>
    </w:pPr>
    <w:r w:rsidRPr="00CA4F4B">
      <w:rPr>
        <w:rFonts w:ascii="Arial" w:hAnsi="Arial" w:cs="Arial"/>
        <w:b/>
        <w:u w:val="single"/>
      </w:rPr>
      <w:t>Załącznik nr 5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F4"/>
    <w:rsid w:val="00041784"/>
    <w:rsid w:val="000A177B"/>
    <w:rsid w:val="000C0FBF"/>
    <w:rsid w:val="001A713B"/>
    <w:rsid w:val="002219A0"/>
    <w:rsid w:val="002C768A"/>
    <w:rsid w:val="004112F7"/>
    <w:rsid w:val="004F7FF4"/>
    <w:rsid w:val="00691DD1"/>
    <w:rsid w:val="006C3660"/>
    <w:rsid w:val="006F4F55"/>
    <w:rsid w:val="007C36EF"/>
    <w:rsid w:val="00812BF3"/>
    <w:rsid w:val="008D6C59"/>
    <w:rsid w:val="00B573AE"/>
    <w:rsid w:val="00B86630"/>
    <w:rsid w:val="00CA4F4B"/>
    <w:rsid w:val="00E41228"/>
    <w:rsid w:val="00EC08F1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BB4F2D"/>
  <w15:docId w15:val="{32EF973E-19DB-439D-88BE-DE504050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2F7"/>
  </w:style>
  <w:style w:type="paragraph" w:styleId="Stopka">
    <w:name w:val="footer"/>
    <w:basedOn w:val="Normalny"/>
    <w:link w:val="Stopka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B382A2-DECD-452D-AFFB-9A468DD492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2770</Words>
  <Characters>16620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Piasecka-Gembiak Anna</cp:lastModifiedBy>
  <cp:revision>9</cp:revision>
  <cp:lastPrinted>2024-10-18T08:44:00Z</cp:lastPrinted>
  <dcterms:created xsi:type="dcterms:W3CDTF">2023-05-25T13:16:00Z</dcterms:created>
  <dcterms:modified xsi:type="dcterms:W3CDTF">2024-10-18T08:44:00Z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56793ceb-6f0e-4952-97d3-d09ab7daa2a9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4Hh6MDVDGss6nhlgbSsMJksRSHluPoUb</vt:lpwstr>
  </property>
  <property fmtid="{D5CDD505-2E9C-101B-9397-08002B2CF9AE}" pid="11" name="s5636:Creator type=IP">
    <vt:lpwstr>10.90.79.166</vt:lpwstr>
  </property>
</Properties>
</file>