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5659"/>
      </w:tblGrid>
      <w:tr w:rsidR="00DA0A80" w:rsidRPr="00557461" w14:paraId="596A8764" w14:textId="77777777" w:rsidTr="00E16883">
        <w:trPr>
          <w:trHeight w:val="840"/>
          <w:tblHeader/>
        </w:trPr>
        <w:tc>
          <w:tcPr>
            <w:tcW w:w="36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B79139" w14:textId="516DEE8F" w:rsidR="00DA0A80" w:rsidRPr="00557461" w:rsidRDefault="00A457BF" w:rsidP="00B9427D">
            <w:pPr>
              <w:tabs>
                <w:tab w:val="num" w:pos="851"/>
              </w:tabs>
              <w:jc w:val="center"/>
              <w:rPr>
                <w:rFonts w:ascii="Lexend HM" w:hAnsi="Lexend HM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57461">
              <w:rPr>
                <w:rFonts w:ascii="Lexend HM" w:hAnsi="Lexend HM"/>
                <w:noProof/>
                <w:sz w:val="20"/>
              </w:rPr>
              <w:drawing>
                <wp:anchor distT="0" distB="0" distL="114300" distR="114300" simplePos="0" relativeHeight="251660288" behindDoc="1" locked="0" layoutInCell="1" allowOverlap="1" wp14:anchorId="1DF4CCA1" wp14:editId="700930A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-64135</wp:posOffset>
                  </wp:positionV>
                  <wp:extent cx="2162175" cy="695325"/>
                  <wp:effectExtent l="0" t="0" r="9525" b="9525"/>
                  <wp:wrapNone/>
                  <wp:docPr id="2" name="Picture 2" descr="A close-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-up of a logo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59" w:type="dxa"/>
            <w:tcBorders>
              <w:bottom w:val="dotted" w:sz="4" w:space="0" w:color="auto"/>
            </w:tcBorders>
            <w:shd w:val="clear" w:color="auto" w:fill="E6E6DF"/>
            <w:vAlign w:val="center"/>
          </w:tcPr>
          <w:p w14:paraId="26FD2B15" w14:textId="6145E4F8" w:rsidR="00DA0A80" w:rsidRPr="00557461" w:rsidRDefault="00DA0A80" w:rsidP="00B9427D">
            <w:pPr>
              <w:tabs>
                <w:tab w:val="num" w:pos="851"/>
              </w:tabs>
              <w:jc w:val="center"/>
              <w:rPr>
                <w:rFonts w:ascii="Lexend HM" w:hAnsi="Lexend HM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57461">
              <w:rPr>
                <w:rFonts w:ascii="Lexend HM" w:hAnsi="Lexend HM" w:cs="Arial"/>
                <w:b/>
                <w:szCs w:val="24"/>
              </w:rPr>
              <w:t>Wymagania BHP wobec podmiotów zewnętrznych obowiązujące w Górażdże Cement S.A.</w:t>
            </w:r>
          </w:p>
        </w:tc>
      </w:tr>
      <w:tr w:rsidR="003509E8" w:rsidRPr="00557461" w14:paraId="7E5E2DE7" w14:textId="77777777" w:rsidTr="00E16883">
        <w:tc>
          <w:tcPr>
            <w:tcW w:w="9344" w:type="dxa"/>
            <w:gridSpan w:val="2"/>
            <w:shd w:val="clear" w:color="auto" w:fill="auto"/>
          </w:tcPr>
          <w:p w14:paraId="285A2AC5" w14:textId="77777777" w:rsidR="00CF342C" w:rsidRPr="00557461" w:rsidRDefault="00CF342C" w:rsidP="007C4CF3">
            <w:pPr>
              <w:spacing w:before="120" w:after="120"/>
              <w:jc w:val="both"/>
              <w:rPr>
                <w:rFonts w:ascii="Lexend HM" w:hAnsi="Lexend HM" w:cs="Arial"/>
                <w:b/>
                <w:sz w:val="22"/>
                <w:szCs w:val="22"/>
                <w:u w:val="single"/>
              </w:rPr>
            </w:pPr>
            <w:r w:rsidRPr="00557461">
              <w:rPr>
                <w:rFonts w:ascii="Lexend HM" w:hAnsi="Lexend HM" w:cs="Arial"/>
                <w:b/>
                <w:sz w:val="22"/>
                <w:szCs w:val="22"/>
                <w:u w:val="single"/>
              </w:rPr>
              <w:t xml:space="preserve">I. Wymagania szczegółowe: </w:t>
            </w:r>
          </w:p>
          <w:p w14:paraId="2627957E" w14:textId="77777777" w:rsidR="00CF342C" w:rsidRPr="00557461" w:rsidRDefault="00CF342C" w:rsidP="007C4CF3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Podmiot zewnętrzny zwany w dalszej części Kontrahentem wykonujący prace lub usługi na rzecz Górażdże Cement S.A. zobowiązany jest do bezwzględnego przestrzegania przepisów i zasad BHP i ppoż. wynikających z polskiego ustawodawstwa, Polityki BHP Górażdże Cement oraz niniejszego Załącznika. </w:t>
            </w:r>
          </w:p>
          <w:p w14:paraId="579ED904" w14:textId="77777777" w:rsidR="00CF342C" w:rsidRPr="00557461" w:rsidRDefault="00CF342C" w:rsidP="007C4CF3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Wejście na tereny Górażdże Cement S.A. Kontrahenta, pracowników Kontrahenta oraz osób, za pomocą których prace lub usługę wykonuje podwykonawca Kontrahenta jest możliwe na podstawie imiennych przepustek. </w:t>
            </w:r>
          </w:p>
          <w:p w14:paraId="03F84AEB" w14:textId="77777777" w:rsidR="00CF342C" w:rsidRPr="00557461" w:rsidRDefault="00CF342C" w:rsidP="007C4CF3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>Podstawą wydania przepustek imiennych jest przedstawienie w pełni zatwierdzonego wniosku na formularzu VZ-01.02.06 Szczegółowe zasady przydzielania przepustek dla podwykonawców określono w załączniku VZ-01.02.04</w:t>
            </w:r>
          </w:p>
          <w:p w14:paraId="06B25D59" w14:textId="3129507E" w:rsidR="0068389C" w:rsidRPr="00557461" w:rsidRDefault="00CF342C" w:rsidP="007C4CF3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>Przed wejściem na teren zakładów należących do Górażdże Cement S.A. i podjęciem pracy na rzecz Górażdże Cement SA Kontrahent, pracownicy Kontrahenta  oraz osoby, za pomocą których prace lub usługę wykonuje Kontrahent zobowiązani są przejść odpowiednie szkolenie wprowadzające z zakresu BHP przeprowadzone przez Górażdże Cement S.A. Szczegółowe zasady dot. organizacji szkoleń wprowadzających z zakresu bhp dla podwykonawców określono w załączniku VZ-01.02.04</w:t>
            </w:r>
          </w:p>
          <w:p w14:paraId="1901B390" w14:textId="181866B7" w:rsidR="0068389C" w:rsidRPr="00557461" w:rsidRDefault="0068389C" w:rsidP="007C4CF3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>Kontrahent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 przed przystąpieniem do realizacji zadań określonych w</w:t>
            </w:r>
            <w:r w:rsidR="007C4CF3">
              <w:rPr>
                <w:rFonts w:ascii="Lexend HM" w:eastAsia="Calibri" w:hAnsi="Lexend HM" w:cs="Arial"/>
                <w:sz w:val="22"/>
                <w:szCs w:val="22"/>
              </w:rPr>
              <w:t xml:space="preserve">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umowie/</w:t>
            </w:r>
            <w:r w:rsidR="007C4CF3">
              <w:rPr>
                <w:rFonts w:ascii="Lexend HM" w:eastAsia="Calibri" w:hAnsi="Lexend HM" w:cs="Arial"/>
                <w:sz w:val="22"/>
                <w:szCs w:val="22"/>
              </w:rPr>
              <w:t xml:space="preserve">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zamówieniu pobiera od Koordynatora zadania ze strony Górażdże Cement S.A.:</w:t>
            </w:r>
          </w:p>
          <w:p w14:paraId="4E42B8D0" w14:textId="77777777" w:rsidR="0068389C" w:rsidRPr="00557461" w:rsidRDefault="0068389C" w:rsidP="007C4CF3">
            <w:pPr>
              <w:numPr>
                <w:ilvl w:val="0"/>
                <w:numId w:val="27"/>
              </w:numPr>
              <w:tabs>
                <w:tab w:val="clear" w:pos="360"/>
                <w:tab w:val="num" w:pos="1134"/>
              </w:tabs>
              <w:spacing w:before="120"/>
              <w:ind w:left="709" w:hanging="357"/>
              <w:contextualSpacing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karty zagrożeń dla firm zewnętrznych, w których to opisane są specyficzne zagrożenia występujące w obszarze realizowanych zadań </w:t>
            </w: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oraz </w:t>
            </w:r>
          </w:p>
          <w:p w14:paraId="70B8D9E1" w14:textId="0041794D" w:rsidR="0068389C" w:rsidRPr="00557461" w:rsidRDefault="0068389C" w:rsidP="007C4CF3">
            <w:pPr>
              <w:numPr>
                <w:ilvl w:val="0"/>
                <w:numId w:val="27"/>
              </w:numPr>
              <w:tabs>
                <w:tab w:val="clear" w:pos="360"/>
                <w:tab w:val="num" w:pos="1134"/>
              </w:tabs>
              <w:spacing w:before="120"/>
              <w:ind w:left="709" w:hanging="357"/>
              <w:contextualSpacing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wykaz pracowników wyznaczonych do udzielania pierwszej pomocy, wykonywania czynności w zakresie ochrony ppoż. i ewakuacji pracowników </w:t>
            </w:r>
            <w:r w:rsidR="005948E0">
              <w:rPr>
                <w:rFonts w:ascii="Lexend HM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hAnsi="Lexend HM" w:cs="Arial"/>
                <w:sz w:val="22"/>
                <w:szCs w:val="22"/>
              </w:rPr>
              <w:t>z obszaru, w którym realizowane będą zadania zawierający: imię i nazwisko, miejsce wykonywania pracy oraz numery telefonów.</w:t>
            </w:r>
          </w:p>
          <w:p w14:paraId="2F985D86" w14:textId="77777777" w:rsidR="0068389C" w:rsidRPr="00557461" w:rsidRDefault="0068389C" w:rsidP="007C4CF3">
            <w:pPr>
              <w:spacing w:before="120"/>
              <w:ind w:left="426"/>
              <w:contextualSpacing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Odbiór otrzymanych materiałów Kontrahent potwierdza w rejestrze prowadzonym przez Koordynatora zadania (formularz VZ – 01.02.05)</w:t>
            </w:r>
          </w:p>
          <w:p w14:paraId="17E2C5B6" w14:textId="41B9CAA1" w:rsidR="0068389C" w:rsidRPr="00557461" w:rsidRDefault="0068389C" w:rsidP="007C4CF3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Kontrahent zapoznaje z otrzymanymi materiałami wszystkie osoby, za pomocą których wykonuje pracę lub usługę .</w:t>
            </w:r>
          </w:p>
          <w:p w14:paraId="0F9F69F8" w14:textId="7DF177EC" w:rsidR="0068389C" w:rsidRPr="00557461" w:rsidRDefault="0068389C" w:rsidP="007C4CF3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Zapoznanie się  z otrzymanymi materiałami wymaga imiennego potwierdzenia na formularzu VZ-01.02.05, który Kontrahent po uzupełnieniu zwraca Koordynatorowi zadania</w:t>
            </w:r>
          </w:p>
          <w:p w14:paraId="33928B4D" w14:textId="110C5745" w:rsidR="0068389C" w:rsidRPr="00557461" w:rsidRDefault="0068389C" w:rsidP="007C4CF3">
            <w:pPr>
              <w:numPr>
                <w:ilvl w:val="0"/>
                <w:numId w:val="19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Osoby, za pomocą których Kontrahent  wykonuje pracę lub usługę, które nie zostały zapoznane z przekazanymi materiałami nie mogą rozpocząć pracy</w:t>
            </w:r>
          </w:p>
          <w:p w14:paraId="217CB880" w14:textId="50CC841F" w:rsidR="0068389C" w:rsidRPr="00557461" w:rsidRDefault="0068389C" w:rsidP="007C4CF3">
            <w:pPr>
              <w:numPr>
                <w:ilvl w:val="0"/>
                <w:numId w:val="19"/>
              </w:numPr>
              <w:spacing w:before="120" w:after="24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Jeśli Kontrahent do realizacji zadań zatrudnia obcokrajowców ma obowiązek zapoznać te osoby z materiałami otrzymanymi od </w:t>
            </w:r>
            <w:r w:rsidR="007F5489" w:rsidRPr="00557461">
              <w:rPr>
                <w:rFonts w:ascii="Lexend HM" w:hAnsi="Lexend HM" w:cs="Arial"/>
                <w:sz w:val="22"/>
                <w:szCs w:val="22"/>
              </w:rPr>
              <w:t>Górażdże</w:t>
            </w: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 Cement SA  w języku, </w:t>
            </w:r>
            <w:r w:rsidR="005948E0">
              <w:rPr>
                <w:rFonts w:ascii="Lexend HM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hAnsi="Lexend HM" w:cs="Arial"/>
                <w:sz w:val="22"/>
                <w:szCs w:val="22"/>
              </w:rPr>
              <w:t>w którym komunikują się zatrudnione przez niego osoby. Tłumaczenie przekazanych materiałów jest obowiązkiem Kontrahenta</w:t>
            </w:r>
          </w:p>
          <w:p w14:paraId="76761E90" w14:textId="2C0D3A5D" w:rsidR="0068389C" w:rsidRPr="00557461" w:rsidRDefault="0068389C" w:rsidP="007C4CF3">
            <w:pPr>
              <w:numPr>
                <w:ilvl w:val="0"/>
                <w:numId w:val="19"/>
              </w:numPr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Przed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rozpoczęciem prac na rzecz Górażdże Cement S.A. Kontrahent zobowiązany jest do przedłożenia Instrukcji Bezpiecznego Wykonania Robót (IBWR) , która winna zawierać:</w:t>
            </w:r>
          </w:p>
          <w:p w14:paraId="2D0834F5" w14:textId="1FAFE9D3" w:rsidR="0068389C" w:rsidRPr="00557461" w:rsidRDefault="0068389C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nazwę zadania, autora Instrukcji oraz zatwierdzenie</w:t>
            </w:r>
          </w:p>
          <w:p w14:paraId="3AAA12C7" w14:textId="2FD017AD" w:rsidR="0068389C" w:rsidRPr="00557461" w:rsidRDefault="0068389C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lastRenderedPageBreak/>
              <w:t>planowany termin wykonania zadania wraz z uwzględnieniem przerw i prac wykonywanych w  nocy</w:t>
            </w:r>
          </w:p>
          <w:p w14:paraId="52CBE1DA" w14:textId="7629A183" w:rsidR="00146CEE" w:rsidRPr="00557461" w:rsidRDefault="0068389C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dokładne miejsce wykonywanych prac wraz z określeniem sposobu dotarcia do tego miejsca i zasad ewakuacji w sytuacji awaryjnej</w:t>
            </w:r>
          </w:p>
          <w:p w14:paraId="71DD3AD9" w14:textId="77777777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zakres i kolejność etapów wykonania prac </w:t>
            </w:r>
          </w:p>
          <w:p w14:paraId="57904BAA" w14:textId="2D46255B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opis zidentyfikowanych i potencjalnych zagrożeń związanych z wykonywaniem każdego etapu prac</w:t>
            </w:r>
          </w:p>
          <w:p w14:paraId="7713E6ED" w14:textId="768693F1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opis przyjętego bezpiecznego sposobu wykonywania poszczególnych prac</w:t>
            </w:r>
          </w:p>
          <w:p w14:paraId="69C2E7A0" w14:textId="64A7168A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wykaz wymaganych środków ochrony przy poszczególnych czynnościach </w:t>
            </w:r>
            <w:r w:rsidR="005948E0">
              <w:rPr>
                <w:rFonts w:ascii="Lexend HM" w:eastAsia="Calibri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z dokładnym wskazaniem tych środków ochrony zbiorowej i indywidualnej, które będą stosowane przez daną firmę</w:t>
            </w:r>
          </w:p>
          <w:p w14:paraId="473A25F9" w14:textId="77777777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określenie zasobów ludzkich niezbędnych do wykonania robót wraz z informacją na temat zakresu obowiązków, odpowiedzialności i uprawnień, jeżeli takie są wymagane</w:t>
            </w:r>
          </w:p>
          <w:p w14:paraId="7365530E" w14:textId="77777777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określenie zasobów sprzętowych niezbędnych do wykonania robót</w:t>
            </w:r>
          </w:p>
          <w:p w14:paraId="301D0134" w14:textId="77777777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wykaz substancji niebezpiecznych wykorzystywanych przy robotach wraz ze wskazaniem numeru załącznika stanowiącego „Kartę charakterystyki substancji niebezpiecznych”</w:t>
            </w:r>
          </w:p>
          <w:p w14:paraId="1EFB3995" w14:textId="77777777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informację o sposobie zagospodarowania odpadów powstałych podczas wykorzystania substancji niebezpiecznych</w:t>
            </w:r>
          </w:p>
          <w:p w14:paraId="681B70D3" w14:textId="2E484BFF" w:rsidR="00146CEE" w:rsidRPr="00557461" w:rsidRDefault="00146CEE" w:rsidP="007C4CF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listę osób z podpisami zapoznanych z przygotowaną IBWR.</w:t>
            </w:r>
          </w:p>
          <w:p w14:paraId="539C8600" w14:textId="5D5714E8" w:rsidR="00CF342C" w:rsidRPr="00557461" w:rsidRDefault="00CF342C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>Obowiązek przygotowania IBWR nie dotyczy prac , które wymagają użycia tylko prostych narzędzi ręcznych (drobne prace serwisowe i konserwacyjne) i pod warunkiem, że prace te nie generują dodatkowych zagrożeń dla innych osób przebywających w tym obszarze</w:t>
            </w:r>
          </w:p>
          <w:p w14:paraId="6E78E5D4" w14:textId="791896D4" w:rsidR="00146CEE" w:rsidRPr="00557461" w:rsidRDefault="00146CEE" w:rsidP="007C4CF3">
            <w:pPr>
              <w:pStyle w:val="ListParagraph"/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Kontrahent powierza  realizację przedmiotu umowy tylko osobom posiadającym wymagane przepisami kwalifikacje zawodowe, aktualne badania lekarskie oraz aktualne przeszkolenie z zakresu przepisów  BHP i ochrony ppoż. zgodne </w:t>
            </w:r>
            <w:r w:rsidR="005948E0">
              <w:rPr>
                <w:rFonts w:ascii="Lexend HM" w:eastAsia="Calibri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z wymaganiami prawnymi w sprawie szkoleń z zakresu bezpieczeństwa i higieny pracy. </w:t>
            </w:r>
          </w:p>
          <w:p w14:paraId="70C9EC02" w14:textId="49A56694" w:rsidR="00146CEE" w:rsidRPr="00557461" w:rsidRDefault="00146CEE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W przypadku,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gdy przewiduje się w jednym miejscu wykonywanie prac przez pracowników zatrudnionych przez różnych pracodawców pracodawcy ci wyznaczają Koordynatora ds. BHP w myśl Art. 208 Kodeksu Pracy.  Szczegółowe zasady powoływania oraz obowiązki Koordynatorów BHP określono w załączniku VZ-01.02.02</w:t>
            </w:r>
          </w:p>
          <w:p w14:paraId="02152972" w14:textId="77777777" w:rsidR="00146CEE" w:rsidRPr="00557461" w:rsidRDefault="00146CEE" w:rsidP="007C4CF3">
            <w:pPr>
              <w:pStyle w:val="ListParagraph"/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Kontrahent, który zamierza powierzyć zadanie lub jego część podwykonawcy jest zobowiązany do uzyskania na to uprzedniej pisemnej zgody Górażdże Cement S.A.</w:t>
            </w:r>
          </w:p>
          <w:p w14:paraId="695D0DBC" w14:textId="3DFEACCA" w:rsidR="00146CEE" w:rsidRPr="00557461" w:rsidRDefault="00146CEE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Wszystkim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osobom, za pomocą których Kontrahent wykonuje zadania a także dostawcom towarów, materiałów i usług są stawiane takie same wymagania BHP jak pracownikom własnym Kontrahenta. Kontrahent ponosi pełną odpowiedzialność za przestrzeganie niniejszych wymagań przez osoby za pomocą których wykonuje zadania.</w:t>
            </w:r>
          </w:p>
          <w:p w14:paraId="4F429D9D" w14:textId="3F5F3608" w:rsidR="00146CEE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Kontrahent,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każdego dnia przed rozpoczęciem i po zakończeniu prac informuje </w:t>
            </w:r>
            <w:r w:rsidR="005948E0">
              <w:rPr>
                <w:rFonts w:ascii="Lexend HM" w:eastAsia="Calibri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 liczbie osób za pomocą których wykonuje zadanie oraz o fakcie opuszczenie przez nich obiektu:</w:t>
            </w:r>
          </w:p>
          <w:p w14:paraId="40DBC8B1" w14:textId="42A8A3DA" w:rsidR="005B1001" w:rsidRPr="00557461" w:rsidRDefault="005B1001" w:rsidP="007C4CF3">
            <w:pPr>
              <w:pStyle w:val="ListParagraph"/>
              <w:numPr>
                <w:ilvl w:val="0"/>
                <w:numId w:val="33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lastRenderedPageBreak/>
              <w:t xml:space="preserve">w przypadku Cementowni oraz Zakładu Ekocem informuje Kierownika Zmiany  </w:t>
            </w:r>
            <w:r w:rsidR="005948E0">
              <w:rPr>
                <w:rFonts w:ascii="Lexend HM" w:eastAsia="Calibri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w Centralnej Sterowni, </w:t>
            </w:r>
          </w:p>
          <w:p w14:paraId="54BD114B" w14:textId="77777777" w:rsidR="00CF342C" w:rsidRPr="00557461" w:rsidRDefault="00CF342C" w:rsidP="007C4CF3">
            <w:pPr>
              <w:pStyle w:val="ListParagraph"/>
              <w:numPr>
                <w:ilvl w:val="0"/>
                <w:numId w:val="33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w przypadku Kopalni Sztygara Zmianowego, </w:t>
            </w:r>
          </w:p>
          <w:p w14:paraId="74481854" w14:textId="787602D1" w:rsidR="005B1001" w:rsidRPr="006052C3" w:rsidRDefault="00CF342C" w:rsidP="006052C3">
            <w:pPr>
              <w:pStyle w:val="ListParagraph"/>
              <w:numPr>
                <w:ilvl w:val="0"/>
                <w:numId w:val="33"/>
              </w:numPr>
              <w:spacing w:before="12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w przypadku Stacji Przesypowych Cementu (SPC) Kierownika SPC</w:t>
            </w:r>
          </w:p>
          <w:p w14:paraId="37933DF0" w14:textId="26BC00FF" w:rsidR="005B1001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Kontrahent, wyznacza i ustanawia osoby nadzorujące za pomocą, których Kontrahent wykonuje zadanie oraz zapewnia stałą obecność tej osoby w miejscu realizacji zadań </w:t>
            </w:r>
          </w:p>
          <w:p w14:paraId="157F0431" w14:textId="2A393654" w:rsidR="005B1001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W przypadku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konieczności czasowego opuszczenia miejsca realizacji zadania przez osobę odpowiedzialną za nadzór osoba ta ustanawia swojego zastępcę na czas nieobecności, za wiedzą i zgodą Koordynatora zadania  z ramienia Górażdże Cement S.A , który został określony w umowie / zamówieniu</w:t>
            </w:r>
          </w:p>
          <w:p w14:paraId="6FE60D74" w14:textId="3F987153" w:rsidR="005B1001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Osoba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nadzorująca ze strony Kontrahenta musi posiadać uprawnienia dozorowe </w:t>
            </w:r>
            <w:r w:rsidR="00B217B9">
              <w:rPr>
                <w:rFonts w:ascii="Lexend HM" w:eastAsia="Calibri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 specjalności związanej z charakterem prowadzonych przez Kontrahenta prac.</w:t>
            </w:r>
          </w:p>
          <w:p w14:paraId="5E0CF65C" w14:textId="0E3688ED" w:rsidR="005B1001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Osoba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nadzorująca ze strony Kontrahenta, przed rozpoczęciem prac winna zapoznać się z Instrukcją Organizacji Bezpiecznej Pracy w Górażdże Cement S.A., którą udostępnia mu </w:t>
            </w:r>
            <w:r w:rsidRPr="00557461">
              <w:rPr>
                <w:rFonts w:ascii="Lexend HM" w:hAnsi="Lexend HM" w:cs="Arial"/>
                <w:sz w:val="22"/>
                <w:szCs w:val="22"/>
              </w:rPr>
              <w:t>Koordynator zadania  z ramienia Górażdże Cement S.A , który został określony w umowie / zamówieniu</w:t>
            </w:r>
          </w:p>
          <w:p w14:paraId="5D2FACE9" w14:textId="251EC970" w:rsidR="005B1001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Osoba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nadzorująca ze strony Kontrahenta nie może rozpocząć </w:t>
            </w:r>
            <w:r w:rsidR="007F5489" w:rsidRPr="00557461">
              <w:rPr>
                <w:rFonts w:ascii="Lexend HM" w:eastAsia="Calibri" w:hAnsi="Lexend HM" w:cs="Arial"/>
                <w:sz w:val="22"/>
                <w:szCs w:val="22"/>
              </w:rPr>
              <w:t>prac,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 dopóki nie uzyska pozwolenia na pracę od Górażdże Cement S.A.</w:t>
            </w:r>
          </w:p>
          <w:p w14:paraId="2DD95E5D" w14:textId="08BEAEAA" w:rsidR="005B1001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Pozwolenia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na pracę wydawane są zgodnie z zapisami Instrukcji Organizacji Bezpiecznej Pracy w Górażdże Cement S.A.</w:t>
            </w:r>
          </w:p>
          <w:p w14:paraId="163F5F91" w14:textId="378C174A" w:rsidR="005B1001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Kontrahent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ma obowiązek zapewnić oraz egzekwować stosowanie przez osoby za pomocą, których wykonuje zadania  odzież roboczą ochronną, obuwie robocze oraz środki ochrony osobistej, zgodnie z wymaganiami przepisów i polskich norm.</w:t>
            </w:r>
          </w:p>
          <w:p w14:paraId="14664BE0" w14:textId="0C90F7B0" w:rsidR="005B1001" w:rsidRPr="00557461" w:rsidRDefault="005B1001" w:rsidP="007C4CF3">
            <w:pPr>
              <w:pStyle w:val="ListParagraph"/>
              <w:numPr>
                <w:ilvl w:val="0"/>
                <w:numId w:val="19"/>
              </w:numPr>
              <w:spacing w:before="120" w:after="120"/>
              <w:ind w:left="357" w:hanging="357"/>
              <w:contextualSpacing w:val="0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Środki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wymienione wyżej powinny być dobrane w oparciu o zagrożenia określone dla danego zadania i wynikające z charakteru prowadzonych prac, przy czym niezbędne minimum to:</w:t>
            </w:r>
          </w:p>
          <w:p w14:paraId="74EC50B4" w14:textId="6EC37C89" w:rsidR="005B1001" w:rsidRPr="00557461" w:rsidRDefault="00E31F5E" w:rsidP="007C4CF3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>hełm ochronny + 4 pkt. pasek podbródkowy,</w:t>
            </w:r>
          </w:p>
          <w:p w14:paraId="0D336040" w14:textId="56405A83" w:rsidR="00E31F5E" w:rsidRPr="00557461" w:rsidRDefault="00E31F5E" w:rsidP="007C4CF3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odzież o wysokiej postrzegalności (góra odzieży certyfikowana w klasie </w:t>
            </w:r>
            <w:r w:rsidR="00B217B9">
              <w:rPr>
                <w:rFonts w:ascii="Lexend HM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hAnsi="Lexend HM" w:cs="Arial"/>
                <w:sz w:val="22"/>
                <w:szCs w:val="22"/>
              </w:rPr>
              <w:t>3 a spodnie co najmniej w klasie 2 wg ISO 20471:2013</w:t>
            </w:r>
          </w:p>
          <w:p w14:paraId="7475B003" w14:textId="2780A47F" w:rsidR="00CF342C" w:rsidRPr="00557461" w:rsidRDefault="00CF342C" w:rsidP="007C4CF3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>obuwie robocze ochronne</w:t>
            </w:r>
            <w:r w:rsidR="00E31F5E" w:rsidRPr="00557461">
              <w:rPr>
                <w:rFonts w:ascii="Lexend HM" w:hAnsi="Lexend HM" w:cs="Arial"/>
                <w:sz w:val="22"/>
                <w:szCs w:val="22"/>
              </w:rPr>
              <w:t xml:space="preserve"> </w:t>
            </w:r>
          </w:p>
          <w:p w14:paraId="61EE5581" w14:textId="77777777" w:rsidR="00CF342C" w:rsidRPr="00557461" w:rsidRDefault="00CF342C" w:rsidP="007C4CF3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>okulary ochronne</w:t>
            </w:r>
          </w:p>
          <w:p w14:paraId="0F531DCB" w14:textId="77777777" w:rsidR="00CF342C" w:rsidRPr="00557461" w:rsidRDefault="00CF342C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Obsługę maszyn, urządzeń lub narzędzi Kontrahent powierza wyłącznie osobom posiadającym  wymagane kwalifikacje i uprawnienia wynikające z przepisów szczegółowych w tym zakresie. </w:t>
            </w:r>
          </w:p>
          <w:p w14:paraId="02AAA5C1" w14:textId="4AEBBF21" w:rsidR="00CF342C" w:rsidRPr="00557461" w:rsidRDefault="00CF342C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 Kontrahent może wprowadzać na teren Górażdże Cement S.A. oraz stosować wyłącznie maszyny, urządzenia lub narzędzia posiadające dokumenty potwierdzające zgodność z wymaganiami przepisów BHP w tym zakresie, m.in. znak B lub CE.</w:t>
            </w:r>
          </w:p>
          <w:p w14:paraId="51102D54" w14:textId="6A8846CD" w:rsidR="00FC1CE0" w:rsidRPr="00557461" w:rsidRDefault="00FC1CE0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Kontrahent, który realizuje zadanie wymagające wwiezienia bądź wywiezienia materiałów  niebezpiecznych na teren Górażdże Cement SA musi posiadać pisemną zgodę na wwóz na teren Górażdże Cement SA  materiałów niebezpiecznych  wydaną </w:t>
            </w:r>
            <w:r w:rsidRPr="00557461">
              <w:rPr>
                <w:rFonts w:ascii="Lexend HM" w:hAnsi="Lexend HM" w:cs="Arial"/>
                <w:sz w:val="22"/>
                <w:szCs w:val="22"/>
              </w:rPr>
              <w:lastRenderedPageBreak/>
              <w:t>przez Koordynatora zadania  z ramienia Górażdże Cement S.A , który został określony w umowie / zamówieniu</w:t>
            </w:r>
          </w:p>
          <w:p w14:paraId="09112195" w14:textId="7DDD39DD" w:rsidR="00FC1CE0" w:rsidRPr="00557461" w:rsidRDefault="00FC1CE0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Kontrahent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przewożący materiały  niebezpieczne wjeżdżający na teren Górażdże Cement SA musi posiadać pisemnie uzgodnioną przez </w:t>
            </w: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Koordynatora zadania  </w:t>
            </w:r>
            <w:r w:rsidR="00B217B9">
              <w:rPr>
                <w:rFonts w:ascii="Lexend HM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z ramienia Górażdże Cement S.A , który został określony w umowie / zamówieniu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trasę przewozu po terenie Górażdże Cement SA materiałów niebezpiecznych.</w:t>
            </w:r>
          </w:p>
          <w:p w14:paraId="2566718A" w14:textId="7D95F517" w:rsidR="00FC1CE0" w:rsidRPr="00557461" w:rsidRDefault="00FC1CE0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Wszystkie maszyny, urządzenia lub narzędzia stosowane przez Kontrahenta, przy obsłudze których występują czynniki szkodliwe, w tym głównie: hałas, wibracje, zapylenie, powinny posiadać aktualne wyniki pomiarów tych czynników</w:t>
            </w:r>
          </w:p>
          <w:p w14:paraId="7CE88191" w14:textId="1BAC573D" w:rsidR="00FC1CE0" w:rsidRPr="00557461" w:rsidRDefault="00FC1CE0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 wszelkich wypadkach przy pracy, zdarzeniach potencjalnie wypadkowych oraz innych zdarzeniach mających wpływ na bezpieczeństwo pracy Kontrahent ma obowiązek powiadomić Górażdże Cement S.A.</w:t>
            </w:r>
          </w:p>
          <w:p w14:paraId="3D9B77CE" w14:textId="066E7A68" w:rsidR="00FC1CE0" w:rsidRPr="00557461" w:rsidRDefault="00FC1CE0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Obowiązek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ustalania okoliczności i przyczyn wypadków, którym uległy osoby, za pomocą których Kontrahent wykonuje zadania  leży po stronie Kontrahenta.</w:t>
            </w:r>
          </w:p>
          <w:p w14:paraId="575AAAB1" w14:textId="66E613BB" w:rsidR="00FC1CE0" w:rsidRPr="00557461" w:rsidRDefault="00FC1CE0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Górażdże Cement S.A. uczestniczy w postępowaniach powypadkowych na zasadzie obserwatora.</w:t>
            </w:r>
          </w:p>
          <w:p w14:paraId="238FD3AA" w14:textId="11023433" w:rsidR="00FC1CE0" w:rsidRPr="00557461" w:rsidRDefault="00FC1CE0" w:rsidP="007C4CF3">
            <w:pPr>
              <w:numPr>
                <w:ilvl w:val="0"/>
                <w:numId w:val="19"/>
              </w:numPr>
              <w:spacing w:before="120"/>
              <w:ind w:left="357" w:hanging="357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Kontrahent </w:t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ma obowiązek przekazać Górażdże Cement S.A. dokumentację lub raport z postępowania powypadkowego</w:t>
            </w:r>
          </w:p>
          <w:p w14:paraId="2AC8455F" w14:textId="406B83D5" w:rsidR="00CF342C" w:rsidRPr="00557461" w:rsidRDefault="00CF342C" w:rsidP="007C4CF3">
            <w:pPr>
              <w:spacing w:after="200" w:line="276" w:lineRule="auto"/>
              <w:ind w:left="360"/>
              <w:contextualSpacing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</w:p>
          <w:p w14:paraId="601A23FA" w14:textId="10A53C0C" w:rsidR="00CF342C" w:rsidRPr="00557461" w:rsidRDefault="00CF342C" w:rsidP="007C4CF3">
            <w:pPr>
              <w:spacing w:before="120" w:after="120"/>
              <w:ind w:left="357"/>
              <w:contextualSpacing/>
              <w:jc w:val="both"/>
              <w:rPr>
                <w:rFonts w:ascii="Lexend HM" w:eastAsia="Calibri" w:hAnsi="Lexend HM" w:cs="Arial"/>
                <w:b/>
                <w:sz w:val="22"/>
                <w:szCs w:val="22"/>
                <w:u w:val="single"/>
              </w:rPr>
            </w:pPr>
            <w:r w:rsidRPr="00557461">
              <w:rPr>
                <w:rFonts w:ascii="Lexend HM" w:eastAsia="Calibri" w:hAnsi="Lexend HM" w:cs="Arial"/>
                <w:b/>
                <w:sz w:val="22"/>
                <w:szCs w:val="22"/>
                <w:u w:val="single"/>
              </w:rPr>
              <w:t xml:space="preserve">II. Dokumenty Kontrahenta: </w:t>
            </w:r>
          </w:p>
          <w:p w14:paraId="60160816" w14:textId="77777777" w:rsidR="00FC1CE0" w:rsidRPr="00557461" w:rsidRDefault="00FC1CE0" w:rsidP="007C4CF3">
            <w:pPr>
              <w:spacing w:before="120"/>
              <w:ind w:left="357"/>
              <w:contextualSpacing/>
              <w:jc w:val="both"/>
              <w:rPr>
                <w:rFonts w:ascii="Lexend HM" w:hAnsi="Lexend HM" w:cs="Arial"/>
                <w:sz w:val="22"/>
                <w:szCs w:val="22"/>
              </w:rPr>
            </w:pPr>
          </w:p>
          <w:p w14:paraId="65E31F2F" w14:textId="77777777" w:rsidR="00CF342C" w:rsidRPr="00557461" w:rsidRDefault="00CF342C" w:rsidP="007C4CF3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Każdy podwykonawca ma obowiązek na życzenie Górażdże Cement S.A.  przedstawić do wglądu oryginały lub poświadczone przez siebie kopie następujących dokumentów:</w:t>
            </w:r>
          </w:p>
          <w:p w14:paraId="55304775" w14:textId="77777777" w:rsidR="00CF342C" w:rsidRPr="00557461" w:rsidRDefault="00CF342C" w:rsidP="007C4CF3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before="120"/>
              <w:ind w:left="1077" w:hanging="357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aktualne zaświadczenia o ukończeniu wymaganych prawem szkoleń BHP wszystkich osób za pomocą których Kontrahent wykonuje zadanie,</w:t>
            </w:r>
          </w:p>
          <w:p w14:paraId="3832373C" w14:textId="0AC5C528" w:rsidR="00CF342C" w:rsidRPr="00557461" w:rsidRDefault="00CF342C" w:rsidP="007C4CF3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before="120"/>
              <w:ind w:left="1077" w:hanging="357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orzeczenia lekarskie o braku przeciwwskazań do powierzenia pracy na określonych stanowiskach pracy osobom za pomocą których Kontrahent wykonuje zadanie</w:t>
            </w:r>
          </w:p>
          <w:p w14:paraId="60294939" w14:textId="7389DB66" w:rsidR="00B36EFA" w:rsidRPr="00557461" w:rsidRDefault="007F5489" w:rsidP="007C4CF3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before="120"/>
              <w:ind w:left="1077" w:hanging="357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potwierdzenia</w:t>
            </w:r>
            <w:r w:rsidR="00B36EFA"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 wymaganych kwalifikacji i uprawnień do wykonywania określonych robót specjalistycznych, obsługi sprzętu, kierowania pojazdami lub maszynami,</w:t>
            </w:r>
          </w:p>
          <w:p w14:paraId="58492A8E" w14:textId="6A803772" w:rsidR="00B36EFA" w:rsidRPr="00557461" w:rsidRDefault="00B36EFA" w:rsidP="007C4CF3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before="120"/>
              <w:ind w:left="1077" w:hanging="357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ocena ryzyka dla zadania wraz z oświadczeniem potwierdzającym zapoznanie osób za pomocą których Kontrahent wykonuje zadanie z zagrożeniami wynikającymi z tego dokumentu oraz ustalonymi, obowiązkowymi środkami mającymi na celu ograniczenie lub likwidację tych zagrożeń,</w:t>
            </w:r>
          </w:p>
          <w:p w14:paraId="53DC029B" w14:textId="6AF49998" w:rsidR="00B36EFA" w:rsidRPr="00557461" w:rsidRDefault="00B36EFA" w:rsidP="007C4CF3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before="120"/>
              <w:ind w:left="1077" w:hanging="357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potwierdzenia zapoznania osób za pomocą których Kontrahent wykonuje zadanie, z dokumentacją techniczno-roboczą maszyn i urządzeń technicznych oraz instrukcjami ich obsługi,</w:t>
            </w:r>
          </w:p>
          <w:p w14:paraId="44B543EB" w14:textId="1CE8963B" w:rsidR="00B36EFA" w:rsidRPr="00557461" w:rsidRDefault="00B36EFA" w:rsidP="007C4CF3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before="120"/>
              <w:ind w:left="1077" w:hanging="357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aktualne wyniki pomiarów elektrycznych maszyn, urządzeń, elektronarzędzi oraz pomieszczeń Kontrahenta, jak: biura, zaplecza higieniczno-sanitarne, magazyny,</w:t>
            </w:r>
          </w:p>
          <w:p w14:paraId="398415EE" w14:textId="1FED3811" w:rsidR="00205197" w:rsidRPr="00B217B9" w:rsidRDefault="00B36EFA" w:rsidP="00B217B9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spacing w:before="120"/>
              <w:ind w:left="1077" w:hanging="357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lastRenderedPageBreak/>
              <w:t>wykaz osób wyznaczonych i przeszkolonych w zakresie udzielania pierwszej pomocy, wykonywania czynności w zakresie ochrony ppoż. i ewakuacji</w:t>
            </w:r>
            <w:r w:rsidR="0002432F">
              <w:rPr>
                <w:rFonts w:ascii="Lexend HM" w:eastAsia="Calibri" w:hAnsi="Lexend HM" w:cs="Arial"/>
                <w:sz w:val="22"/>
                <w:szCs w:val="22"/>
              </w:rPr>
              <w:t>.</w:t>
            </w:r>
          </w:p>
          <w:p w14:paraId="16485A6F" w14:textId="77777777" w:rsidR="00CF342C" w:rsidRPr="00557461" w:rsidRDefault="00CF342C" w:rsidP="007C4CF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Lexend HM" w:eastAsia="Calibri" w:hAnsi="Lexend HM" w:cs="Arial"/>
                <w:b/>
                <w:sz w:val="22"/>
                <w:szCs w:val="22"/>
                <w:u w:val="single"/>
              </w:rPr>
            </w:pPr>
            <w:r w:rsidRPr="00557461">
              <w:rPr>
                <w:rFonts w:ascii="Lexend HM" w:eastAsia="Calibri" w:hAnsi="Lexend HM" w:cs="Arial"/>
                <w:b/>
                <w:sz w:val="22"/>
                <w:szCs w:val="22"/>
                <w:u w:val="single"/>
              </w:rPr>
              <w:t>III. Przeglądy i kontrole BHP</w:t>
            </w:r>
          </w:p>
          <w:p w14:paraId="70C20ED7" w14:textId="77777777" w:rsidR="00CF342C" w:rsidRPr="00557461" w:rsidRDefault="00CF342C" w:rsidP="007C4CF3">
            <w:pPr>
              <w:numPr>
                <w:ilvl w:val="0"/>
                <w:numId w:val="38"/>
              </w:numPr>
              <w:spacing w:before="100" w:beforeAutospacing="1"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Kontrahent ma obowiązek stałej, bieżącej kontroli przestrzegania przepisów i zasad BHP przez osoby za pomocą których Kontrahent wykonuje zadanie. </w:t>
            </w:r>
          </w:p>
          <w:p w14:paraId="5FC048FC" w14:textId="77777777" w:rsidR="00CF342C" w:rsidRPr="00557461" w:rsidRDefault="00CF342C" w:rsidP="007C4CF3">
            <w:pPr>
              <w:numPr>
                <w:ilvl w:val="0"/>
                <w:numId w:val="38"/>
              </w:numPr>
              <w:spacing w:before="100" w:beforeAutospacing="1"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Kontrahenci świadczący stałe usługi i realizujący umowy długoterminowe na rzecz Górażdże Cement SA przekazują do Działu BHP Górażdże Cement SA przynajmniej raz w roku wyniki kontroli BHP obszaru, w którym Kontrahent prowadzi swoje działania na terenie Górażdże Cement przeprowadzane przez Służby BHP zatrudnione u Kontrahenta. </w:t>
            </w:r>
          </w:p>
          <w:p w14:paraId="6EBCE78D" w14:textId="77777777" w:rsidR="00CF342C" w:rsidRPr="00557461" w:rsidRDefault="00CF342C" w:rsidP="007C4CF3">
            <w:pPr>
              <w:numPr>
                <w:ilvl w:val="0"/>
                <w:numId w:val="38"/>
              </w:numPr>
              <w:spacing w:before="100" w:beforeAutospacing="1"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Górażdże Cement S.A. zastrzega sobie prawo do dokonywania w obszarze prowadzenia przez Kontrahenta działań </w:t>
            </w:r>
            <w:proofErr w:type="spellStart"/>
            <w:r w:rsidRPr="00557461">
              <w:rPr>
                <w:rFonts w:ascii="Lexend HM" w:hAnsi="Lexend HM" w:cs="Arial"/>
                <w:sz w:val="22"/>
                <w:szCs w:val="22"/>
              </w:rPr>
              <w:t>auditów</w:t>
            </w:r>
            <w:proofErr w:type="spellEnd"/>
            <w:r w:rsidRPr="00557461">
              <w:rPr>
                <w:rFonts w:ascii="Lexend HM" w:hAnsi="Lexend HM" w:cs="Arial"/>
                <w:sz w:val="22"/>
                <w:szCs w:val="22"/>
              </w:rPr>
              <w:t>, przeglądów, inspekcji i kontroli BHP bez konieczności wcześniejszego powiadamiania o podjęciu tych działań.</w:t>
            </w:r>
          </w:p>
          <w:p w14:paraId="600BFDAA" w14:textId="6A8C97B9" w:rsidR="00CF342C" w:rsidRPr="00557461" w:rsidRDefault="00CF342C" w:rsidP="007C4CF3">
            <w:pPr>
              <w:numPr>
                <w:ilvl w:val="0"/>
                <w:numId w:val="38"/>
              </w:numPr>
              <w:spacing w:before="100" w:beforeAutospacing="1"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 Kontrahent powinien zapewnić w każdej chwili udział swojego przedstawiciela </w:t>
            </w:r>
            <w:r w:rsidR="0002432F">
              <w:rPr>
                <w:rFonts w:ascii="Lexend HM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hAnsi="Lexend HM" w:cs="Arial"/>
                <w:sz w:val="22"/>
                <w:szCs w:val="22"/>
              </w:rPr>
              <w:t xml:space="preserve">w powołanych przez Górażdże Cement S.A. zespołach do przeprowadzania </w:t>
            </w:r>
            <w:proofErr w:type="spellStart"/>
            <w:r w:rsidRPr="00557461">
              <w:rPr>
                <w:rFonts w:ascii="Lexend HM" w:hAnsi="Lexend HM" w:cs="Arial"/>
                <w:sz w:val="22"/>
                <w:szCs w:val="22"/>
              </w:rPr>
              <w:t>auditów</w:t>
            </w:r>
            <w:proofErr w:type="spellEnd"/>
            <w:r w:rsidRPr="00557461">
              <w:rPr>
                <w:rFonts w:ascii="Lexend HM" w:hAnsi="Lexend HM" w:cs="Arial"/>
                <w:sz w:val="22"/>
                <w:szCs w:val="22"/>
              </w:rPr>
              <w:t>, przeglądów, inspekcji i kontroli BHP.</w:t>
            </w:r>
          </w:p>
          <w:p w14:paraId="470F3CE5" w14:textId="77777777" w:rsidR="00CF342C" w:rsidRPr="00557461" w:rsidRDefault="00CF342C" w:rsidP="007C4CF3">
            <w:pPr>
              <w:numPr>
                <w:ilvl w:val="0"/>
                <w:numId w:val="38"/>
              </w:numPr>
              <w:spacing w:before="100" w:beforeAutospacing="1" w:after="200" w:line="276" w:lineRule="auto"/>
              <w:jc w:val="both"/>
              <w:rPr>
                <w:rFonts w:ascii="Lexend HM" w:hAnsi="Lexend HM" w:cs="Arial"/>
                <w:sz w:val="22"/>
                <w:szCs w:val="22"/>
              </w:rPr>
            </w:pPr>
            <w:r w:rsidRPr="00557461">
              <w:rPr>
                <w:rFonts w:ascii="Lexend HM" w:hAnsi="Lexend HM" w:cs="Arial"/>
                <w:sz w:val="22"/>
                <w:szCs w:val="22"/>
              </w:rPr>
              <w:t>Kontrahent ma obowiązek usuwania wszelkich uchybień w zakresie BHP, stwierdzonych w trakcie działań określonych w punkcie 4 w terminach uzgodnionych przez Górażdże Cement S.A.</w:t>
            </w:r>
          </w:p>
          <w:p w14:paraId="2EA00ABD" w14:textId="08955F85" w:rsidR="00CF342C" w:rsidRPr="00557461" w:rsidRDefault="00CF342C" w:rsidP="007C4CF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Lexend HM" w:eastAsia="Calibri" w:hAnsi="Lexend HM" w:cs="Arial"/>
                <w:b/>
                <w:sz w:val="22"/>
                <w:szCs w:val="22"/>
                <w:u w:val="single"/>
              </w:rPr>
            </w:pPr>
            <w:r w:rsidRPr="00557461">
              <w:rPr>
                <w:rFonts w:ascii="Lexend HM" w:eastAsia="Calibri" w:hAnsi="Lexend HM" w:cs="Arial"/>
                <w:b/>
                <w:sz w:val="22"/>
                <w:szCs w:val="22"/>
                <w:u w:val="single"/>
              </w:rPr>
              <w:t xml:space="preserve">IV. Konsekwencje za </w:t>
            </w:r>
            <w:r w:rsidR="007F5489" w:rsidRPr="00557461">
              <w:rPr>
                <w:rFonts w:ascii="Lexend HM" w:eastAsia="Calibri" w:hAnsi="Lexend HM" w:cs="Arial"/>
                <w:b/>
                <w:sz w:val="22"/>
                <w:szCs w:val="22"/>
                <w:u w:val="single"/>
              </w:rPr>
              <w:t>nieprzestrzeganie</w:t>
            </w:r>
            <w:r w:rsidRPr="00557461">
              <w:rPr>
                <w:rFonts w:ascii="Lexend HM" w:eastAsia="Calibri" w:hAnsi="Lexend HM" w:cs="Arial"/>
                <w:b/>
                <w:sz w:val="22"/>
                <w:szCs w:val="22"/>
                <w:u w:val="single"/>
              </w:rPr>
              <w:t xml:space="preserve"> przepisów i zasad bhp.</w:t>
            </w:r>
          </w:p>
          <w:p w14:paraId="4CC8BD91" w14:textId="77777777" w:rsidR="00CF342C" w:rsidRPr="00557461" w:rsidRDefault="00CF342C" w:rsidP="007C4CF3">
            <w:pPr>
              <w:numPr>
                <w:ilvl w:val="0"/>
                <w:numId w:val="39"/>
              </w:numPr>
              <w:spacing w:after="200" w:line="276" w:lineRule="auto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W przypadku naruszania przez Kontrahenta lub osoby za pomocą których Kontrahent wykonuje zadanie  przepisów, zasad BHP i przepisów ppoż. Górażdże Cement będzie uprawniony do:</w:t>
            </w:r>
          </w:p>
          <w:p w14:paraId="4C1D3366" w14:textId="2EA59336" w:rsidR="00CF342C" w:rsidRPr="00557461" w:rsidRDefault="00CF342C" w:rsidP="007C4CF3">
            <w:pPr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zawieszenia wykonania całości lub części Umowy/Zamówienia z Kontrahentem, gdy naruszenia te są poważne lub powtarzalne do czasu ustalenia przez strony </w:t>
            </w:r>
            <w:r w:rsidR="0002432F">
              <w:rPr>
                <w:rFonts w:ascii="Lexend HM" w:eastAsia="Calibri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i wdrożenia przez Kontrahenta planu poprawy bezpieczeństwa i higieny pracy, </w:t>
            </w:r>
          </w:p>
          <w:p w14:paraId="1749B416" w14:textId="210D53E3" w:rsidR="00CF342C" w:rsidRPr="00557461" w:rsidRDefault="00CF342C" w:rsidP="007C4CF3">
            <w:pPr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rozwiązania Umowy/Zamówienia z Kontrahentem bez zachowania okresu wypowiedzenia w przypadku, gdy naruszenia te są poważne lub powtarzalne, </w:t>
            </w:r>
            <w:r w:rsidR="0002432F">
              <w:rPr>
                <w:rFonts w:ascii="Lexend HM" w:eastAsia="Calibri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a Kontrahent nie wdrożył planu, o którym mowa w pkt. a) w terminie 14 dni od zawieszenia wykonania Umowy/Zamówienia,</w:t>
            </w:r>
          </w:p>
          <w:p w14:paraId="018E7647" w14:textId="77777777" w:rsidR="00CF342C" w:rsidRPr="00557461" w:rsidRDefault="00CF342C" w:rsidP="007C4CF3">
            <w:pPr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żądania natychmiastowego wydalenia z terenu zakładu oraz zastąpienia pracownika dopuszczającego się poważnych lub powtarzalnych naruszeń BHP lub przepisów przeciwpożarowych innym pracownikiem, </w:t>
            </w:r>
          </w:p>
          <w:p w14:paraId="7B9D6DEA" w14:textId="77777777" w:rsidR="00D90936" w:rsidRDefault="00CF342C" w:rsidP="00D90936">
            <w:pPr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lastRenderedPageBreak/>
              <w:t xml:space="preserve">żądania zapłaty przez Kontrahenta odszkodowania pokrywającego szkody wynikające z naruszeń przepisów i zasad BHP i ppoż., </w:t>
            </w:r>
          </w:p>
          <w:p w14:paraId="7E338874" w14:textId="7BDD80A7" w:rsidR="00DF3156" w:rsidRPr="00D90936" w:rsidRDefault="00D90936" w:rsidP="00D90936">
            <w:pPr>
              <w:numPr>
                <w:ilvl w:val="0"/>
                <w:numId w:val="41"/>
              </w:numPr>
              <w:spacing w:after="200" w:line="276" w:lineRule="auto"/>
              <w:jc w:val="both"/>
              <w:rPr>
                <w:rFonts w:ascii="Lexend HM" w:eastAsia="Calibri" w:hAnsi="Lexend HM" w:cs="Arial"/>
                <w:sz w:val="22"/>
                <w:szCs w:val="22"/>
              </w:rPr>
            </w:pPr>
            <w:r>
              <w:rPr>
                <w:rFonts w:ascii="Lexend HM" w:eastAsia="Calibri" w:hAnsi="Lexend HM" w:cs="Arial"/>
                <w:sz w:val="22"/>
                <w:szCs w:val="22"/>
              </w:rPr>
              <w:t>o</w:t>
            </w:r>
            <w:r w:rsidR="00CF342C" w:rsidRPr="00D90936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>bciążenia Kontrahenta karą umowną  wg następującego taryfikatora:</w:t>
            </w:r>
          </w:p>
          <w:p w14:paraId="73659B4D" w14:textId="1757FA11" w:rsidR="00CF342C" w:rsidRPr="00205197" w:rsidRDefault="00CF342C" w:rsidP="007C4CF3">
            <w:pPr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205197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wykonywanie prac szczególnie niebezpiecznych niezgodnie z zasadami </w:t>
            </w:r>
            <w:r w:rsidR="0002432F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br/>
            </w:r>
            <w:r w:rsidRPr="00205197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i przepisami bhp – 1500 zł </w:t>
            </w:r>
          </w:p>
          <w:p w14:paraId="1C03C180" w14:textId="25212669" w:rsidR="00CF342C" w:rsidRPr="00557461" w:rsidRDefault="00CF342C" w:rsidP="007C4CF3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spożywanie środków odurzających, w tym alkoholu w obszarze prowadzonych prac – 1500 zł </w:t>
            </w:r>
          </w:p>
          <w:p w14:paraId="57230DF6" w14:textId="77777777" w:rsidR="00CF342C" w:rsidRPr="00557461" w:rsidRDefault="00CF342C" w:rsidP="007C4CF3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wykonywanie prac pod wpływem alkoholu lub innych środków odurzających – 1500 zł </w:t>
            </w:r>
          </w:p>
          <w:p w14:paraId="76DB74A0" w14:textId="03CB4185" w:rsidR="00CF342C" w:rsidRPr="00557461" w:rsidRDefault="00CF342C" w:rsidP="007C4CF3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brak lub niewłaściwe wykonanie zabezpieczeń zbiorowych przy wykonywaniu prac – 1000 zł </w:t>
            </w:r>
          </w:p>
          <w:p w14:paraId="5C160B4B" w14:textId="77777777" w:rsidR="00CF342C" w:rsidRPr="00557461" w:rsidRDefault="00CF342C" w:rsidP="007C4CF3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>brak lub niestosowanie wymaganych przy danym zadaniu środków ochrony indywidualnej – 1000 zł</w:t>
            </w:r>
          </w:p>
          <w:p w14:paraId="54BC2F1C" w14:textId="77777777" w:rsidR="00CF342C" w:rsidRPr="00557461" w:rsidRDefault="00CF342C" w:rsidP="007C4CF3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brak odbioru zmontowanego rusztowania – 500 zł </w:t>
            </w:r>
          </w:p>
          <w:p w14:paraId="52683078" w14:textId="0D0064A7" w:rsidR="00CF342C" w:rsidRPr="00557461" w:rsidRDefault="00CF342C" w:rsidP="007C4CF3">
            <w:pPr>
              <w:pStyle w:val="ListParagraph"/>
              <w:numPr>
                <w:ilvl w:val="0"/>
                <w:numId w:val="42"/>
              </w:numPr>
              <w:spacing w:after="200" w:line="276" w:lineRule="auto"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>brak odzieży o wysokiej postrzegalności, kasku</w:t>
            </w:r>
            <w:r w:rsidR="00F445DA"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 lub paska podbródkowego</w:t>
            </w: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>, okularów</w:t>
            </w:r>
            <w:r w:rsidR="00F445DA"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>,</w:t>
            </w: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 odpowiedniego do wymagań ubioru roboczego - 500 zł za każdy stwierdzony przypadek,</w:t>
            </w:r>
          </w:p>
          <w:p w14:paraId="2A276D1A" w14:textId="77777777" w:rsidR="00C27DC7" w:rsidRPr="00557461" w:rsidRDefault="00CF342C" w:rsidP="007C4CF3">
            <w:pPr>
              <w:widowControl w:val="0"/>
              <w:spacing w:before="120" w:after="120"/>
              <w:ind w:left="709"/>
              <w:contextualSpacing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i potrącenia wierzytelności z tytułu kary lub kar umownych z wierzytelności Kontrahenta z tytułu wynagrodzenia za wykonane prace lub usługi. </w:t>
            </w:r>
          </w:p>
          <w:p w14:paraId="7436D737" w14:textId="77777777" w:rsidR="00C27DC7" w:rsidRPr="00557461" w:rsidRDefault="00C27DC7" w:rsidP="007C4CF3">
            <w:pPr>
              <w:widowControl w:val="0"/>
              <w:spacing w:before="120" w:after="120"/>
              <w:ind w:left="709"/>
              <w:contextualSpacing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</w:p>
          <w:p w14:paraId="021849A2" w14:textId="76EB46AC" w:rsidR="00CF342C" w:rsidRPr="00557461" w:rsidRDefault="00CF342C" w:rsidP="007C4CF3">
            <w:pPr>
              <w:widowControl w:val="0"/>
              <w:spacing w:before="120" w:after="120"/>
              <w:ind w:left="709"/>
              <w:contextualSpacing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color w:val="000000"/>
                <w:sz w:val="22"/>
                <w:szCs w:val="22"/>
              </w:rPr>
              <w:t xml:space="preserve">Górażdże Cement SA ma prawo do dochodzenia odszkodowania uzupełniającego przewyższającego wartość zastrzeżonej kary na zasadach ogólnych w przypadku, gdy szkoda jest wyższa niż wysokość kary umownej.  </w:t>
            </w:r>
          </w:p>
          <w:p w14:paraId="3B0331B1" w14:textId="77777777" w:rsidR="00C27DC7" w:rsidRPr="00557461" w:rsidRDefault="00C27DC7" w:rsidP="007C4CF3">
            <w:pPr>
              <w:widowControl w:val="0"/>
              <w:spacing w:before="120" w:after="120"/>
              <w:ind w:left="709"/>
              <w:contextualSpacing/>
              <w:jc w:val="both"/>
              <w:rPr>
                <w:rFonts w:ascii="Lexend HM" w:eastAsia="Calibri" w:hAnsi="Lexend HM" w:cs="Arial"/>
                <w:color w:val="000000"/>
                <w:sz w:val="22"/>
                <w:szCs w:val="22"/>
              </w:rPr>
            </w:pPr>
          </w:p>
          <w:p w14:paraId="78CD7DC0" w14:textId="270F8CF0" w:rsidR="008E65D2" w:rsidRPr="00557461" w:rsidRDefault="00CF342C" w:rsidP="007C4CF3">
            <w:pPr>
              <w:widowControl w:val="0"/>
              <w:numPr>
                <w:ilvl w:val="0"/>
                <w:numId w:val="39"/>
              </w:numPr>
              <w:spacing w:after="200" w:line="276" w:lineRule="auto"/>
              <w:contextualSpacing/>
              <w:jc w:val="both"/>
              <w:rPr>
                <w:rFonts w:ascii="Lexend HM" w:eastAsia="Calibri" w:hAnsi="Lexend HM" w:cs="Arial"/>
                <w:b/>
                <w:sz w:val="22"/>
                <w:szCs w:val="22"/>
              </w:rPr>
            </w:pPr>
            <w:r w:rsidRPr="00557461">
              <w:rPr>
                <w:rFonts w:ascii="Lexend HM" w:eastAsia="Calibri" w:hAnsi="Lexend HM" w:cs="Arial"/>
                <w:sz w:val="22"/>
                <w:szCs w:val="22"/>
              </w:rPr>
              <w:t xml:space="preserve">Kontrahent ponosi pełną odpowiedzialność za postoje i opóźnienia spowodowane koniecznością zawieszenia wykonania całości lub części Umowy/Zamówienia </w:t>
            </w:r>
            <w:r w:rsidR="003D5BDE">
              <w:rPr>
                <w:rFonts w:ascii="Lexend HM" w:eastAsia="Calibri" w:hAnsi="Lexend HM" w:cs="Arial"/>
                <w:sz w:val="22"/>
                <w:szCs w:val="22"/>
              </w:rPr>
              <w:br/>
            </w:r>
            <w:r w:rsidRPr="00557461">
              <w:rPr>
                <w:rFonts w:ascii="Lexend HM" w:eastAsia="Calibri" w:hAnsi="Lexend HM" w:cs="Arial"/>
                <w:sz w:val="22"/>
                <w:szCs w:val="22"/>
              </w:rPr>
              <w:t>z przyczyn określonych w niniejszych wytycznych tj. załącznik VZ - 01.02.01 „Wymagania BHP wobec podmiotów zewnętrznych obowiązujące w Górażdże Cement S.A.”</w:t>
            </w:r>
          </w:p>
        </w:tc>
      </w:tr>
    </w:tbl>
    <w:p w14:paraId="7E13F11F" w14:textId="2E0923FE" w:rsidR="00C22948" w:rsidRPr="00557461" w:rsidRDefault="00C22948" w:rsidP="00C22948">
      <w:pPr>
        <w:jc w:val="both"/>
        <w:rPr>
          <w:rFonts w:ascii="Lexend HM" w:hAnsi="Lexend HM"/>
          <w:sz w:val="22"/>
          <w:szCs w:val="22"/>
        </w:rPr>
      </w:pPr>
    </w:p>
    <w:sectPr w:rsidR="00C22948" w:rsidRPr="00557461" w:rsidSect="00DF3156">
      <w:footerReference w:type="even" r:id="rId12"/>
      <w:footerReference w:type="default" r:id="rId13"/>
      <w:pgSz w:w="11906" w:h="16838"/>
      <w:pgMar w:top="851" w:right="1134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AE03A" w14:textId="77777777" w:rsidR="009857DB" w:rsidRDefault="009857DB">
      <w:r>
        <w:separator/>
      </w:r>
    </w:p>
  </w:endnote>
  <w:endnote w:type="continuationSeparator" w:id="0">
    <w:p w14:paraId="05F9FD8B" w14:textId="77777777" w:rsidR="009857DB" w:rsidRDefault="0098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xend HM">
    <w:panose1 w:val="00000000000000000000"/>
    <w:charset w:val="EE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7B56B" w14:textId="44B2603D" w:rsidR="00135272" w:rsidRDefault="00135272" w:rsidP="004616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0A80">
      <w:rPr>
        <w:rStyle w:val="PageNumber"/>
        <w:noProof/>
      </w:rPr>
      <w:t>3</w:t>
    </w:r>
    <w:r>
      <w:rPr>
        <w:rStyle w:val="PageNumber"/>
      </w:rPr>
      <w:fldChar w:fldCharType="end"/>
    </w:r>
  </w:p>
  <w:p w14:paraId="56D78B48" w14:textId="77777777" w:rsidR="00135272" w:rsidRDefault="00135272" w:rsidP="001352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D7C0E" w14:textId="7C507F1B" w:rsidR="00D2150A" w:rsidRPr="00454AC3" w:rsidRDefault="00454AC3" w:rsidP="00454AC3">
    <w:pPr>
      <w:pStyle w:val="Footer"/>
      <w:rPr>
        <w:rFonts w:ascii="Lexend HM" w:hAnsi="Lexend HM" w:cs="Arial"/>
        <w:sz w:val="18"/>
        <w:szCs w:val="18"/>
      </w:rPr>
    </w:pPr>
    <w:r w:rsidRPr="00454AC3">
      <w:rPr>
        <w:rFonts w:ascii="Lexend HM" w:hAnsi="Lexend HM" w:cs="Arial"/>
        <w:noProof/>
        <w:color w:val="FFFFFF" w:themeColor="background1"/>
        <w:sz w:val="18"/>
        <w:szCs w:val="18"/>
      </w:rPr>
      <w:drawing>
        <wp:anchor distT="0" distB="0" distL="114300" distR="114300" simplePos="0" relativeHeight="251658240" behindDoc="1" locked="0" layoutInCell="1" allowOverlap="1" wp14:anchorId="25F68657" wp14:editId="50432D5C">
          <wp:simplePos x="0" y="0"/>
          <wp:positionH relativeFrom="column">
            <wp:posOffset>-932328</wp:posOffset>
          </wp:positionH>
          <wp:positionV relativeFrom="paragraph">
            <wp:posOffset>-306454</wp:posOffset>
          </wp:positionV>
          <wp:extent cx="2324099" cy="1049522"/>
          <wp:effectExtent l="0" t="0" r="635" b="0"/>
          <wp:wrapNone/>
          <wp:docPr id="12" name="Picture 12" descr="A green flag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green flag with white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7227" cy="1050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98868F" wp14:editId="788E84E1">
              <wp:simplePos x="0" y="0"/>
              <wp:positionH relativeFrom="column">
                <wp:posOffset>-699460</wp:posOffset>
              </wp:positionH>
              <wp:positionV relativeFrom="paragraph">
                <wp:posOffset>-63146</wp:posOffset>
              </wp:positionV>
              <wp:extent cx="1828800" cy="393065"/>
              <wp:effectExtent l="0" t="0" r="0" b="6985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393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F034AB" w14:textId="5F69D6DF" w:rsidR="00454AC3" w:rsidRDefault="00454AC3" w:rsidP="00F33C33">
                          <w:pPr>
                            <w:rPr>
                              <w:rFonts w:ascii="Lexend HM" w:hAnsi="Lexend HM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454AC3">
                            <w:rPr>
                              <w:rFonts w:ascii="Lexend HM" w:hAnsi="Lexend HM" w:cs="Arial"/>
                              <w:color w:val="FFFFFF" w:themeColor="background1"/>
                              <w:sz w:val="18"/>
                              <w:szCs w:val="18"/>
                            </w:rPr>
                            <w:t>VZ-01.02.01</w:t>
                          </w:r>
                        </w:p>
                        <w:p w14:paraId="408B632E" w14:textId="1EFD4F27" w:rsidR="00454AC3" w:rsidRPr="00F33C33" w:rsidRDefault="00454AC3" w:rsidP="00F33C33">
                          <w:pPr>
                            <w:rPr>
                              <w:rFonts w:ascii="Lexend HM" w:hAnsi="Lexend HM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454AC3">
                            <w:rPr>
                              <w:rFonts w:ascii="Lexend HM" w:hAnsi="Lexend HM" w:cs="Arial"/>
                              <w:color w:val="FFFFFF" w:themeColor="background1"/>
                              <w:sz w:val="18"/>
                              <w:szCs w:val="18"/>
                            </w:rPr>
                            <w:t>Obowiązuje od 2020-11</w:t>
                          </w:r>
                          <w:r>
                            <w:rPr>
                              <w:rFonts w:ascii="Lexend HM" w:hAnsi="Lexend HM" w:cs="Arial"/>
                              <w:color w:val="FFFFFF" w:themeColor="background1"/>
                              <w:sz w:val="18"/>
                              <w:szCs w:val="18"/>
                            </w:rPr>
                            <w:t>-23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8868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55.1pt;margin-top:-4.95pt;width:2in;height:30.9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xd6EwIAACoEAAAOAAAAZHJzL2Uyb0RvYy54bWysU1tv2yAUfp/U/4B4b+xcl1pxqqxVpklR&#10;Wymd+kwwxJYwBwGJnf36HbBzUbenaS9w4BzO5fs+Fo9trchRWFeBzulwkFIiNIei0vuc/nxf388p&#10;cZ7pginQIqcn4ejj8u7LojGZGEEJqhCWYBLtssbktPTeZEnieClq5gZghEanBFszj0e7TwrLGsxe&#10;q2SUprOkAVsYC1w4h7fPnZMuY34pBfevUjrhicop9ubjauO6C2uyXLBsb5kpK963wf6hi5pVGote&#10;Uj0zz8jBVn+kqituwYH0Aw51AlJWXMQZcJph+mmabcmMiLMgOM5cYHL/Ly1/OW7NmyW+/QYtEhgA&#10;aYzLHF6GeVpp67BjpwT9COHpAptoPeHh0Xw0n6fo4ugbP4zT2TSkSa6vjXX+u4CaBCOnFmmJaLHj&#10;xvku9BwSimlYV0pFapQmTU5n42kaH1w8mFxprHHtNVi+3bX9ADsoTjiXhY5yZ/i6wuIb5vwbs8gx&#10;9ou69a+4SAVYBHqLkhLsr7/dh3iEHr2UNKiZnGoUNSXqh0ZKHoaTSZBYPEymX0d4sLee3a1HH+on&#10;QFEO8X8YHs0Q79XZlBbqDxT3KtREF9McK+fUn80n3+kYPwcXq1UMQlEZ5jd6a3hIHcAMwL63H8ya&#10;Hn2PvL3AWVss+0RCF9vRsDp4kFVkKMDbYdqjjoKMHPefJyj+9hyjrl98+RsAAP//AwBQSwMEFAAG&#10;AAgAAAAhAPocpAXiAAAACgEAAA8AAABkcnMvZG93bnJldi54bWxMj01LAzEQhu+C/yGM4EXaZBds&#10;7brZooIi4ge2Ij2mm3GzdDNZkmy7/femJ73NMA/vPG+5HG3H9uhD60hCNhXAkGqnW2okfK0fJzfA&#10;QlSkVecIJRwxwLI6PytVod2BPnG/ig1LIRQKJcHE2Bech9qgVWHqeqR0+3HeqphW33Dt1SGF247n&#10;Qsy4VS2lD0b1+GCw3q0GK2FnXq4+xNPb/ffs+ejf14Pb+NeNlJcX490tsIhj/IPhpJ/UoUpOWzeQ&#10;DqyTMMkykSc2TYsFsBMxn6cyWwnXuQBelfx/heoXAAD//wMAUEsBAi0AFAAGAAgAAAAhALaDOJL+&#10;AAAA4QEAABMAAAAAAAAAAAAAAAAAAAAAAFtDb250ZW50X1R5cGVzXS54bWxQSwECLQAUAAYACAAA&#10;ACEAOP0h/9YAAACUAQAACwAAAAAAAAAAAAAAAAAvAQAAX3JlbHMvLnJlbHNQSwECLQAUAAYACAAA&#10;ACEAQCcXehMCAAAqBAAADgAAAAAAAAAAAAAAAAAuAgAAZHJzL2Uyb0RvYy54bWxQSwECLQAUAAYA&#10;CAAAACEA+hykBeIAAAAKAQAADwAAAAAAAAAAAAAAAABtBAAAZHJzL2Rvd25yZXYueG1sUEsFBgAA&#10;AAAEAAQA8wAAAHwFAAAAAA==&#10;" filled="f" stroked="f" strokeweight=".5pt">
              <v:textbox>
                <w:txbxContent>
                  <w:p w14:paraId="24F034AB" w14:textId="5F69D6DF" w:rsidR="00454AC3" w:rsidRDefault="00454AC3" w:rsidP="00F33C33">
                    <w:pPr>
                      <w:rPr>
                        <w:rFonts w:ascii="Lexend HM" w:hAnsi="Lexend HM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454AC3">
                      <w:rPr>
                        <w:rFonts w:ascii="Lexend HM" w:hAnsi="Lexend HM" w:cs="Arial"/>
                        <w:color w:val="FFFFFF" w:themeColor="background1"/>
                        <w:sz w:val="18"/>
                        <w:szCs w:val="18"/>
                      </w:rPr>
                      <w:t>VZ-01.02.01</w:t>
                    </w:r>
                  </w:p>
                  <w:p w14:paraId="408B632E" w14:textId="1EFD4F27" w:rsidR="00454AC3" w:rsidRPr="00F33C33" w:rsidRDefault="00454AC3" w:rsidP="00F33C33">
                    <w:pPr>
                      <w:rPr>
                        <w:rFonts w:ascii="Lexend HM" w:hAnsi="Lexend HM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454AC3">
                      <w:rPr>
                        <w:rFonts w:ascii="Lexend HM" w:hAnsi="Lexend HM" w:cs="Arial"/>
                        <w:color w:val="FFFFFF" w:themeColor="background1"/>
                        <w:sz w:val="18"/>
                        <w:szCs w:val="18"/>
                      </w:rPr>
                      <w:t>Obowiązuje od 2020-11</w:t>
                    </w:r>
                    <w:r>
                      <w:rPr>
                        <w:rFonts w:ascii="Lexend HM" w:hAnsi="Lexend HM" w:cs="Arial"/>
                        <w:color w:val="FFFFFF" w:themeColor="background1"/>
                        <w:sz w:val="18"/>
                        <w:szCs w:val="18"/>
                      </w:rPr>
                      <w:t>-23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60254" w:rsidRPr="00454AC3">
      <w:rPr>
        <w:rFonts w:ascii="Lexend HM" w:hAnsi="Lexend HM" w:cs="Arial"/>
        <w:sz w:val="18"/>
        <w:szCs w:val="18"/>
      </w:rPr>
      <w:tab/>
    </w:r>
    <w:r w:rsidR="00D60254" w:rsidRPr="00454AC3">
      <w:rPr>
        <w:rFonts w:ascii="Lexend HM" w:hAnsi="Lexend HM" w:cs="Arial"/>
        <w:sz w:val="18"/>
        <w:szCs w:val="18"/>
      </w:rPr>
      <w:tab/>
    </w:r>
    <w:r w:rsidR="00324833" w:rsidRPr="00454AC3">
      <w:rPr>
        <w:rFonts w:ascii="Lexend HM" w:hAnsi="Lexend HM" w:cs="Arial"/>
        <w:sz w:val="18"/>
        <w:szCs w:val="18"/>
      </w:rPr>
      <w:t xml:space="preserve">Strona </w:t>
    </w:r>
    <w:r w:rsidR="00324833" w:rsidRPr="00454AC3">
      <w:rPr>
        <w:rStyle w:val="PageNumber"/>
        <w:rFonts w:ascii="Lexend HM" w:hAnsi="Lexend HM" w:cs="Arial"/>
        <w:sz w:val="18"/>
        <w:szCs w:val="18"/>
      </w:rPr>
      <w:fldChar w:fldCharType="begin"/>
    </w:r>
    <w:r w:rsidR="00324833" w:rsidRPr="00454AC3">
      <w:rPr>
        <w:rStyle w:val="PageNumber"/>
        <w:rFonts w:ascii="Lexend HM" w:hAnsi="Lexend HM" w:cs="Arial"/>
        <w:sz w:val="18"/>
        <w:szCs w:val="18"/>
      </w:rPr>
      <w:instrText xml:space="preserve"> PAGE </w:instrText>
    </w:r>
    <w:r w:rsidR="00324833" w:rsidRPr="00454AC3">
      <w:rPr>
        <w:rStyle w:val="PageNumber"/>
        <w:rFonts w:ascii="Lexend HM" w:hAnsi="Lexend HM" w:cs="Arial"/>
        <w:sz w:val="18"/>
        <w:szCs w:val="18"/>
      </w:rPr>
      <w:fldChar w:fldCharType="separate"/>
    </w:r>
    <w:r w:rsidR="002D4A9C" w:rsidRPr="00454AC3">
      <w:rPr>
        <w:rStyle w:val="PageNumber"/>
        <w:rFonts w:ascii="Lexend HM" w:hAnsi="Lexend HM" w:cs="Arial"/>
        <w:noProof/>
        <w:sz w:val="18"/>
        <w:szCs w:val="18"/>
      </w:rPr>
      <w:t>1</w:t>
    </w:r>
    <w:r w:rsidR="00324833" w:rsidRPr="00454AC3">
      <w:rPr>
        <w:rStyle w:val="PageNumber"/>
        <w:rFonts w:ascii="Lexend HM" w:hAnsi="Lexend HM" w:cs="Arial"/>
        <w:sz w:val="18"/>
        <w:szCs w:val="18"/>
      </w:rPr>
      <w:fldChar w:fldCharType="end"/>
    </w:r>
    <w:r w:rsidR="00324833" w:rsidRPr="00454AC3">
      <w:rPr>
        <w:rStyle w:val="PageNumber"/>
        <w:rFonts w:ascii="Lexend HM" w:hAnsi="Lexend HM" w:cs="Arial"/>
        <w:sz w:val="18"/>
        <w:szCs w:val="18"/>
      </w:rPr>
      <w:t xml:space="preserve"> z </w:t>
    </w:r>
    <w:r w:rsidR="00324833" w:rsidRPr="00454AC3">
      <w:rPr>
        <w:rStyle w:val="PageNumber"/>
        <w:rFonts w:ascii="Lexend HM" w:hAnsi="Lexend HM" w:cs="Arial"/>
        <w:sz w:val="18"/>
        <w:szCs w:val="18"/>
      </w:rPr>
      <w:fldChar w:fldCharType="begin"/>
    </w:r>
    <w:r w:rsidR="00324833" w:rsidRPr="00454AC3">
      <w:rPr>
        <w:rStyle w:val="PageNumber"/>
        <w:rFonts w:ascii="Lexend HM" w:hAnsi="Lexend HM" w:cs="Arial"/>
        <w:sz w:val="18"/>
        <w:szCs w:val="18"/>
      </w:rPr>
      <w:instrText xml:space="preserve"> NUMPAGES </w:instrText>
    </w:r>
    <w:r w:rsidR="00324833" w:rsidRPr="00454AC3">
      <w:rPr>
        <w:rStyle w:val="PageNumber"/>
        <w:rFonts w:ascii="Lexend HM" w:hAnsi="Lexend HM" w:cs="Arial"/>
        <w:sz w:val="18"/>
        <w:szCs w:val="18"/>
      </w:rPr>
      <w:fldChar w:fldCharType="separate"/>
    </w:r>
    <w:r w:rsidR="002D4A9C" w:rsidRPr="00454AC3">
      <w:rPr>
        <w:rStyle w:val="PageNumber"/>
        <w:rFonts w:ascii="Lexend HM" w:hAnsi="Lexend HM" w:cs="Arial"/>
        <w:noProof/>
        <w:sz w:val="18"/>
        <w:szCs w:val="18"/>
      </w:rPr>
      <w:t>6</w:t>
    </w:r>
    <w:r w:rsidR="00324833" w:rsidRPr="00454AC3">
      <w:rPr>
        <w:rStyle w:val="PageNumber"/>
        <w:rFonts w:ascii="Lexend HM" w:hAnsi="Lexend HM" w:cs="Arial"/>
        <w:sz w:val="18"/>
        <w:szCs w:val="18"/>
      </w:rPr>
      <w:fldChar w:fldCharType="end"/>
    </w:r>
    <w:r w:rsidR="00C27DC7" w:rsidRPr="00454AC3">
      <w:rPr>
        <w:rFonts w:ascii="Lexend HM" w:hAnsi="Lexend HM" w:cs="Arial"/>
        <w:color w:val="FFFFFF" w:themeColor="background1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2CCF8" w14:textId="77777777" w:rsidR="009857DB" w:rsidRDefault="009857DB">
      <w:r>
        <w:separator/>
      </w:r>
    </w:p>
  </w:footnote>
  <w:footnote w:type="continuationSeparator" w:id="0">
    <w:p w14:paraId="2D60C770" w14:textId="77777777" w:rsidR="009857DB" w:rsidRDefault="00985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0.25pt;height:264.75pt" o:bullet="t">
        <v:imagedata r:id="rId1" o:title="prąd"/>
      </v:shape>
    </w:pict>
  </w:numPicBullet>
  <w:numPicBullet w:numPicBulletId="1">
    <w:pict>
      <v:shape id="_x0000_i1027" type="#_x0000_t75" style="width:211.5pt;height:211.5pt" o:bullet="t">
        <v:imagedata r:id="rId2" o:title="znak_roboty_budowlane[1]"/>
      </v:shape>
    </w:pict>
  </w:numPicBullet>
  <w:abstractNum w:abstractNumId="0" w15:restartNumberingAfterBreak="0">
    <w:nsid w:val="02965B68"/>
    <w:multiLevelType w:val="hybridMultilevel"/>
    <w:tmpl w:val="FECA407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strike w:val="0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strike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4015735"/>
    <w:multiLevelType w:val="hybridMultilevel"/>
    <w:tmpl w:val="B3983E4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trike w:val="0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strike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5C3000"/>
    <w:multiLevelType w:val="hybridMultilevel"/>
    <w:tmpl w:val="5A5CD0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B7C90"/>
    <w:multiLevelType w:val="multilevel"/>
    <w:tmpl w:val="E48A481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81861"/>
    <w:multiLevelType w:val="hybridMultilevel"/>
    <w:tmpl w:val="8190F7C4"/>
    <w:lvl w:ilvl="0" w:tplc="FB0A4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BDA4CC28">
      <w:start w:val="1"/>
      <w:numFmt w:val="bullet"/>
      <w:lvlText w:val=""/>
      <w:lvlPicBulletId w:val="0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b/>
        <w:color w:val="auto"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168A8"/>
    <w:multiLevelType w:val="hybridMultilevel"/>
    <w:tmpl w:val="A184B2C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2A6096"/>
    <w:multiLevelType w:val="hybridMultilevel"/>
    <w:tmpl w:val="464AD7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63CC8"/>
    <w:multiLevelType w:val="hybridMultilevel"/>
    <w:tmpl w:val="3DB25CEC"/>
    <w:lvl w:ilvl="0" w:tplc="7F0A0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strike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9DB2754"/>
    <w:multiLevelType w:val="hybridMultilevel"/>
    <w:tmpl w:val="E6DE6DA6"/>
    <w:lvl w:ilvl="0" w:tplc="EACACFEA">
      <w:start w:val="12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B3B49FF"/>
    <w:multiLevelType w:val="multilevel"/>
    <w:tmpl w:val="4E96395E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1D452511"/>
    <w:multiLevelType w:val="hybridMultilevel"/>
    <w:tmpl w:val="3DB25CEC"/>
    <w:lvl w:ilvl="0" w:tplc="7F0A0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strike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DA1586C"/>
    <w:multiLevelType w:val="hybridMultilevel"/>
    <w:tmpl w:val="C8BC8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trike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C27E1"/>
    <w:multiLevelType w:val="hybridMultilevel"/>
    <w:tmpl w:val="69A692B6"/>
    <w:lvl w:ilvl="0" w:tplc="E9983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E0C4D71"/>
    <w:multiLevelType w:val="multilevel"/>
    <w:tmpl w:val="79985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B4F0F4B"/>
    <w:multiLevelType w:val="hybridMultilevel"/>
    <w:tmpl w:val="E48A4816"/>
    <w:lvl w:ilvl="0" w:tplc="28AEFD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005E"/>
    <w:multiLevelType w:val="hybridMultilevel"/>
    <w:tmpl w:val="A53EEF7C"/>
    <w:lvl w:ilvl="0" w:tplc="6DE081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6F5C7C"/>
    <w:multiLevelType w:val="hybridMultilevel"/>
    <w:tmpl w:val="BBF8C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E6816"/>
    <w:multiLevelType w:val="hybridMultilevel"/>
    <w:tmpl w:val="B8C26534"/>
    <w:lvl w:ilvl="0" w:tplc="7F0A019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E7AA2"/>
    <w:multiLevelType w:val="hybridMultilevel"/>
    <w:tmpl w:val="E73EF61A"/>
    <w:lvl w:ilvl="0" w:tplc="04150017">
      <w:start w:val="1"/>
      <w:numFmt w:val="lowerLetter"/>
      <w:lvlText w:val="%1)"/>
      <w:lvlJc w:val="left"/>
      <w:pPr>
        <w:tabs>
          <w:tab w:val="num" w:pos="2070"/>
        </w:tabs>
        <w:ind w:left="2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90"/>
        </w:tabs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10"/>
        </w:tabs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30"/>
        </w:tabs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50"/>
        </w:tabs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70"/>
        </w:tabs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90"/>
        </w:tabs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10"/>
        </w:tabs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30"/>
        </w:tabs>
        <w:ind w:left="7830" w:hanging="180"/>
      </w:pPr>
    </w:lvl>
  </w:abstractNum>
  <w:abstractNum w:abstractNumId="19" w15:restartNumberingAfterBreak="0">
    <w:nsid w:val="50243756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05105AC"/>
    <w:multiLevelType w:val="hybridMultilevel"/>
    <w:tmpl w:val="3DB25CEC"/>
    <w:lvl w:ilvl="0" w:tplc="7F0A0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strike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52182BA3"/>
    <w:multiLevelType w:val="hybridMultilevel"/>
    <w:tmpl w:val="3DB25CEC"/>
    <w:lvl w:ilvl="0" w:tplc="7F0A0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strike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2DF6D16"/>
    <w:multiLevelType w:val="hybridMultilevel"/>
    <w:tmpl w:val="73EA503C"/>
    <w:lvl w:ilvl="0" w:tplc="558A293A">
      <w:start w:val="1"/>
      <w:numFmt w:val="bullet"/>
      <w:lvlText w:val="■"/>
      <w:lvlJc w:val="left"/>
      <w:pPr>
        <w:tabs>
          <w:tab w:val="num" w:pos="1425"/>
        </w:tabs>
        <w:ind w:left="142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578C578E"/>
    <w:multiLevelType w:val="hybridMultilevel"/>
    <w:tmpl w:val="799852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05353A"/>
    <w:multiLevelType w:val="hybridMultilevel"/>
    <w:tmpl w:val="9D4E4F00"/>
    <w:lvl w:ilvl="0" w:tplc="43383B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9176B5"/>
    <w:multiLevelType w:val="hybridMultilevel"/>
    <w:tmpl w:val="892E3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01D6D"/>
    <w:multiLevelType w:val="multilevel"/>
    <w:tmpl w:val="0630C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2830A5"/>
    <w:multiLevelType w:val="hybridMultilevel"/>
    <w:tmpl w:val="AA54FA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A441C2"/>
    <w:multiLevelType w:val="hybridMultilevel"/>
    <w:tmpl w:val="FA4E4C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D7450"/>
    <w:multiLevelType w:val="multilevel"/>
    <w:tmpl w:val="C8946C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294523"/>
    <w:multiLevelType w:val="hybridMultilevel"/>
    <w:tmpl w:val="47DAD0EE"/>
    <w:lvl w:ilvl="0" w:tplc="7F0A019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04E2D"/>
    <w:multiLevelType w:val="hybridMultilevel"/>
    <w:tmpl w:val="AB52D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7E59B1"/>
    <w:multiLevelType w:val="hybridMultilevel"/>
    <w:tmpl w:val="405A2870"/>
    <w:lvl w:ilvl="0" w:tplc="7F0A019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244982"/>
    <w:multiLevelType w:val="hybridMultilevel"/>
    <w:tmpl w:val="1D84C5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10518"/>
    <w:multiLevelType w:val="hybridMultilevel"/>
    <w:tmpl w:val="4022BB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076B9"/>
    <w:multiLevelType w:val="hybridMultilevel"/>
    <w:tmpl w:val="65EC66F6"/>
    <w:lvl w:ilvl="0" w:tplc="69F69E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32"/>
      </w:rPr>
    </w:lvl>
    <w:lvl w:ilvl="1" w:tplc="85069B5E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36"/>
        <w:szCs w:val="3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2444A"/>
    <w:multiLevelType w:val="hybridMultilevel"/>
    <w:tmpl w:val="78D4CB40"/>
    <w:lvl w:ilvl="0" w:tplc="DC900F2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 w15:restartNumberingAfterBreak="0">
    <w:nsid w:val="77293AE1"/>
    <w:multiLevelType w:val="hybridMultilevel"/>
    <w:tmpl w:val="30D85EB0"/>
    <w:lvl w:ilvl="0" w:tplc="E7F66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214DC2"/>
    <w:multiLevelType w:val="hybridMultilevel"/>
    <w:tmpl w:val="82DE0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trike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945F31"/>
    <w:multiLevelType w:val="hybridMultilevel"/>
    <w:tmpl w:val="2F2ABC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803286"/>
    <w:multiLevelType w:val="hybridMultilevel"/>
    <w:tmpl w:val="6C2C3D06"/>
    <w:lvl w:ilvl="0" w:tplc="7F0A0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u w:val="none"/>
      </w:rPr>
    </w:lvl>
    <w:lvl w:ilvl="1" w:tplc="5D9A6F3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strike w:val="0"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7E8A465A"/>
    <w:multiLevelType w:val="hybridMultilevel"/>
    <w:tmpl w:val="574C8EE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trike w:val="0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strike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441873304">
    <w:abstractNumId w:val="36"/>
  </w:num>
  <w:num w:numId="2" w16cid:durableId="964699116">
    <w:abstractNumId w:val="9"/>
  </w:num>
  <w:num w:numId="3" w16cid:durableId="320159166">
    <w:abstractNumId w:val="18"/>
  </w:num>
  <w:num w:numId="4" w16cid:durableId="1370106822">
    <w:abstractNumId w:val="19"/>
  </w:num>
  <w:num w:numId="5" w16cid:durableId="1426880710">
    <w:abstractNumId w:val="14"/>
  </w:num>
  <w:num w:numId="6" w16cid:durableId="1376538799">
    <w:abstractNumId w:val="3"/>
  </w:num>
  <w:num w:numId="7" w16cid:durableId="1248031073">
    <w:abstractNumId w:val="35"/>
  </w:num>
  <w:num w:numId="8" w16cid:durableId="584269537">
    <w:abstractNumId w:val="29"/>
  </w:num>
  <w:num w:numId="9" w16cid:durableId="1274098859">
    <w:abstractNumId w:val="8"/>
  </w:num>
  <w:num w:numId="10" w16cid:durableId="718936396">
    <w:abstractNumId w:val="4"/>
  </w:num>
  <w:num w:numId="11" w16cid:durableId="63991337">
    <w:abstractNumId w:val="24"/>
  </w:num>
  <w:num w:numId="12" w16cid:durableId="597174258">
    <w:abstractNumId w:val="37"/>
  </w:num>
  <w:num w:numId="13" w16cid:durableId="2026319556">
    <w:abstractNumId w:val="34"/>
  </w:num>
  <w:num w:numId="14" w16cid:durableId="1966698237">
    <w:abstractNumId w:val="6"/>
  </w:num>
  <w:num w:numId="15" w16cid:durableId="1357610365">
    <w:abstractNumId w:val="23"/>
  </w:num>
  <w:num w:numId="16" w16cid:durableId="1486164432">
    <w:abstractNumId w:val="39"/>
  </w:num>
  <w:num w:numId="17" w16cid:durableId="120733660">
    <w:abstractNumId w:val="13"/>
  </w:num>
  <w:num w:numId="18" w16cid:durableId="675425435">
    <w:abstractNumId w:val="15"/>
  </w:num>
  <w:num w:numId="19" w16cid:durableId="1184246083">
    <w:abstractNumId w:val="7"/>
  </w:num>
  <w:num w:numId="20" w16cid:durableId="572853366">
    <w:abstractNumId w:val="12"/>
  </w:num>
  <w:num w:numId="21" w16cid:durableId="1866408539">
    <w:abstractNumId w:val="22"/>
  </w:num>
  <w:num w:numId="22" w16cid:durableId="735516820">
    <w:abstractNumId w:val="26"/>
  </w:num>
  <w:num w:numId="23" w16cid:durableId="110638340">
    <w:abstractNumId w:val="40"/>
  </w:num>
  <w:num w:numId="24" w16cid:durableId="376660400">
    <w:abstractNumId w:val="27"/>
  </w:num>
  <w:num w:numId="25" w16cid:durableId="273555854">
    <w:abstractNumId w:val="2"/>
  </w:num>
  <w:num w:numId="26" w16cid:durableId="409432050">
    <w:abstractNumId w:val="5"/>
  </w:num>
  <w:num w:numId="27" w16cid:durableId="68965092">
    <w:abstractNumId w:val="41"/>
  </w:num>
  <w:num w:numId="28" w16cid:durableId="752317806">
    <w:abstractNumId w:val="33"/>
  </w:num>
  <w:num w:numId="29" w16cid:durableId="167332885">
    <w:abstractNumId w:val="17"/>
  </w:num>
  <w:num w:numId="30" w16cid:durableId="2028553759">
    <w:abstractNumId w:val="32"/>
  </w:num>
  <w:num w:numId="31" w16cid:durableId="416173866">
    <w:abstractNumId w:val="31"/>
  </w:num>
  <w:num w:numId="32" w16cid:durableId="1272544735">
    <w:abstractNumId w:val="25"/>
  </w:num>
  <w:num w:numId="33" w16cid:durableId="2010979044">
    <w:abstractNumId w:val="16"/>
  </w:num>
  <w:num w:numId="34" w16cid:durableId="963585997">
    <w:abstractNumId w:val="28"/>
  </w:num>
  <w:num w:numId="35" w16cid:durableId="18706409">
    <w:abstractNumId w:val="30"/>
  </w:num>
  <w:num w:numId="36" w16cid:durableId="904029157">
    <w:abstractNumId w:val="38"/>
  </w:num>
  <w:num w:numId="37" w16cid:durableId="1779520929">
    <w:abstractNumId w:val="21"/>
  </w:num>
  <w:num w:numId="38" w16cid:durableId="433332545">
    <w:abstractNumId w:val="10"/>
  </w:num>
  <w:num w:numId="39" w16cid:durableId="979846013">
    <w:abstractNumId w:val="20"/>
  </w:num>
  <w:num w:numId="40" w16cid:durableId="570502451">
    <w:abstractNumId w:val="1"/>
  </w:num>
  <w:num w:numId="41" w16cid:durableId="2052027739">
    <w:abstractNumId w:val="0"/>
  </w:num>
  <w:num w:numId="42" w16cid:durableId="6917348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17"/>
    <w:rsid w:val="000142C5"/>
    <w:rsid w:val="0002432F"/>
    <w:rsid w:val="00056D7A"/>
    <w:rsid w:val="00060C78"/>
    <w:rsid w:val="000615EB"/>
    <w:rsid w:val="0009242A"/>
    <w:rsid w:val="000B0863"/>
    <w:rsid w:val="00135272"/>
    <w:rsid w:val="00146CEE"/>
    <w:rsid w:val="00151342"/>
    <w:rsid w:val="001726F2"/>
    <w:rsid w:val="00177B34"/>
    <w:rsid w:val="001A1F7C"/>
    <w:rsid w:val="001B0174"/>
    <w:rsid w:val="001B17AD"/>
    <w:rsid w:val="00205197"/>
    <w:rsid w:val="0023684B"/>
    <w:rsid w:val="00266E02"/>
    <w:rsid w:val="0026728C"/>
    <w:rsid w:val="00276EA5"/>
    <w:rsid w:val="0029038F"/>
    <w:rsid w:val="002929F7"/>
    <w:rsid w:val="00294E3D"/>
    <w:rsid w:val="002A1ACF"/>
    <w:rsid w:val="002D4A9C"/>
    <w:rsid w:val="002E2986"/>
    <w:rsid w:val="00313D5A"/>
    <w:rsid w:val="0031755A"/>
    <w:rsid w:val="00324833"/>
    <w:rsid w:val="003509E8"/>
    <w:rsid w:val="00375823"/>
    <w:rsid w:val="00390FA4"/>
    <w:rsid w:val="003D5BDE"/>
    <w:rsid w:val="004166AD"/>
    <w:rsid w:val="00425CCD"/>
    <w:rsid w:val="00444CAD"/>
    <w:rsid w:val="00450511"/>
    <w:rsid w:val="00454AC3"/>
    <w:rsid w:val="004616EA"/>
    <w:rsid w:val="00462007"/>
    <w:rsid w:val="00466876"/>
    <w:rsid w:val="00497771"/>
    <w:rsid w:val="004C706E"/>
    <w:rsid w:val="004E5F06"/>
    <w:rsid w:val="004E63A0"/>
    <w:rsid w:val="00501690"/>
    <w:rsid w:val="00512B48"/>
    <w:rsid w:val="00513BC3"/>
    <w:rsid w:val="00534D17"/>
    <w:rsid w:val="0053744B"/>
    <w:rsid w:val="005423A8"/>
    <w:rsid w:val="00543509"/>
    <w:rsid w:val="00545711"/>
    <w:rsid w:val="00557461"/>
    <w:rsid w:val="00570F3E"/>
    <w:rsid w:val="005751CF"/>
    <w:rsid w:val="005948E0"/>
    <w:rsid w:val="005A7029"/>
    <w:rsid w:val="005B1001"/>
    <w:rsid w:val="005F0B2F"/>
    <w:rsid w:val="005F7EB2"/>
    <w:rsid w:val="006052C3"/>
    <w:rsid w:val="00605868"/>
    <w:rsid w:val="006442AA"/>
    <w:rsid w:val="006443D3"/>
    <w:rsid w:val="00645ED2"/>
    <w:rsid w:val="00650765"/>
    <w:rsid w:val="00657170"/>
    <w:rsid w:val="00657C88"/>
    <w:rsid w:val="0066509B"/>
    <w:rsid w:val="0068389C"/>
    <w:rsid w:val="006C7273"/>
    <w:rsid w:val="006D5670"/>
    <w:rsid w:val="00731410"/>
    <w:rsid w:val="007410AC"/>
    <w:rsid w:val="00764128"/>
    <w:rsid w:val="00781FA2"/>
    <w:rsid w:val="0078211E"/>
    <w:rsid w:val="00787867"/>
    <w:rsid w:val="0079096F"/>
    <w:rsid w:val="007A28DF"/>
    <w:rsid w:val="007B0514"/>
    <w:rsid w:val="007B57C9"/>
    <w:rsid w:val="007B675E"/>
    <w:rsid w:val="007C3B39"/>
    <w:rsid w:val="007C4CF3"/>
    <w:rsid w:val="007C798B"/>
    <w:rsid w:val="007E5010"/>
    <w:rsid w:val="007E671F"/>
    <w:rsid w:val="007F5489"/>
    <w:rsid w:val="007F5639"/>
    <w:rsid w:val="0083720D"/>
    <w:rsid w:val="008517A9"/>
    <w:rsid w:val="008554E6"/>
    <w:rsid w:val="00861343"/>
    <w:rsid w:val="00873529"/>
    <w:rsid w:val="00896689"/>
    <w:rsid w:val="008A6CFA"/>
    <w:rsid w:val="008B4307"/>
    <w:rsid w:val="008B5E27"/>
    <w:rsid w:val="008C36D1"/>
    <w:rsid w:val="008E1522"/>
    <w:rsid w:val="008E65D2"/>
    <w:rsid w:val="00901658"/>
    <w:rsid w:val="009211DA"/>
    <w:rsid w:val="009620C0"/>
    <w:rsid w:val="00975061"/>
    <w:rsid w:val="009857DB"/>
    <w:rsid w:val="009B0F9C"/>
    <w:rsid w:val="009C068A"/>
    <w:rsid w:val="009D0128"/>
    <w:rsid w:val="009D0C0B"/>
    <w:rsid w:val="00A077ED"/>
    <w:rsid w:val="00A11001"/>
    <w:rsid w:val="00A12CC9"/>
    <w:rsid w:val="00A42924"/>
    <w:rsid w:val="00A457BF"/>
    <w:rsid w:val="00A7025D"/>
    <w:rsid w:val="00A81DD8"/>
    <w:rsid w:val="00A9374D"/>
    <w:rsid w:val="00A94E2D"/>
    <w:rsid w:val="00A94E86"/>
    <w:rsid w:val="00A955DD"/>
    <w:rsid w:val="00AC1021"/>
    <w:rsid w:val="00AC75CB"/>
    <w:rsid w:val="00AE6BF8"/>
    <w:rsid w:val="00AF15B9"/>
    <w:rsid w:val="00AF6EF0"/>
    <w:rsid w:val="00B217B9"/>
    <w:rsid w:val="00B27392"/>
    <w:rsid w:val="00B36EFA"/>
    <w:rsid w:val="00B81844"/>
    <w:rsid w:val="00B93B59"/>
    <w:rsid w:val="00B9427D"/>
    <w:rsid w:val="00B96862"/>
    <w:rsid w:val="00BA4D86"/>
    <w:rsid w:val="00C04AC1"/>
    <w:rsid w:val="00C22948"/>
    <w:rsid w:val="00C23DDC"/>
    <w:rsid w:val="00C27DC7"/>
    <w:rsid w:val="00C43791"/>
    <w:rsid w:val="00C52337"/>
    <w:rsid w:val="00C630EA"/>
    <w:rsid w:val="00CF342C"/>
    <w:rsid w:val="00D2150A"/>
    <w:rsid w:val="00D26F55"/>
    <w:rsid w:val="00D31B7A"/>
    <w:rsid w:val="00D31E47"/>
    <w:rsid w:val="00D36D8B"/>
    <w:rsid w:val="00D53F9D"/>
    <w:rsid w:val="00D53FF9"/>
    <w:rsid w:val="00D60254"/>
    <w:rsid w:val="00D90936"/>
    <w:rsid w:val="00D93B84"/>
    <w:rsid w:val="00D97191"/>
    <w:rsid w:val="00DA073D"/>
    <w:rsid w:val="00DA0A80"/>
    <w:rsid w:val="00DA6105"/>
    <w:rsid w:val="00DC4227"/>
    <w:rsid w:val="00DF3156"/>
    <w:rsid w:val="00E033BF"/>
    <w:rsid w:val="00E13D8F"/>
    <w:rsid w:val="00E16883"/>
    <w:rsid w:val="00E31972"/>
    <w:rsid w:val="00E31F5E"/>
    <w:rsid w:val="00E567A4"/>
    <w:rsid w:val="00E56F0D"/>
    <w:rsid w:val="00E608BC"/>
    <w:rsid w:val="00E63535"/>
    <w:rsid w:val="00EA015D"/>
    <w:rsid w:val="00EC159A"/>
    <w:rsid w:val="00EE5150"/>
    <w:rsid w:val="00F42578"/>
    <w:rsid w:val="00F445DA"/>
    <w:rsid w:val="00F75D6E"/>
    <w:rsid w:val="00F85839"/>
    <w:rsid w:val="00FA03F8"/>
    <w:rsid w:val="00FA6924"/>
    <w:rsid w:val="00FC1CE0"/>
    <w:rsid w:val="00FD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2E5E34D6"/>
  <w15:docId w15:val="{5534B481-AE2C-4E1A-BBE7-29E4DC7BB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D17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42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442A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77B3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135272"/>
  </w:style>
  <w:style w:type="table" w:styleId="TableGrid">
    <w:name w:val="Table Grid"/>
    <w:basedOn w:val="TableNormal"/>
    <w:rsid w:val="00350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B93B59"/>
    <w:pPr>
      <w:spacing w:line="360" w:lineRule="auto"/>
      <w:jc w:val="both"/>
    </w:pPr>
    <w:rPr>
      <w:rFonts w:ascii="Arial" w:hAnsi="Arial"/>
      <w:sz w:val="22"/>
    </w:rPr>
  </w:style>
  <w:style w:type="character" w:styleId="CommentReference">
    <w:name w:val="annotation reference"/>
    <w:basedOn w:val="DefaultParagraphFont"/>
    <w:rsid w:val="001A1F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1F7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A1F7C"/>
  </w:style>
  <w:style w:type="paragraph" w:styleId="CommentSubject">
    <w:name w:val="annotation subject"/>
    <w:basedOn w:val="CommentText"/>
    <w:next w:val="CommentText"/>
    <w:link w:val="CommentSubjectChar"/>
    <w:rsid w:val="001A1F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1F7C"/>
    <w:rPr>
      <w:b/>
      <w:bCs/>
    </w:rPr>
  </w:style>
  <w:style w:type="paragraph" w:styleId="ListParagraph">
    <w:name w:val="List Paragraph"/>
    <w:basedOn w:val="Normal"/>
    <w:uiPriority w:val="34"/>
    <w:qFormat/>
    <w:rsid w:val="00146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85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5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32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15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1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2C011513A974D8C2560DBA4B3A4C8" ma:contentTypeVersion="5" ma:contentTypeDescription="Create a new document." ma:contentTypeScope="" ma:versionID="2a9e8cc34473e92ca6aa8043e21b1497">
  <xsd:schema xmlns:xsd="http://www.w3.org/2001/XMLSchema" xmlns:xs="http://www.w3.org/2001/XMLSchema" xmlns:p="http://schemas.microsoft.com/office/2006/metadata/properties" xmlns:ns2="d785d134-93fc-4764-b86c-8fe2934aab41" xmlns:ns3="715cd623-5608-480b-a982-0b716d03bbed" targetNamespace="http://schemas.microsoft.com/office/2006/metadata/properties" ma:root="true" ma:fieldsID="c8a9f0c8c20b33700962a2fbe3de0d79" ns2:_="" ns3:_="">
    <xsd:import namespace="d785d134-93fc-4764-b86c-8fe2934aab41"/>
    <xsd:import namespace="715cd623-5608-480b-a982-0b716d03bb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d134-93fc-4764-b86c-8fe2934aa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cd623-5608-480b-a982-0b716d03bbe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FDB957-B870-4E6E-916C-58C75464B8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93F816-1F5D-4222-BCB8-5C55D5B17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85d134-93fc-4764-b86c-8fe2934aab41"/>
    <ds:schemaRef ds:uri="715cd623-5608-480b-a982-0b716d03bb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9A9ADE-57C8-41F0-B30A-3D17678D1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54EBF6-B106-4F12-BAC3-0B9694E6F7D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7952406-af28-43c8-b4de-a4e06f57476d}" enabled="0" method="" siteId="{57952406-af28-43c8-b4de-a4e06f5747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1873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VZ010201 -  Wymagania BHP wobec podmiotów zewnętrznych</vt:lpstr>
    </vt:vector>
  </TitlesOfParts>
  <Company>ECO SA.</Company>
  <LinksUpToDate>false</LinksUpToDate>
  <CharactersWithSpaces>14098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VZ010201 -  Wymagania BHP wobec podmiotów zewnętrznych</dc:title>
  <dc:creator>Henryk Neuman</dc:creator>
  <cp:lastModifiedBy>Kauf, Marianna (Chorula) POL</cp:lastModifiedBy>
  <cp:revision>4</cp:revision>
  <cp:lastPrinted>2024-03-27T08:38:00Z</cp:lastPrinted>
  <dcterms:created xsi:type="dcterms:W3CDTF">2024-07-26T06:30:00Z</dcterms:created>
  <dcterms:modified xsi:type="dcterms:W3CDTF">2024-07-26T07:02:00Z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0x01010014D2C011513A974D8C2560DBA4B3A4C8</vt:lpwstr>
  </property>
  <property fmtid="{D5CDD505-2E9C-101B-9397-08002B2CF9AE}" pid="4" name="_ExtendedDescription">
    <vt:lpwstr/>
  </property>
</Properties>
</file>