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D4C67" w14:textId="10980E07" w:rsidR="00D62E0B" w:rsidRDefault="00D62E0B" w:rsidP="00D62E0B">
      <w:pPr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37237085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661AC4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661AC4">
        <w:rPr>
          <w:szCs w:val="22"/>
        </w:rPr>
        <w:t>ych</w:t>
      </w:r>
      <w:r>
        <w:rPr>
          <w:szCs w:val="22"/>
        </w:rPr>
        <w:t xml:space="preserve"> </w:t>
      </w:r>
      <w:r w:rsidR="001B355C" w:rsidRPr="001B355C">
        <w:rPr>
          <w:szCs w:val="22"/>
        </w:rPr>
        <w:t xml:space="preserve"> </w:t>
      </w:r>
      <w:r w:rsidR="00661AC4" w:rsidRPr="00661AC4">
        <w:rPr>
          <w:szCs w:val="22"/>
        </w:rPr>
        <w:t xml:space="preserve">zaworów </w:t>
      </w:r>
      <w:r w:rsidR="007F4104" w:rsidRPr="007F4104">
        <w:rPr>
          <w:szCs w:val="22"/>
        </w:rPr>
        <w:t xml:space="preserve"> odcinających grzybkowych NORI 500 ZXSV DN65</w:t>
      </w:r>
      <w:r>
        <w:rPr>
          <w:bCs/>
          <w:szCs w:val="22"/>
        </w:rPr>
        <w:t>,</w:t>
      </w:r>
      <w:r>
        <w:t xml:space="preserve"> wyspecyfikowan</w:t>
      </w:r>
      <w:r w:rsidR="00661AC4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661AC4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84" w:type="pct"/>
        <w:tblInd w:w="5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4333"/>
        <w:gridCol w:w="452"/>
        <w:gridCol w:w="638"/>
      </w:tblGrid>
      <w:tr w:rsidR="001E5D9F" w14:paraId="06C7A1E7" w14:textId="037CFE9A" w:rsidTr="001E5D9F">
        <w:trPr>
          <w:trHeight w:val="499"/>
        </w:trPr>
        <w:tc>
          <w:tcPr>
            <w:tcW w:w="150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27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382A23" w14:paraId="775E880B" w14:textId="4D8097B5" w:rsidTr="006302F0">
        <w:trPr>
          <w:trHeight w:val="454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A50F" w14:textId="4363AE6B" w:rsidR="00382A23" w:rsidRDefault="00855079" w:rsidP="00382A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Hlk170895209"/>
            <w:r w:rsidRPr="00855079">
              <w:rPr>
                <w:rFonts w:ascii="Calibri" w:hAnsi="Calibri" w:cs="Calibri"/>
                <w:color w:val="000000"/>
                <w:szCs w:val="22"/>
              </w:rPr>
              <w:t>140-070-715-0</w:t>
            </w:r>
          </w:p>
        </w:tc>
        <w:tc>
          <w:tcPr>
            <w:tcW w:w="27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CABD5" w14:textId="5CB5689F" w:rsidR="00D6490A" w:rsidRPr="00EF3D12" w:rsidRDefault="00EF3D12" w:rsidP="00EF3D12">
            <w:pPr>
              <w:rPr>
                <w:rFonts w:ascii="Calibri" w:hAnsi="Calibri" w:cs="Calibri"/>
                <w:color w:val="000000"/>
                <w:szCs w:val="22"/>
              </w:rPr>
            </w:pPr>
            <w:r w:rsidRPr="00EF3D12">
              <w:rPr>
                <w:rFonts w:ascii="Calibri" w:hAnsi="Calibri" w:cs="Calibri"/>
                <w:color w:val="000000"/>
                <w:szCs w:val="22"/>
              </w:rPr>
              <w:t>ZAWÓR ODCINAJĄCY GRZYBKOWY NORI 500 ZXSV DN65 PN500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E366" w14:textId="51B8A4BD" w:rsidR="00382A23" w:rsidRDefault="007A150E" w:rsidP="00382A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 w:rsidR="00661AC4">
              <w:rPr>
                <w:rFonts w:cs="Arial"/>
                <w:color w:val="000000"/>
                <w:sz w:val="20"/>
                <w:szCs w:val="20"/>
              </w:rPr>
              <w:t>zt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6B70" w14:textId="01776451" w:rsidR="00382A23" w:rsidRDefault="007A150E" w:rsidP="00382A2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tr w:rsidR="007A150E" w14:paraId="0211FED9" w14:textId="77777777" w:rsidTr="006302F0">
        <w:trPr>
          <w:trHeight w:val="454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FC12C" w14:textId="2AF38D31" w:rsidR="007A150E" w:rsidRPr="00661AC4" w:rsidRDefault="00855079" w:rsidP="007A150E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855079">
              <w:rPr>
                <w:rFonts w:ascii="Calibri" w:hAnsi="Calibri" w:cs="Calibri"/>
                <w:color w:val="000000"/>
                <w:szCs w:val="22"/>
              </w:rPr>
              <w:t>140-070-716-0</w:t>
            </w:r>
          </w:p>
        </w:tc>
        <w:tc>
          <w:tcPr>
            <w:tcW w:w="27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1271AD" w14:textId="4FB3F034" w:rsidR="007A150E" w:rsidRPr="00661AC4" w:rsidRDefault="00EF3D12" w:rsidP="007A150E">
            <w:pPr>
              <w:rPr>
                <w:rFonts w:ascii="Calibri" w:hAnsi="Calibri" w:cs="Calibri"/>
                <w:color w:val="000000"/>
                <w:szCs w:val="22"/>
              </w:rPr>
            </w:pPr>
            <w:r w:rsidRPr="00EF3D12">
              <w:rPr>
                <w:rFonts w:ascii="Calibri" w:hAnsi="Calibri" w:cs="Calibri"/>
                <w:color w:val="000000"/>
                <w:szCs w:val="22"/>
              </w:rPr>
              <w:t>ZAWÓR ODCINAJĄCY GRZYBKOWY NORI 500 ZXSV DN65 PN400 MAT.1.4903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FD8A1" w14:textId="6642397A" w:rsidR="007A150E" w:rsidRDefault="007A150E" w:rsidP="007A150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</w:t>
            </w:r>
            <w:r>
              <w:rPr>
                <w:rFonts w:cs="Arial"/>
                <w:color w:val="000000"/>
                <w:sz w:val="20"/>
                <w:szCs w:val="20"/>
              </w:rPr>
              <w:t>zt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69012" w14:textId="6C7BC23D" w:rsidR="007A150E" w:rsidRDefault="007A150E" w:rsidP="007A150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bookmarkEnd w:id="0"/>
    </w:tbl>
    <w:p w14:paraId="6B07F084" w14:textId="77777777" w:rsidR="00FD7D17" w:rsidRDefault="00FD7D17" w:rsidP="00F12AF2">
      <w:pPr>
        <w:pStyle w:val="Bezodstpw"/>
        <w:widowControl w:val="0"/>
        <w:ind w:left="284"/>
        <w:jc w:val="both"/>
        <w:rPr>
          <w:rFonts w:ascii="Arial" w:hAnsi="Arial" w:cs="Arial"/>
        </w:rPr>
      </w:pPr>
    </w:p>
    <w:p w14:paraId="19BE0C0B" w14:textId="07D57B96" w:rsidR="004948EC" w:rsidRPr="00F12AF2" w:rsidRDefault="002A28F2" w:rsidP="004948EC">
      <w:pPr>
        <w:pStyle w:val="Bezodstpw"/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Właścicielem dokumentacji dot.</w:t>
      </w:r>
      <w:r w:rsidR="004948EC" w:rsidRPr="004948EC">
        <w:rPr>
          <w:rFonts w:ascii="Arial" w:hAnsi="Arial" w:cs="Arial"/>
        </w:rPr>
        <w:t xml:space="preserve"> </w:t>
      </w:r>
      <w:r w:rsidR="004948EC">
        <w:rPr>
          <w:rFonts w:ascii="Arial" w:hAnsi="Arial" w:cs="Arial"/>
        </w:rPr>
        <w:t>przedmiotowej armatury</w:t>
      </w:r>
      <w:r w:rsidR="004948EC" w:rsidRPr="004948EC">
        <w:rPr>
          <w:rFonts w:ascii="Arial" w:hAnsi="Arial" w:cs="Arial"/>
        </w:rPr>
        <w:t xml:space="preserve"> jest firma </w:t>
      </w:r>
      <w:r w:rsidR="00795BFC">
        <w:rPr>
          <w:rFonts w:ascii="Arial" w:hAnsi="Arial" w:cs="Arial"/>
        </w:rPr>
        <w:t>KSB.</w:t>
      </w:r>
    </w:p>
    <w:p w14:paraId="356E5CC0" w14:textId="364A1E1E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  <w:r w:rsidR="00D54AC4">
        <w:rPr>
          <w:b/>
          <w:bCs/>
          <w:szCs w:val="22"/>
        </w:rPr>
        <w:t>:</w:t>
      </w:r>
    </w:p>
    <w:p w14:paraId="668386E0" w14:textId="77777777" w:rsidR="00D54AC4" w:rsidRPr="00D54AC4" w:rsidRDefault="00D54AC4" w:rsidP="00D54AC4">
      <w:pPr>
        <w:pStyle w:val="Akapitzlist"/>
        <w:widowControl w:val="0"/>
        <w:spacing w:before="120" w:after="120" w:line="276" w:lineRule="auto"/>
        <w:ind w:left="425"/>
        <w:jc w:val="both"/>
        <w:rPr>
          <w:b/>
          <w:bCs/>
          <w:szCs w:val="22"/>
        </w:rPr>
      </w:pPr>
      <w:r w:rsidRPr="00D54AC4">
        <w:rPr>
          <w:bCs/>
          <w:szCs w:val="22"/>
        </w:rPr>
        <w:t>TAURON Wytwarzanie S.A. – Oddział Elektrownia Nowe Jaworzno, ul. Energetyków 15, 43-600 Jaworzno. Miejsce dostawy Towaru na bazie DDP magazyn Zamawiającego zgodnie z INCOTERMS 2020.</w:t>
      </w:r>
    </w:p>
    <w:p w14:paraId="27D0D481" w14:textId="4A8189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7B126499" w14:textId="067EB2F2" w:rsidR="00B71E4D" w:rsidRPr="00247724" w:rsidRDefault="00247724" w:rsidP="00247724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bCs/>
          <w:szCs w:val="22"/>
        </w:rPr>
      </w:pPr>
      <w:r>
        <w:rPr>
          <w:bCs/>
          <w:szCs w:val="22"/>
        </w:rPr>
        <w:t>d</w:t>
      </w:r>
      <w:r w:rsidRPr="00247724">
        <w:rPr>
          <w:bCs/>
          <w:szCs w:val="22"/>
        </w:rPr>
        <w:t>owód dostawy,</w:t>
      </w:r>
    </w:p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 xml:space="preserve">Zamawiający dopuszcza możliwość zaoferowania produktu równoważnego. </w:t>
      </w:r>
    </w:p>
    <w:p w14:paraId="19A7E12F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58768105" w14:textId="196876A0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oświadczenie Wykonawcy zawierające oznaczenie produktu równoważnego oraz potwierdzające, iż oferowany produkt równoważny posiada takie same wymiary i</w:t>
      </w:r>
      <w:r w:rsidR="009D28B8">
        <w:rPr>
          <w:bCs/>
          <w:szCs w:val="22"/>
        </w:rPr>
        <w:t> </w:t>
      </w:r>
      <w:r w:rsidRPr="00E17053">
        <w:rPr>
          <w:bCs/>
          <w:szCs w:val="22"/>
        </w:rPr>
        <w:t>parametry techniczne jak produkt oryginalny, spełnia funkcje identyczne jak produkt oryginalny, a jakość wykonania i zastosowane materiały są nie gorsze niż produktu oryginalnego oraz są zgodne z aktualną wiedzą techniczną.</w:t>
      </w:r>
      <w:r w:rsidR="00243BB8" w:rsidRPr="00243BB8">
        <w:rPr>
          <w:rFonts w:eastAsia="Times New Roman" w:cs="Times New Roman"/>
          <w:lang w:eastAsia="pl-PL"/>
        </w:rPr>
        <w:t xml:space="preserve"> </w:t>
      </w:r>
      <w:r w:rsidR="00243BB8" w:rsidRPr="00243BB8">
        <w:rPr>
          <w:bCs/>
          <w:szCs w:val="22"/>
        </w:rPr>
        <w:t>Ponadto jego montaż nie spowoduje konieczności dokonania zmian konstrukcyjnych urządzeń lub w układach technologicznych Zamawiającego</w:t>
      </w:r>
      <w:r w:rsidR="00243BB8">
        <w:rPr>
          <w:bCs/>
          <w:szCs w:val="22"/>
        </w:rPr>
        <w:t>.</w:t>
      </w:r>
    </w:p>
    <w:p w14:paraId="1CDEB5E5" w14:textId="55407874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210663F0" w14:textId="23E08BE4" w:rsidR="00BA3762" w:rsidRPr="00BA3762" w:rsidRDefault="00BA3762" w:rsidP="00BA3762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 w:rsidRPr="00BA3762">
        <w:rPr>
          <w:bCs/>
          <w:szCs w:val="22"/>
        </w:rPr>
        <w:t xml:space="preserve">Okres gwarancji na dostarczony produkt wynosi </w:t>
      </w:r>
      <w:r>
        <w:rPr>
          <w:bCs/>
          <w:szCs w:val="22"/>
        </w:rPr>
        <w:t>24</w:t>
      </w:r>
      <w:r w:rsidRPr="00BA3762">
        <w:rPr>
          <w:bCs/>
          <w:szCs w:val="22"/>
        </w:rPr>
        <w:t xml:space="preserve"> </w:t>
      </w:r>
      <w:r w:rsidR="00704C70" w:rsidRPr="00BA3762">
        <w:rPr>
          <w:bCs/>
          <w:szCs w:val="22"/>
        </w:rPr>
        <w:t>miesiąc</w:t>
      </w:r>
      <w:r w:rsidR="00704C70">
        <w:rPr>
          <w:bCs/>
          <w:szCs w:val="22"/>
        </w:rPr>
        <w:t>e</w:t>
      </w:r>
      <w:r w:rsidRPr="00BA3762">
        <w:rPr>
          <w:bCs/>
          <w:szCs w:val="22"/>
        </w:rPr>
        <w:t xml:space="preserve"> od daty dostawy Towaru.</w:t>
      </w:r>
    </w:p>
    <w:p w14:paraId="5665499A" w14:textId="6B809422" w:rsidR="00604EDC" w:rsidRDefault="00BA3762" w:rsidP="00BA3762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 w:rsidRPr="00BA3762">
        <w:rPr>
          <w:bCs/>
          <w:szCs w:val="22"/>
        </w:rPr>
        <w:t>Okres rękojmi wynosi dwa lata od daty dostawy Towaru.</w:t>
      </w:r>
    </w:p>
    <w:sectPr w:rsidR="00604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C0645" w14:textId="77777777" w:rsidR="00A4570B" w:rsidRDefault="00A4570B" w:rsidP="00AD40F1">
      <w:r>
        <w:separator/>
      </w:r>
    </w:p>
  </w:endnote>
  <w:endnote w:type="continuationSeparator" w:id="0">
    <w:p w14:paraId="56E13E8A" w14:textId="77777777" w:rsidR="00A4570B" w:rsidRDefault="00A4570B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8E69D" w14:textId="77777777" w:rsidR="00A4570B" w:rsidRDefault="00A4570B" w:rsidP="00AD40F1">
      <w:r>
        <w:separator/>
      </w:r>
    </w:p>
  </w:footnote>
  <w:footnote w:type="continuationSeparator" w:id="0">
    <w:p w14:paraId="43631617" w14:textId="77777777" w:rsidR="00A4570B" w:rsidRDefault="00A4570B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55E"/>
    <w:multiLevelType w:val="hybridMultilevel"/>
    <w:tmpl w:val="5FD26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C6088C">
      <w:start w:val="1"/>
      <w:numFmt w:val="lowerLetter"/>
      <w:lvlText w:val="%3)"/>
      <w:lvlJc w:val="left"/>
      <w:pPr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F28E0"/>
    <w:multiLevelType w:val="hybridMultilevel"/>
    <w:tmpl w:val="8EF28522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3"/>
  </w:num>
  <w:num w:numId="3" w16cid:durableId="163322133">
    <w:abstractNumId w:val="1"/>
  </w:num>
  <w:num w:numId="4" w16cid:durableId="1006054839">
    <w:abstractNumId w:val="4"/>
  </w:num>
  <w:num w:numId="5" w16cid:durableId="85585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865E2"/>
    <w:rsid w:val="000A0183"/>
    <w:rsid w:val="00123B4C"/>
    <w:rsid w:val="00153533"/>
    <w:rsid w:val="001B094B"/>
    <w:rsid w:val="001B0FC9"/>
    <w:rsid w:val="001B355C"/>
    <w:rsid w:val="001E5D9F"/>
    <w:rsid w:val="00243BB8"/>
    <w:rsid w:val="00247724"/>
    <w:rsid w:val="00266CB9"/>
    <w:rsid w:val="002A28F2"/>
    <w:rsid w:val="00314E80"/>
    <w:rsid w:val="00331DAC"/>
    <w:rsid w:val="003453CD"/>
    <w:rsid w:val="003720E8"/>
    <w:rsid w:val="00382A23"/>
    <w:rsid w:val="00392195"/>
    <w:rsid w:val="00395327"/>
    <w:rsid w:val="003A1E3D"/>
    <w:rsid w:val="003C3557"/>
    <w:rsid w:val="003E24A5"/>
    <w:rsid w:val="00430076"/>
    <w:rsid w:val="0044661F"/>
    <w:rsid w:val="004540C2"/>
    <w:rsid w:val="00472E56"/>
    <w:rsid w:val="0048679E"/>
    <w:rsid w:val="004948EC"/>
    <w:rsid w:val="004D6E0A"/>
    <w:rsid w:val="00560194"/>
    <w:rsid w:val="0057180E"/>
    <w:rsid w:val="0058034D"/>
    <w:rsid w:val="00592FE3"/>
    <w:rsid w:val="005B71CB"/>
    <w:rsid w:val="00604EDC"/>
    <w:rsid w:val="00617052"/>
    <w:rsid w:val="00622FE8"/>
    <w:rsid w:val="0065057A"/>
    <w:rsid w:val="00661AC4"/>
    <w:rsid w:val="006B1F45"/>
    <w:rsid w:val="006B5243"/>
    <w:rsid w:val="006B5D51"/>
    <w:rsid w:val="006E4DF3"/>
    <w:rsid w:val="00704C70"/>
    <w:rsid w:val="00712B81"/>
    <w:rsid w:val="00736B1E"/>
    <w:rsid w:val="00755FA0"/>
    <w:rsid w:val="00795BFC"/>
    <w:rsid w:val="007A150E"/>
    <w:rsid w:val="007F4104"/>
    <w:rsid w:val="00855079"/>
    <w:rsid w:val="008E3545"/>
    <w:rsid w:val="009714E2"/>
    <w:rsid w:val="00980392"/>
    <w:rsid w:val="00983CD1"/>
    <w:rsid w:val="009D28B8"/>
    <w:rsid w:val="00A4570B"/>
    <w:rsid w:val="00A520F8"/>
    <w:rsid w:val="00A7521E"/>
    <w:rsid w:val="00AB5A87"/>
    <w:rsid w:val="00AD0C3D"/>
    <w:rsid w:val="00AD40F1"/>
    <w:rsid w:val="00B50132"/>
    <w:rsid w:val="00B6596D"/>
    <w:rsid w:val="00B71E4D"/>
    <w:rsid w:val="00BA3762"/>
    <w:rsid w:val="00BF0D6B"/>
    <w:rsid w:val="00CA42E2"/>
    <w:rsid w:val="00CD194F"/>
    <w:rsid w:val="00CD753F"/>
    <w:rsid w:val="00D46AC4"/>
    <w:rsid w:val="00D54AC4"/>
    <w:rsid w:val="00D55438"/>
    <w:rsid w:val="00D62263"/>
    <w:rsid w:val="00D62E0B"/>
    <w:rsid w:val="00D6490A"/>
    <w:rsid w:val="00DA4257"/>
    <w:rsid w:val="00DC5FD2"/>
    <w:rsid w:val="00E17053"/>
    <w:rsid w:val="00E43A35"/>
    <w:rsid w:val="00E82DF6"/>
    <w:rsid w:val="00EF3D12"/>
    <w:rsid w:val="00F12AF2"/>
    <w:rsid w:val="00F34ABF"/>
    <w:rsid w:val="00F5637D"/>
    <w:rsid w:val="00F93411"/>
    <w:rsid w:val="00FB0CEB"/>
    <w:rsid w:val="00FD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D9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60</cp:revision>
  <dcterms:created xsi:type="dcterms:W3CDTF">2024-03-14T11:17:00Z</dcterms:created>
  <dcterms:modified xsi:type="dcterms:W3CDTF">2024-11-21T11:06:00Z</dcterms:modified>
</cp:coreProperties>
</file>