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08AF0" w14:textId="32724458" w:rsidR="0029103F" w:rsidRPr="00E0339C" w:rsidRDefault="0029103F" w:rsidP="00506A56">
      <w:pPr>
        <w:pStyle w:val="Nagwek1"/>
        <w:jc w:val="right"/>
        <w:rPr>
          <w:sz w:val="22"/>
        </w:rPr>
      </w:pPr>
      <w:r w:rsidRPr="00E0339C">
        <w:t xml:space="preserve"> </w:t>
      </w:r>
      <w:bookmarkStart w:id="0" w:name="_Toc460593854"/>
      <w:r w:rsidRPr="00E0339C">
        <w:rPr>
          <w:sz w:val="22"/>
        </w:rPr>
        <w:t>Załącznik nr 1 do Umowy</w:t>
      </w:r>
      <w:bookmarkEnd w:id="0"/>
      <w:r w:rsidRPr="00E0339C">
        <w:rPr>
          <w:sz w:val="22"/>
        </w:rPr>
        <w:t xml:space="preserve"> </w:t>
      </w:r>
    </w:p>
    <w:p w14:paraId="427F1F89" w14:textId="77777777" w:rsidR="0029103F" w:rsidRPr="00506A56" w:rsidRDefault="0029103F" w:rsidP="00506A56">
      <w:pPr>
        <w:jc w:val="center"/>
        <w:rPr>
          <w:rStyle w:val="Pogrubienie"/>
          <w:sz w:val="28"/>
        </w:rPr>
      </w:pPr>
      <w:r w:rsidRPr="00506A56">
        <w:rPr>
          <w:rStyle w:val="Pogrubienie"/>
          <w:sz w:val="28"/>
        </w:rPr>
        <w:t>Opis Systemu</w:t>
      </w:r>
    </w:p>
    <w:p w14:paraId="21E99879" w14:textId="77777777" w:rsidR="006938DB" w:rsidRDefault="00CE7EB6" w:rsidP="00506A56">
      <w:pPr>
        <w:pStyle w:val="Nagwek1"/>
      </w:pPr>
      <w:r>
        <w:t>Wprowadzenie</w:t>
      </w:r>
    </w:p>
    <w:p w14:paraId="198B1B4C" w14:textId="77777777" w:rsidR="00506A56" w:rsidRDefault="00506A56" w:rsidP="00261FCF">
      <w:pPr>
        <w:jc w:val="both"/>
      </w:pPr>
      <w:r>
        <w:t>Centralna Baza Pomiarów (CBP) jest systemem klasy MDM, którego zadanie</w:t>
      </w:r>
      <w:r w:rsidR="00793704">
        <w:t>m jest gromadzenie i zarzą</w:t>
      </w:r>
      <w:r>
        <w:t>dzanie danymi odczytowymi.</w:t>
      </w:r>
    </w:p>
    <w:p w14:paraId="08A2F513" w14:textId="77777777" w:rsidR="00506A56" w:rsidRDefault="00506A56" w:rsidP="00506A56">
      <w:r>
        <w:t xml:space="preserve">System jest zrealizowany w następujących technologiach </w:t>
      </w:r>
    </w:p>
    <w:p w14:paraId="6EA091CC" w14:textId="7484BBAA" w:rsidR="00506A56" w:rsidRDefault="00506A56" w:rsidP="00506A56">
      <w:pPr>
        <w:pStyle w:val="Akapitzlist"/>
        <w:numPr>
          <w:ilvl w:val="0"/>
          <w:numId w:val="13"/>
        </w:numPr>
      </w:pPr>
      <w:r>
        <w:t xml:space="preserve">Oracle Database </w:t>
      </w:r>
      <w:r w:rsidR="00ED587A">
        <w:t>19</w:t>
      </w:r>
      <w:r w:rsidR="00790D61">
        <w:t>c</w:t>
      </w:r>
      <w:r w:rsidR="00F41959">
        <w:t>/12c</w:t>
      </w:r>
      <w:r w:rsidR="00793704">
        <w:t>,</w:t>
      </w:r>
    </w:p>
    <w:p w14:paraId="21062C48" w14:textId="77777777" w:rsidR="00506A56" w:rsidRDefault="00506A56" w:rsidP="00506A56">
      <w:pPr>
        <w:pStyle w:val="Akapitzlist"/>
        <w:numPr>
          <w:ilvl w:val="0"/>
          <w:numId w:val="13"/>
        </w:numPr>
      </w:pPr>
      <w:r>
        <w:t>Oracle Data Integrator 11</w:t>
      </w:r>
      <w:r w:rsidR="00793704">
        <w:t>,</w:t>
      </w:r>
    </w:p>
    <w:p w14:paraId="04DD92A9" w14:textId="232069A3" w:rsidR="00506A56" w:rsidRDefault="00506A56" w:rsidP="00506A56">
      <w:pPr>
        <w:pStyle w:val="Akapitzlist"/>
        <w:numPr>
          <w:ilvl w:val="0"/>
          <w:numId w:val="13"/>
        </w:numPr>
      </w:pPr>
      <w:r>
        <w:t xml:space="preserve">Oracle </w:t>
      </w:r>
      <w:proofErr w:type="spellStart"/>
      <w:r>
        <w:t>Weblogic</w:t>
      </w:r>
      <w:proofErr w:type="spellEnd"/>
      <w:r>
        <w:t xml:space="preserve"> 1</w:t>
      </w:r>
      <w:r w:rsidR="00790D61">
        <w:t>4</w:t>
      </w:r>
      <w:r w:rsidR="00793704">
        <w:t>,</w:t>
      </w:r>
    </w:p>
    <w:p w14:paraId="43502254" w14:textId="77777777" w:rsidR="00506A56" w:rsidRDefault="00506A56" w:rsidP="00506A56">
      <w:pPr>
        <w:pStyle w:val="Akapitzlist"/>
        <w:numPr>
          <w:ilvl w:val="0"/>
          <w:numId w:val="13"/>
        </w:numPr>
      </w:pPr>
      <w:r>
        <w:t>Java EE</w:t>
      </w:r>
      <w:r w:rsidR="00793704">
        <w:t>.</w:t>
      </w:r>
    </w:p>
    <w:p w14:paraId="7441CE8C" w14:textId="7E96BC0D" w:rsidR="00F41959" w:rsidRPr="00506A56" w:rsidRDefault="00CE7EB6" w:rsidP="00261FCF">
      <w:pPr>
        <w:jc w:val="both"/>
      </w:pPr>
      <w:r>
        <w:t xml:space="preserve">Zakres </w:t>
      </w:r>
      <w:r w:rsidR="00261FCF">
        <w:t>U</w:t>
      </w:r>
      <w:r>
        <w:t xml:space="preserve">mowy obejmuje realizację zadań rozwojowych </w:t>
      </w:r>
      <w:r w:rsidR="00793704">
        <w:t>koordynowanych przez zespół CBP CUW IT TOK</w:t>
      </w:r>
      <w:r w:rsidR="00261FCF">
        <w:t xml:space="preserve"> u Zamawiającego</w:t>
      </w:r>
      <w:r w:rsidR="00793704">
        <w:t xml:space="preserve">, </w:t>
      </w:r>
      <w:r>
        <w:t>dotyczących komponentów aplikacyjnych realizowanych w technologii Java</w:t>
      </w:r>
      <w:r w:rsidR="0031476E">
        <w:t>.</w:t>
      </w:r>
    </w:p>
    <w:p w14:paraId="1B9DCF7E" w14:textId="7F5B6AA3" w:rsidR="0029103F" w:rsidRPr="00B210B9" w:rsidRDefault="0029103F" w:rsidP="00506A56">
      <w:pPr>
        <w:pStyle w:val="Nagwek1"/>
      </w:pPr>
      <w:r w:rsidRPr="00B210B9">
        <w:t xml:space="preserve">Funkcjonalność i architektura </w:t>
      </w:r>
      <w:r>
        <w:t>S</w:t>
      </w:r>
      <w:r w:rsidRPr="00B210B9">
        <w:t>ystemu</w:t>
      </w:r>
    </w:p>
    <w:p w14:paraId="102DC75A" w14:textId="77777777" w:rsidR="0029103F" w:rsidRPr="00C6190E" w:rsidRDefault="0029103F" w:rsidP="00506A56">
      <w:pPr>
        <w:pStyle w:val="Nagwek2"/>
      </w:pPr>
      <w:r w:rsidRPr="00C6190E">
        <w:t xml:space="preserve">Funkcjonalność </w:t>
      </w:r>
      <w:r>
        <w:t>S</w:t>
      </w:r>
      <w:r w:rsidRPr="00C6190E">
        <w:t>ystemu</w:t>
      </w:r>
    </w:p>
    <w:p w14:paraId="47459279" w14:textId="77777777" w:rsidR="0029103F" w:rsidRPr="00B210B9" w:rsidRDefault="0029103F" w:rsidP="00506A56">
      <w:r w:rsidRPr="00506A56">
        <w:t>System</w:t>
      </w:r>
      <w:r w:rsidRPr="00B210B9">
        <w:t xml:space="preserve"> odpowiedzialny jest za:</w:t>
      </w:r>
    </w:p>
    <w:p w14:paraId="5311106F" w14:textId="16997CFE" w:rsidR="0029103F" w:rsidRPr="00B210B9" w:rsidRDefault="0029103F" w:rsidP="00506A56">
      <w:pPr>
        <w:pStyle w:val="Akapitzlist"/>
        <w:numPr>
          <w:ilvl w:val="0"/>
          <w:numId w:val="11"/>
        </w:numPr>
      </w:pPr>
      <w:r w:rsidRPr="00B210B9">
        <w:t xml:space="preserve">Gromadzenie danych odczytowych i zdarzeniowych z </w:t>
      </w:r>
      <w:r>
        <w:t>R</w:t>
      </w:r>
      <w:r w:rsidRPr="00B210B9">
        <w:t>ozwiązań</w:t>
      </w:r>
      <w:r w:rsidR="00261FCF">
        <w:t>:</w:t>
      </w:r>
    </w:p>
    <w:p w14:paraId="50B0626B" w14:textId="77777777" w:rsidR="0029103F" w:rsidRPr="00B210B9" w:rsidRDefault="0029103F" w:rsidP="00506A56">
      <w:pPr>
        <w:pStyle w:val="Akapitzlist"/>
        <w:numPr>
          <w:ilvl w:val="1"/>
          <w:numId w:val="11"/>
        </w:numPr>
      </w:pPr>
      <w:r w:rsidRPr="00B210B9">
        <w:t>AMI</w:t>
      </w:r>
    </w:p>
    <w:p w14:paraId="19BC7286" w14:textId="77777777" w:rsidR="0029103F" w:rsidRPr="00B210B9" w:rsidRDefault="0029103F" w:rsidP="00506A56">
      <w:pPr>
        <w:pStyle w:val="Akapitzlist"/>
        <w:numPr>
          <w:ilvl w:val="1"/>
          <w:numId w:val="11"/>
        </w:numPr>
      </w:pPr>
      <w:r w:rsidRPr="00B210B9">
        <w:t>AMR</w:t>
      </w:r>
    </w:p>
    <w:p w14:paraId="6D823560" w14:textId="2D8155E0" w:rsidR="0029103F" w:rsidRPr="00B210B9" w:rsidRDefault="0029103F" w:rsidP="00506A56">
      <w:pPr>
        <w:pStyle w:val="Akapitzlist"/>
        <w:numPr>
          <w:ilvl w:val="1"/>
          <w:numId w:val="11"/>
        </w:numPr>
      </w:pPr>
      <w:r w:rsidRPr="00B210B9">
        <w:t xml:space="preserve">System akwizycji inkasenckiej </w:t>
      </w:r>
    </w:p>
    <w:p w14:paraId="374694A5" w14:textId="4BFC88D9" w:rsidR="0029103F" w:rsidRPr="00B210B9" w:rsidRDefault="0029103F" w:rsidP="00506A56">
      <w:pPr>
        <w:pStyle w:val="Akapitzlist"/>
        <w:numPr>
          <w:ilvl w:val="0"/>
          <w:numId w:val="11"/>
        </w:numPr>
      </w:pPr>
      <w:r w:rsidRPr="00B210B9">
        <w:t xml:space="preserve">Przetwarzanie danych </w:t>
      </w:r>
      <w:r w:rsidR="00506A56">
        <w:t xml:space="preserve">odczytowych </w:t>
      </w:r>
      <w:r w:rsidRPr="00B210B9">
        <w:t>(tzw. Procesy VEE)</w:t>
      </w:r>
      <w:r w:rsidR="00261FCF">
        <w:t>:</w:t>
      </w:r>
    </w:p>
    <w:p w14:paraId="29C13FA8" w14:textId="77777777" w:rsidR="0029103F" w:rsidRPr="00B210B9" w:rsidRDefault="0029103F" w:rsidP="00506A56">
      <w:pPr>
        <w:pStyle w:val="Akapitzlist"/>
        <w:numPr>
          <w:ilvl w:val="1"/>
          <w:numId w:val="11"/>
        </w:numPr>
      </w:pPr>
      <w:r w:rsidRPr="00B210B9">
        <w:t>Walidacja (</w:t>
      </w:r>
      <w:proofErr w:type="spellStart"/>
      <w:r w:rsidRPr="00B210B9">
        <w:t>Validation</w:t>
      </w:r>
      <w:proofErr w:type="spellEnd"/>
      <w:r w:rsidRPr="00B210B9">
        <w:t>)</w:t>
      </w:r>
    </w:p>
    <w:p w14:paraId="75B3CEF8" w14:textId="77777777" w:rsidR="0029103F" w:rsidRPr="00B210B9" w:rsidRDefault="0029103F" w:rsidP="00506A56">
      <w:pPr>
        <w:pStyle w:val="Akapitzlist"/>
        <w:numPr>
          <w:ilvl w:val="1"/>
          <w:numId w:val="11"/>
        </w:numPr>
      </w:pPr>
      <w:r w:rsidRPr="00B210B9">
        <w:t>Edycja (Edition)</w:t>
      </w:r>
    </w:p>
    <w:p w14:paraId="0E17F01D" w14:textId="77777777" w:rsidR="0029103F" w:rsidRPr="00B210B9" w:rsidRDefault="0029103F" w:rsidP="00506A56">
      <w:pPr>
        <w:pStyle w:val="Akapitzlist"/>
        <w:numPr>
          <w:ilvl w:val="1"/>
          <w:numId w:val="11"/>
        </w:numPr>
      </w:pPr>
      <w:r w:rsidRPr="00B210B9">
        <w:t>Szacowanie (</w:t>
      </w:r>
      <w:proofErr w:type="spellStart"/>
      <w:r w:rsidRPr="00B210B9">
        <w:t>Estimation</w:t>
      </w:r>
      <w:proofErr w:type="spellEnd"/>
      <w:r w:rsidRPr="00B210B9">
        <w:t>)</w:t>
      </w:r>
    </w:p>
    <w:p w14:paraId="7D5D7373" w14:textId="55C84D0A" w:rsidR="00790D61" w:rsidRDefault="00790D61" w:rsidP="00506A56">
      <w:pPr>
        <w:pStyle w:val="Akapitzlist"/>
        <w:numPr>
          <w:ilvl w:val="0"/>
          <w:numId w:val="11"/>
        </w:numPr>
      </w:pPr>
      <w:r>
        <w:t>Przygotowywanie i u</w:t>
      </w:r>
      <w:r w:rsidR="00506A56" w:rsidRPr="00B210B9">
        <w:t>dostępnienie danych do rozliczeń</w:t>
      </w:r>
    </w:p>
    <w:p w14:paraId="4763514A" w14:textId="00404A3C" w:rsidR="00506A56" w:rsidRDefault="00790D61" w:rsidP="00506A56">
      <w:pPr>
        <w:pStyle w:val="Akapitzlist"/>
        <w:numPr>
          <w:ilvl w:val="0"/>
          <w:numId w:val="11"/>
        </w:numPr>
      </w:pPr>
      <w:r>
        <w:t xml:space="preserve">Udostępnianie danych do </w:t>
      </w:r>
      <w:r w:rsidR="00506A56" w:rsidRPr="00B210B9">
        <w:t>analiz</w:t>
      </w:r>
      <w:r w:rsidR="00261FCF">
        <w:t>;</w:t>
      </w:r>
    </w:p>
    <w:p w14:paraId="48326C08" w14:textId="13E82E29" w:rsidR="00506A56" w:rsidRDefault="00506A56" w:rsidP="00506A56">
      <w:pPr>
        <w:pStyle w:val="Akapitzlist"/>
        <w:numPr>
          <w:ilvl w:val="0"/>
          <w:numId w:val="11"/>
        </w:numPr>
      </w:pPr>
      <w:r w:rsidRPr="00B210B9">
        <w:t>Bilansowanie handlowe</w:t>
      </w:r>
      <w:r>
        <w:t xml:space="preserve"> (udostępnianie danych rozliczeniowych na Rynek Bilansujący)</w:t>
      </w:r>
      <w:r w:rsidR="00261FCF">
        <w:t>;</w:t>
      </w:r>
    </w:p>
    <w:p w14:paraId="51675B2D" w14:textId="3D6C8BDB" w:rsidR="00506A56" w:rsidRDefault="00506A56" w:rsidP="00506A56">
      <w:pPr>
        <w:pStyle w:val="Akapitzlist"/>
        <w:numPr>
          <w:ilvl w:val="0"/>
          <w:numId w:val="11"/>
        </w:numPr>
      </w:pPr>
      <w:r w:rsidRPr="00B210B9">
        <w:t xml:space="preserve">Wysyłanie komend sterujących do liczników </w:t>
      </w:r>
      <w:r w:rsidR="00790D61">
        <w:t>zdaln</w:t>
      </w:r>
      <w:r w:rsidR="00EE7589">
        <w:t>ego odczytu (LZO)</w:t>
      </w:r>
      <w:r w:rsidR="00261FCF">
        <w:t>.</w:t>
      </w:r>
    </w:p>
    <w:p w14:paraId="0521B940" w14:textId="77777777" w:rsidR="0029103F" w:rsidRPr="00B210B9" w:rsidRDefault="0029103F" w:rsidP="00506A56">
      <w:r w:rsidRPr="00B210B9">
        <w:t xml:space="preserve">Ponadto </w:t>
      </w:r>
      <w:r>
        <w:t>S</w:t>
      </w:r>
      <w:r w:rsidRPr="00B210B9">
        <w:t>ystem realizuje:</w:t>
      </w:r>
    </w:p>
    <w:p w14:paraId="79CC6EF0" w14:textId="77777777" w:rsidR="00506A56" w:rsidRPr="00B210B9" w:rsidRDefault="00506A56" w:rsidP="00506A56">
      <w:pPr>
        <w:pStyle w:val="Akapitzlist"/>
        <w:numPr>
          <w:ilvl w:val="0"/>
          <w:numId w:val="12"/>
        </w:numPr>
      </w:pPr>
      <w:r w:rsidRPr="00B210B9">
        <w:t>Długoterminowe przechowywanie i zarządzanie dużymi wolumenami danych</w:t>
      </w:r>
      <w:r w:rsidR="00793704">
        <w:t>;</w:t>
      </w:r>
    </w:p>
    <w:p w14:paraId="32C8F136" w14:textId="77777777" w:rsidR="0029103F" w:rsidRPr="00B210B9" w:rsidRDefault="0029103F" w:rsidP="00506A56">
      <w:pPr>
        <w:pStyle w:val="Akapitzlist"/>
        <w:numPr>
          <w:ilvl w:val="0"/>
          <w:numId w:val="12"/>
        </w:numPr>
      </w:pPr>
      <w:r w:rsidRPr="00B210B9">
        <w:t>Ładowanie i przechowywanie danych konfiguracyjnych związanych z danymi pomiarowymi (np. PPE, Liczniki, Taryfy, Zabudowy, Umowy)</w:t>
      </w:r>
      <w:r w:rsidR="00793704">
        <w:t>;</w:t>
      </w:r>
    </w:p>
    <w:p w14:paraId="61DA808D" w14:textId="77777777" w:rsidR="0029103F" w:rsidRPr="00B210B9" w:rsidRDefault="0029103F" w:rsidP="00506A56">
      <w:pPr>
        <w:pStyle w:val="Akapitzlist"/>
        <w:numPr>
          <w:ilvl w:val="0"/>
          <w:numId w:val="12"/>
        </w:numPr>
      </w:pPr>
      <w:r w:rsidRPr="00B210B9">
        <w:t>Gromadzenie pozostałych danych pomiarowych (poza AMI i AMR)</w:t>
      </w:r>
      <w:r w:rsidR="00793704">
        <w:t>.</w:t>
      </w:r>
    </w:p>
    <w:tbl>
      <w:tblPr>
        <w:tblStyle w:val="Tabelasiatki1jasna"/>
        <w:tblW w:w="0" w:type="auto"/>
        <w:jc w:val="center"/>
        <w:tblCellMar>
          <w:top w:w="28" w:type="dxa"/>
          <w:bottom w:w="28" w:type="dxa"/>
        </w:tblCellMar>
        <w:tblLook w:val="0420" w:firstRow="1" w:lastRow="0" w:firstColumn="0" w:lastColumn="0" w:noHBand="0" w:noVBand="1"/>
      </w:tblPr>
      <w:tblGrid>
        <w:gridCol w:w="4325"/>
        <w:gridCol w:w="1965"/>
      </w:tblGrid>
      <w:tr w:rsidR="0029103F" w:rsidRPr="00B210B9" w14:paraId="0504E191" w14:textId="77777777" w:rsidTr="004467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0" w:type="auto"/>
          </w:tcPr>
          <w:p w14:paraId="16829C8F" w14:textId="77777777" w:rsidR="0029103F" w:rsidRPr="00C6190E" w:rsidRDefault="0029103F" w:rsidP="004467AE">
            <w:pPr>
              <w:pStyle w:val="Bezodstpw"/>
            </w:pPr>
            <w:r w:rsidRPr="00C6190E">
              <w:t>Charakterystyka wolumenowa systemu</w:t>
            </w:r>
            <w:r>
              <w:br/>
            </w:r>
            <w:r w:rsidRPr="00C6190E">
              <w:t>Wielkość</w:t>
            </w:r>
          </w:p>
        </w:tc>
        <w:tc>
          <w:tcPr>
            <w:tcW w:w="0" w:type="auto"/>
          </w:tcPr>
          <w:p w14:paraId="2BBCCCAD" w14:textId="77777777" w:rsidR="0029103F" w:rsidRPr="00C6190E" w:rsidRDefault="0029103F" w:rsidP="004467AE">
            <w:pPr>
              <w:pStyle w:val="Bezodstpw"/>
            </w:pPr>
            <w:r w:rsidRPr="00C6190E">
              <w:t>Wartość</w:t>
            </w:r>
          </w:p>
        </w:tc>
      </w:tr>
      <w:tr w:rsidR="0029103F" w:rsidRPr="00B210B9" w14:paraId="25F67600" w14:textId="77777777" w:rsidTr="004467AE">
        <w:trPr>
          <w:jc w:val="center"/>
        </w:trPr>
        <w:tc>
          <w:tcPr>
            <w:tcW w:w="0" w:type="auto"/>
          </w:tcPr>
          <w:p w14:paraId="274E2D8D" w14:textId="77777777" w:rsidR="0029103F" w:rsidRPr="00C6190E" w:rsidRDefault="0029103F" w:rsidP="004467AE">
            <w:pPr>
              <w:pStyle w:val="Bezodstpw"/>
            </w:pPr>
            <w:r w:rsidRPr="00C6190E">
              <w:t>Liczba PPE w kartotece CBP</w:t>
            </w:r>
          </w:p>
        </w:tc>
        <w:tc>
          <w:tcPr>
            <w:tcW w:w="0" w:type="auto"/>
          </w:tcPr>
          <w:p w14:paraId="7D3644B3" w14:textId="504BFC01" w:rsidR="0029103F" w:rsidRPr="00C6190E" w:rsidRDefault="00790D61" w:rsidP="004467AE">
            <w:pPr>
              <w:pStyle w:val="Bezodstpw"/>
            </w:pPr>
            <w:r>
              <w:t>6</w:t>
            </w:r>
            <w:r w:rsidR="0029103F" w:rsidRPr="00C6190E">
              <w:t xml:space="preserve"> mln</w:t>
            </w:r>
          </w:p>
        </w:tc>
      </w:tr>
      <w:tr w:rsidR="0029103F" w:rsidRPr="00B210B9" w14:paraId="5EFB5301" w14:textId="77777777" w:rsidTr="004467AE">
        <w:trPr>
          <w:jc w:val="center"/>
        </w:trPr>
        <w:tc>
          <w:tcPr>
            <w:tcW w:w="0" w:type="auto"/>
          </w:tcPr>
          <w:p w14:paraId="7B1991EC" w14:textId="77777777" w:rsidR="0029103F" w:rsidRPr="00C6190E" w:rsidRDefault="0029103F" w:rsidP="004467AE">
            <w:pPr>
              <w:pStyle w:val="Bezodstpw"/>
            </w:pPr>
            <w:r w:rsidRPr="00C6190E">
              <w:t>Średnia dzienna liczba procesów</w:t>
            </w:r>
          </w:p>
        </w:tc>
        <w:tc>
          <w:tcPr>
            <w:tcW w:w="0" w:type="auto"/>
          </w:tcPr>
          <w:p w14:paraId="1F000638" w14:textId="03ED2ACD" w:rsidR="0029103F" w:rsidRPr="00C6190E" w:rsidRDefault="00790D61">
            <w:pPr>
              <w:pStyle w:val="Bezodstpw"/>
            </w:pPr>
            <w:r>
              <w:t>6</w:t>
            </w:r>
            <w:r w:rsidR="002D2810">
              <w:t>000-</w:t>
            </w:r>
            <w:r w:rsidR="004A08E9">
              <w:t>7</w:t>
            </w:r>
            <w:r>
              <w:t>000</w:t>
            </w:r>
          </w:p>
        </w:tc>
      </w:tr>
      <w:tr w:rsidR="0029103F" w:rsidRPr="00B210B9" w14:paraId="282ECC64" w14:textId="77777777" w:rsidTr="004467AE">
        <w:trPr>
          <w:jc w:val="center"/>
        </w:trPr>
        <w:tc>
          <w:tcPr>
            <w:tcW w:w="0" w:type="auto"/>
          </w:tcPr>
          <w:p w14:paraId="6AAC4433" w14:textId="77777777" w:rsidR="0029103F" w:rsidRPr="00C6190E" w:rsidRDefault="0029103F" w:rsidP="004467AE">
            <w:pPr>
              <w:pStyle w:val="Bezodstpw"/>
            </w:pPr>
            <w:r w:rsidRPr="00C6190E">
              <w:t>Całkowity wolumen danych</w:t>
            </w:r>
          </w:p>
        </w:tc>
        <w:tc>
          <w:tcPr>
            <w:tcW w:w="0" w:type="auto"/>
          </w:tcPr>
          <w:p w14:paraId="6DC13583" w14:textId="6FD76C06" w:rsidR="0029103F" w:rsidRPr="00C6190E" w:rsidRDefault="00FC77F3">
            <w:pPr>
              <w:pStyle w:val="Bezodstpw"/>
            </w:pPr>
            <w:r>
              <w:t xml:space="preserve">Ok. </w:t>
            </w:r>
            <w:r w:rsidR="00790D61">
              <w:t>9</w:t>
            </w:r>
            <w:r>
              <w:t>5</w:t>
            </w:r>
            <w:r w:rsidR="00790D61" w:rsidRPr="00C6190E">
              <w:t xml:space="preserve"> </w:t>
            </w:r>
            <w:r w:rsidR="0029103F" w:rsidRPr="00C6190E">
              <w:t>TB</w:t>
            </w:r>
          </w:p>
        </w:tc>
      </w:tr>
      <w:tr w:rsidR="0029103F" w:rsidRPr="00B210B9" w14:paraId="577594F0" w14:textId="77777777" w:rsidTr="004467AE">
        <w:trPr>
          <w:jc w:val="center"/>
        </w:trPr>
        <w:tc>
          <w:tcPr>
            <w:tcW w:w="0" w:type="auto"/>
          </w:tcPr>
          <w:p w14:paraId="2663DE17" w14:textId="77777777" w:rsidR="0029103F" w:rsidRPr="00C6190E" w:rsidRDefault="002D2810" w:rsidP="004467AE">
            <w:pPr>
              <w:pStyle w:val="Bezodstpw"/>
            </w:pPr>
            <w:r>
              <w:t>Miesięczny</w:t>
            </w:r>
            <w:r w:rsidR="0029103F" w:rsidRPr="00C6190E">
              <w:t xml:space="preserve"> przyrost danych</w:t>
            </w:r>
          </w:p>
        </w:tc>
        <w:tc>
          <w:tcPr>
            <w:tcW w:w="0" w:type="auto"/>
          </w:tcPr>
          <w:p w14:paraId="604BCFF3" w14:textId="36581220" w:rsidR="0029103F" w:rsidRPr="00C6190E" w:rsidRDefault="004A08E9" w:rsidP="004467AE">
            <w:pPr>
              <w:pStyle w:val="Bezodstpw"/>
            </w:pPr>
            <w:r>
              <w:t>2</w:t>
            </w:r>
            <w:r w:rsidR="002D2810">
              <w:t>,</w:t>
            </w:r>
            <w:r w:rsidR="0029103F" w:rsidRPr="00C6190E">
              <w:t xml:space="preserve">5 </w:t>
            </w:r>
            <w:r w:rsidR="002D2810">
              <w:t>T</w:t>
            </w:r>
            <w:r w:rsidR="0029103F" w:rsidRPr="00C6190E">
              <w:t>B</w:t>
            </w:r>
          </w:p>
        </w:tc>
      </w:tr>
      <w:tr w:rsidR="00F11694" w:rsidRPr="00B210B9" w14:paraId="06E6AFE4" w14:textId="77777777" w:rsidTr="004467AE">
        <w:trPr>
          <w:jc w:val="center"/>
        </w:trPr>
        <w:tc>
          <w:tcPr>
            <w:tcW w:w="0" w:type="auto"/>
          </w:tcPr>
          <w:p w14:paraId="54DF9819" w14:textId="77777777" w:rsidR="00F11694" w:rsidRPr="00C6190E" w:rsidRDefault="00F11694" w:rsidP="004467AE">
            <w:pPr>
              <w:pStyle w:val="Bezodstpw"/>
            </w:pPr>
            <w:r>
              <w:t xml:space="preserve">Dzienny przyrost danych </w:t>
            </w:r>
            <w:r w:rsidR="002D2810">
              <w:t>pomiarowych</w:t>
            </w:r>
            <w:r>
              <w:t xml:space="preserve"> </w:t>
            </w:r>
          </w:p>
        </w:tc>
        <w:tc>
          <w:tcPr>
            <w:tcW w:w="0" w:type="auto"/>
          </w:tcPr>
          <w:p w14:paraId="20DAD9EA" w14:textId="6BBC177C" w:rsidR="00F11694" w:rsidRPr="00C6190E" w:rsidRDefault="004A08E9" w:rsidP="004467AE">
            <w:pPr>
              <w:pStyle w:val="Bezodstpw"/>
            </w:pPr>
            <w:r>
              <w:t xml:space="preserve">500 </w:t>
            </w:r>
            <w:r w:rsidR="002D2810">
              <w:t>mln rekordów</w:t>
            </w:r>
          </w:p>
        </w:tc>
      </w:tr>
      <w:tr w:rsidR="002D2810" w:rsidRPr="00B210B9" w14:paraId="4BECC7A6" w14:textId="77777777" w:rsidTr="004467AE">
        <w:trPr>
          <w:jc w:val="center"/>
        </w:trPr>
        <w:tc>
          <w:tcPr>
            <w:tcW w:w="0" w:type="auto"/>
          </w:tcPr>
          <w:p w14:paraId="5AF6750D" w14:textId="29DDE34A" w:rsidR="002D2810" w:rsidRDefault="002D2810">
            <w:pPr>
              <w:pStyle w:val="Bezodstpw"/>
            </w:pPr>
            <w:r w:rsidRPr="002D2810">
              <w:lastRenderedPageBreak/>
              <w:t xml:space="preserve">Liczba danych pomiarowych w CBP </w:t>
            </w:r>
            <w:r w:rsidRPr="002D2810">
              <w:br/>
            </w:r>
          </w:p>
        </w:tc>
        <w:tc>
          <w:tcPr>
            <w:tcW w:w="0" w:type="auto"/>
          </w:tcPr>
          <w:p w14:paraId="3BF5488B" w14:textId="40654F72" w:rsidR="002D2810" w:rsidRDefault="004A08E9" w:rsidP="004467AE">
            <w:pPr>
              <w:pStyle w:val="Bezodstpw"/>
            </w:pPr>
            <w:r>
              <w:t xml:space="preserve">450 </w:t>
            </w:r>
            <w:r w:rsidR="002D2810">
              <w:t>mld rekordów</w:t>
            </w:r>
          </w:p>
        </w:tc>
      </w:tr>
      <w:tr w:rsidR="0029103F" w:rsidRPr="00B210B9" w14:paraId="03B5338B" w14:textId="77777777" w:rsidTr="004467AE">
        <w:trPr>
          <w:jc w:val="center"/>
        </w:trPr>
        <w:tc>
          <w:tcPr>
            <w:tcW w:w="0" w:type="auto"/>
          </w:tcPr>
          <w:p w14:paraId="55B40C43" w14:textId="77777777" w:rsidR="0029103F" w:rsidRPr="00C6190E" w:rsidRDefault="0029103F" w:rsidP="004467AE">
            <w:pPr>
              <w:pStyle w:val="Bezodstpw"/>
            </w:pPr>
            <w:r w:rsidRPr="00C6190E">
              <w:t>Łączna liczba tabel w Repozytorium</w:t>
            </w:r>
          </w:p>
        </w:tc>
        <w:tc>
          <w:tcPr>
            <w:tcW w:w="0" w:type="auto"/>
          </w:tcPr>
          <w:p w14:paraId="774741D3" w14:textId="77777777" w:rsidR="0029103F" w:rsidRPr="00C6190E" w:rsidRDefault="0029103F" w:rsidP="004467AE">
            <w:pPr>
              <w:pStyle w:val="Bezodstpw"/>
            </w:pPr>
            <w:r w:rsidRPr="00C6190E">
              <w:t>ok. 300</w:t>
            </w:r>
          </w:p>
        </w:tc>
      </w:tr>
    </w:tbl>
    <w:p w14:paraId="59870096" w14:textId="77777777" w:rsidR="0029103F" w:rsidRDefault="0029103F" w:rsidP="00506A56"/>
    <w:p w14:paraId="2B2E50F6" w14:textId="77777777" w:rsidR="0029103F" w:rsidRDefault="00F11694" w:rsidP="00C74BFB">
      <w:pPr>
        <w:pStyle w:val="Nagwek1"/>
      </w:pPr>
      <w:r>
        <w:t>Architektura Systemu</w:t>
      </w:r>
    </w:p>
    <w:p w14:paraId="2AE4B85F" w14:textId="77777777" w:rsidR="00C74BFB" w:rsidRPr="00C74BFB" w:rsidRDefault="00C74BFB" w:rsidP="00C74BFB">
      <w:pPr>
        <w:pStyle w:val="Nagwek2"/>
      </w:pPr>
      <w:r>
        <w:t>Wprowadzenie</w:t>
      </w:r>
    </w:p>
    <w:p w14:paraId="2381E789" w14:textId="77777777" w:rsidR="00760A56" w:rsidRDefault="00760A56" w:rsidP="00506A56">
      <w:pPr>
        <w:rPr>
          <w:sz w:val="18"/>
        </w:rPr>
      </w:pPr>
      <w:r>
        <w:rPr>
          <w:sz w:val="18"/>
        </w:rPr>
        <w:t>Poniższy schemat prezentuje</w:t>
      </w:r>
      <w:r w:rsidR="004467AE">
        <w:rPr>
          <w:sz w:val="18"/>
        </w:rPr>
        <w:t>,</w:t>
      </w:r>
      <w:r w:rsidR="00C74BFB">
        <w:rPr>
          <w:sz w:val="18"/>
        </w:rPr>
        <w:t xml:space="preserve"> w sposób</w:t>
      </w:r>
      <w:r>
        <w:rPr>
          <w:sz w:val="18"/>
        </w:rPr>
        <w:t xml:space="preserve"> </w:t>
      </w:r>
      <w:r w:rsidR="00316E62">
        <w:rPr>
          <w:sz w:val="18"/>
        </w:rPr>
        <w:t>poglądow</w:t>
      </w:r>
      <w:r w:rsidR="00C74BFB">
        <w:rPr>
          <w:sz w:val="18"/>
        </w:rPr>
        <w:t>y</w:t>
      </w:r>
      <w:r w:rsidR="004467AE">
        <w:rPr>
          <w:sz w:val="18"/>
        </w:rPr>
        <w:t>,</w:t>
      </w:r>
      <w:r w:rsidR="00316E62">
        <w:rPr>
          <w:sz w:val="18"/>
        </w:rPr>
        <w:t xml:space="preserve"> </w:t>
      </w:r>
      <w:r>
        <w:rPr>
          <w:sz w:val="18"/>
        </w:rPr>
        <w:t>architekturę systemu CBP</w:t>
      </w:r>
      <w:r w:rsidR="00C74BFB">
        <w:rPr>
          <w:sz w:val="18"/>
        </w:rPr>
        <w:t>.</w:t>
      </w:r>
    </w:p>
    <w:p w14:paraId="499C3023" w14:textId="77777777" w:rsidR="00C236E5" w:rsidRDefault="00C236E5" w:rsidP="00506A56">
      <w:pPr>
        <w:rPr>
          <w:sz w:val="18"/>
        </w:rPr>
      </w:pPr>
    </w:p>
    <w:p w14:paraId="07EF7F7E" w14:textId="77777777" w:rsidR="00316E62" w:rsidRDefault="00C236E5" w:rsidP="00C236E5">
      <w:pPr>
        <w:jc w:val="center"/>
      </w:pPr>
      <w:r>
        <w:rPr>
          <w:noProof/>
        </w:rPr>
        <w:drawing>
          <wp:inline distT="0" distB="0" distL="0" distR="0" wp14:anchorId="75C590DD" wp14:editId="6ACD71F3">
            <wp:extent cx="5814045" cy="2830428"/>
            <wp:effectExtent l="0" t="0" r="0" b="8255"/>
            <wp:docPr id="103" name="Obraz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922" cy="28474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FAB0E9" w14:textId="77777777" w:rsidR="00316E62" w:rsidRDefault="00316E62" w:rsidP="00506A56"/>
    <w:p w14:paraId="71618D98" w14:textId="77777777" w:rsidR="00C74BFB" w:rsidRDefault="00C74BFB" w:rsidP="00506A56">
      <w:r>
        <w:t>Ze względu na użytą technologię komponenty systemu CBP możemy podzielić na</w:t>
      </w:r>
    </w:p>
    <w:p w14:paraId="4681EDD7" w14:textId="1E134147" w:rsidR="00C74BFB" w:rsidRDefault="00C74BFB" w:rsidP="00261FCF">
      <w:pPr>
        <w:pStyle w:val="Akapitzlist"/>
        <w:numPr>
          <w:ilvl w:val="0"/>
          <w:numId w:val="13"/>
        </w:numPr>
      </w:pPr>
      <w:r w:rsidRPr="00C74BFB">
        <w:rPr>
          <w:b/>
        </w:rPr>
        <w:t>Silniki bazodanowe</w:t>
      </w:r>
      <w:r>
        <w:br/>
        <w:t xml:space="preserve">Znajdują się na nich repozytoria danych. W rozwiązaniu wykorzystano serwery bazodanowe </w:t>
      </w:r>
      <w:r w:rsidRPr="00ED587A">
        <w:t xml:space="preserve">Oracle </w:t>
      </w:r>
      <w:r w:rsidR="002D2810" w:rsidRPr="00ED587A">
        <w:t xml:space="preserve">Database </w:t>
      </w:r>
      <w:r w:rsidR="004A08E9">
        <w:t>19c</w:t>
      </w:r>
      <w:r w:rsidR="0063332B" w:rsidRPr="00ED587A">
        <w:t xml:space="preserve"> </w:t>
      </w:r>
      <w:r w:rsidRPr="00ED587A">
        <w:t xml:space="preserve">(with </w:t>
      </w:r>
      <w:proofErr w:type="spellStart"/>
      <w:r w:rsidRPr="00ED587A">
        <w:t>partitioning</w:t>
      </w:r>
      <w:proofErr w:type="spellEnd"/>
      <w:r w:rsidRPr="00ED587A">
        <w:t xml:space="preserve"> </w:t>
      </w:r>
      <w:proofErr w:type="spellStart"/>
      <w:r w:rsidRPr="00ED587A">
        <w:t>option</w:t>
      </w:r>
      <w:proofErr w:type="spellEnd"/>
      <w:r w:rsidRPr="00ED587A">
        <w:t xml:space="preserve">). </w:t>
      </w:r>
      <w:r w:rsidR="00DD5A71">
        <w:t>B</w:t>
      </w:r>
      <w:r w:rsidR="002D2810" w:rsidRPr="00FC65D8">
        <w:t xml:space="preserve">aza COLD </w:t>
      </w:r>
      <w:r w:rsidR="00426BEB">
        <w:t xml:space="preserve">lub Baza Sterowania są już </w:t>
      </w:r>
      <w:r w:rsidR="002D2810" w:rsidRPr="00FC65D8">
        <w:t>posa</w:t>
      </w:r>
      <w:r w:rsidR="00F41959" w:rsidRPr="00FC65D8">
        <w:t>dowion</w:t>
      </w:r>
      <w:r w:rsidR="00426BEB">
        <w:t>e</w:t>
      </w:r>
      <w:r w:rsidR="00F41959" w:rsidRPr="00FC65D8">
        <w:t xml:space="preserve"> na serwer</w:t>
      </w:r>
      <w:r w:rsidR="00426BEB">
        <w:t>ach</w:t>
      </w:r>
      <w:r w:rsidR="00F41959" w:rsidRPr="00ED587A">
        <w:t xml:space="preserve"> Oracle </w:t>
      </w:r>
      <w:r w:rsidR="002D2810" w:rsidRPr="00ED587A">
        <w:t>Database</w:t>
      </w:r>
      <w:r w:rsidR="00426BEB" w:rsidRPr="00ED587A">
        <w:t xml:space="preserve"> </w:t>
      </w:r>
      <w:r w:rsidR="00F41959" w:rsidRPr="00ED587A">
        <w:t>12c</w:t>
      </w:r>
      <w:r w:rsidR="00426BEB" w:rsidRPr="00ED587A">
        <w:t xml:space="preserve"> EE, rel. 12.2.</w:t>
      </w:r>
    </w:p>
    <w:p w14:paraId="018E210F" w14:textId="77777777" w:rsidR="00C74BFB" w:rsidRDefault="00C74BFB" w:rsidP="00261FCF">
      <w:pPr>
        <w:pStyle w:val="Akapitzlist"/>
        <w:numPr>
          <w:ilvl w:val="0"/>
          <w:numId w:val="13"/>
        </w:numPr>
        <w:jc w:val="both"/>
      </w:pPr>
      <w:r w:rsidRPr="00C74BFB">
        <w:rPr>
          <w:b/>
        </w:rPr>
        <w:t>Silnik ETL/ELT</w:t>
      </w:r>
      <w:r>
        <w:t xml:space="preserve"> </w:t>
      </w:r>
    </w:p>
    <w:p w14:paraId="4496E8A8" w14:textId="1D76EA10" w:rsidR="00C74BFB" w:rsidRDefault="00C74BFB" w:rsidP="00261FCF">
      <w:pPr>
        <w:pStyle w:val="Akapitzlist"/>
        <w:jc w:val="both"/>
      </w:pPr>
      <w:r>
        <w:t>Większość przetwarzania danych w CBP jest zrealizowane przez procesy</w:t>
      </w:r>
      <w:r w:rsidR="00AC7403">
        <w:t xml:space="preserve"> ELT </w:t>
      </w:r>
      <w:r w:rsidR="002D2810">
        <w:t>z</w:t>
      </w:r>
      <w:r w:rsidR="00FC65D8">
        <w:t>definiowane</w:t>
      </w:r>
      <w:r w:rsidR="002D2810">
        <w:t xml:space="preserve"> i wykonywane </w:t>
      </w:r>
      <w:r w:rsidR="00FC65D8">
        <w:t>przez</w:t>
      </w:r>
      <w:r w:rsidR="00AC7403">
        <w:t xml:space="preserve"> Oracle Data Integrator 11.</w:t>
      </w:r>
      <w:r w:rsidR="00DD5A71">
        <w:t xml:space="preserve"> Planowana jest migracja na wersję 12.</w:t>
      </w:r>
      <w:r>
        <w:t xml:space="preserve"> </w:t>
      </w:r>
    </w:p>
    <w:p w14:paraId="6C685550" w14:textId="24561CBE" w:rsidR="00C74BFB" w:rsidRPr="00AC7403" w:rsidRDefault="00C74BFB" w:rsidP="00261FCF">
      <w:pPr>
        <w:pStyle w:val="Akapitzlist"/>
        <w:numPr>
          <w:ilvl w:val="0"/>
          <w:numId w:val="13"/>
        </w:numPr>
        <w:jc w:val="both"/>
        <w:rPr>
          <w:b/>
        </w:rPr>
      </w:pPr>
      <w:r w:rsidRPr="00AC7403">
        <w:rPr>
          <w:b/>
        </w:rPr>
        <w:t xml:space="preserve">Aplikacje  </w:t>
      </w:r>
      <w:r w:rsidR="00AC7403">
        <w:rPr>
          <w:b/>
        </w:rPr>
        <w:br/>
      </w:r>
      <w:r w:rsidR="00AC7403">
        <w:t>Dedykowane k</w:t>
      </w:r>
      <w:r w:rsidR="00AC7403" w:rsidRPr="00AC7403">
        <w:t>omponenty</w:t>
      </w:r>
      <w:r w:rsidR="00AC7403">
        <w:t>,</w:t>
      </w:r>
      <w:r w:rsidR="00AC7403" w:rsidRPr="00AC7403">
        <w:t xml:space="preserve"> wykonane w </w:t>
      </w:r>
      <w:r w:rsidR="00AC7403">
        <w:t>technologii Java EE realizują głównie role</w:t>
      </w:r>
      <w:r w:rsidR="00261FCF">
        <w:t>:</w:t>
      </w:r>
    </w:p>
    <w:p w14:paraId="799DD306" w14:textId="61AFE244" w:rsidR="00AC7403" w:rsidRDefault="00AC7403" w:rsidP="00AC7403">
      <w:pPr>
        <w:pStyle w:val="Akapitzlist"/>
        <w:numPr>
          <w:ilvl w:val="1"/>
          <w:numId w:val="13"/>
        </w:numPr>
      </w:pPr>
      <w:r w:rsidRPr="00AC7403">
        <w:t>Interfejs</w:t>
      </w:r>
      <w:r>
        <w:t>u z systemami zewnętrznymi</w:t>
      </w:r>
      <w:r w:rsidR="00EE7589">
        <w:t xml:space="preserve"> (SOAP</w:t>
      </w:r>
    </w:p>
    <w:p w14:paraId="36B57BDA" w14:textId="304FC34D" w:rsidR="00AC7403" w:rsidRDefault="00AC7403" w:rsidP="00AC7403">
      <w:pPr>
        <w:pStyle w:val="Akapitzlist"/>
        <w:numPr>
          <w:ilvl w:val="1"/>
          <w:numId w:val="13"/>
        </w:numPr>
      </w:pPr>
      <w:r>
        <w:t>Interfejsu użytkownika (GUI)</w:t>
      </w:r>
    </w:p>
    <w:p w14:paraId="6B5D189C" w14:textId="6FF14577" w:rsidR="00AC7403" w:rsidRDefault="00AC7403" w:rsidP="00AC7403">
      <w:pPr>
        <w:pStyle w:val="Akapitzlist"/>
        <w:numPr>
          <w:ilvl w:val="1"/>
          <w:numId w:val="13"/>
        </w:numPr>
      </w:pPr>
      <w:r>
        <w:t>Silników przetwarzania danych</w:t>
      </w:r>
    </w:p>
    <w:p w14:paraId="6D85FE46" w14:textId="77777777" w:rsidR="00AC7403" w:rsidRDefault="00AC7403" w:rsidP="00AC7403">
      <w:pPr>
        <w:pStyle w:val="Akapitzlist"/>
      </w:pPr>
      <w:r>
        <w:t>Wykorzystano tu technologie:</w:t>
      </w:r>
      <w:r w:rsidRPr="00AC7403">
        <w:t xml:space="preserve"> </w:t>
      </w:r>
    </w:p>
    <w:p w14:paraId="4878A8F5" w14:textId="77777777" w:rsidR="00AC7403" w:rsidRPr="006712DC" w:rsidRDefault="00AC7403" w:rsidP="00AC7403">
      <w:pPr>
        <w:pStyle w:val="Akapitzlist"/>
        <w:numPr>
          <w:ilvl w:val="1"/>
          <w:numId w:val="8"/>
        </w:numPr>
      </w:pPr>
      <w:r w:rsidRPr="006712DC">
        <w:t>Po stronie webowej:</w:t>
      </w:r>
    </w:p>
    <w:p w14:paraId="57F69DA3" w14:textId="3395D76F" w:rsidR="00AC7403" w:rsidRPr="006712DC" w:rsidRDefault="00AC7403" w:rsidP="00AC7403">
      <w:pPr>
        <w:pStyle w:val="Akapitzlist"/>
        <w:numPr>
          <w:ilvl w:val="2"/>
          <w:numId w:val="8"/>
        </w:numPr>
      </w:pPr>
      <w:r w:rsidRPr="006712DC">
        <w:t>JavaScript</w:t>
      </w:r>
    </w:p>
    <w:p w14:paraId="2B0A5FDE" w14:textId="2FE4D541" w:rsidR="00AC7403" w:rsidRPr="006712DC" w:rsidRDefault="00AC7403" w:rsidP="00AC7403">
      <w:pPr>
        <w:pStyle w:val="Akapitzlist"/>
        <w:numPr>
          <w:ilvl w:val="2"/>
          <w:numId w:val="8"/>
        </w:numPr>
      </w:pPr>
      <w:r w:rsidRPr="006712DC">
        <w:t>HTML</w:t>
      </w:r>
    </w:p>
    <w:p w14:paraId="480C7F78" w14:textId="4741C141" w:rsidR="00AC7403" w:rsidRPr="006712DC" w:rsidRDefault="00AC7403" w:rsidP="00AC7403">
      <w:pPr>
        <w:pStyle w:val="Akapitzlist"/>
        <w:numPr>
          <w:ilvl w:val="2"/>
          <w:numId w:val="8"/>
        </w:numPr>
      </w:pPr>
      <w:r w:rsidRPr="006712DC">
        <w:t>CSS</w:t>
      </w:r>
    </w:p>
    <w:p w14:paraId="228304CC" w14:textId="5B11E55E" w:rsidR="00AC7403" w:rsidRPr="006712DC" w:rsidRDefault="00AC7403" w:rsidP="00AC7403">
      <w:pPr>
        <w:pStyle w:val="Akapitzlist"/>
        <w:numPr>
          <w:ilvl w:val="2"/>
          <w:numId w:val="8"/>
        </w:numPr>
      </w:pPr>
      <w:r w:rsidRPr="006712DC">
        <w:t>JSON</w:t>
      </w:r>
    </w:p>
    <w:p w14:paraId="175BD6A9" w14:textId="77777777" w:rsidR="00AC7403" w:rsidRPr="006712DC" w:rsidRDefault="00AC7403" w:rsidP="00AC7403">
      <w:pPr>
        <w:pStyle w:val="Akapitzlist"/>
        <w:numPr>
          <w:ilvl w:val="1"/>
          <w:numId w:val="8"/>
        </w:numPr>
      </w:pPr>
      <w:r w:rsidRPr="006712DC">
        <w:lastRenderedPageBreak/>
        <w:t> Po stronie serwera:</w:t>
      </w:r>
    </w:p>
    <w:p w14:paraId="3946CEFC" w14:textId="3FA7A3C6" w:rsidR="00AC7403" w:rsidRPr="00ED587A" w:rsidRDefault="00AC7403" w:rsidP="00AC7403">
      <w:pPr>
        <w:pStyle w:val="Akapitzlist"/>
        <w:numPr>
          <w:ilvl w:val="2"/>
          <w:numId w:val="8"/>
        </w:numPr>
        <w:rPr>
          <w:lang w:val="en-US"/>
        </w:rPr>
      </w:pPr>
      <w:r w:rsidRPr="00ED587A">
        <w:rPr>
          <w:lang w:val="en-US"/>
        </w:rPr>
        <w:t>Spring Framework (Core, Spring MVC, AOP, Spring Security)</w:t>
      </w:r>
    </w:p>
    <w:p w14:paraId="6C7F7F39" w14:textId="4FB1392F" w:rsidR="00AC7403" w:rsidRPr="006712DC" w:rsidRDefault="00AC7403" w:rsidP="00AC7403">
      <w:pPr>
        <w:pStyle w:val="Akapitzlist"/>
        <w:numPr>
          <w:ilvl w:val="2"/>
          <w:numId w:val="8"/>
        </w:numPr>
      </w:pPr>
      <w:proofErr w:type="spellStart"/>
      <w:r w:rsidRPr="006712DC">
        <w:t>Hibernate</w:t>
      </w:r>
      <w:proofErr w:type="spellEnd"/>
    </w:p>
    <w:p w14:paraId="72409A33" w14:textId="4CF32FB3" w:rsidR="00AC7403" w:rsidRPr="006712DC" w:rsidRDefault="00AC7403" w:rsidP="00AC7403">
      <w:pPr>
        <w:pStyle w:val="Akapitzlist"/>
        <w:numPr>
          <w:ilvl w:val="2"/>
          <w:numId w:val="8"/>
        </w:numPr>
      </w:pPr>
      <w:r w:rsidRPr="006712DC">
        <w:t>JMS</w:t>
      </w:r>
    </w:p>
    <w:p w14:paraId="33689755" w14:textId="751F9B07" w:rsidR="00AC7403" w:rsidRDefault="00AC7403" w:rsidP="00AC7403">
      <w:pPr>
        <w:pStyle w:val="Akapitzlist"/>
        <w:numPr>
          <w:ilvl w:val="2"/>
          <w:numId w:val="8"/>
        </w:numPr>
      </w:pPr>
      <w:proofErr w:type="spellStart"/>
      <w:r w:rsidRPr="006712DC">
        <w:t>WebServices</w:t>
      </w:r>
      <w:proofErr w:type="spellEnd"/>
      <w:r w:rsidRPr="006712DC">
        <w:t xml:space="preserve"> (JAX-WS)</w:t>
      </w:r>
      <w:r w:rsidRPr="00AC7403">
        <w:t xml:space="preserve"> </w:t>
      </w:r>
    </w:p>
    <w:p w14:paraId="4E8254A5" w14:textId="410C691B" w:rsidR="00AC7403" w:rsidRPr="006712DC" w:rsidRDefault="00AC7403" w:rsidP="00AC7403">
      <w:pPr>
        <w:pStyle w:val="Akapitzlist"/>
        <w:numPr>
          <w:ilvl w:val="2"/>
          <w:numId w:val="8"/>
        </w:numPr>
      </w:pPr>
      <w:r w:rsidRPr="006712DC">
        <w:t>SOAP</w:t>
      </w:r>
    </w:p>
    <w:p w14:paraId="78F623B1" w14:textId="0DBEBFDA" w:rsidR="00AC7403" w:rsidRPr="006712DC" w:rsidRDefault="00AC7403" w:rsidP="00AC7403">
      <w:pPr>
        <w:pStyle w:val="Akapitzlist"/>
        <w:numPr>
          <w:ilvl w:val="2"/>
          <w:numId w:val="8"/>
        </w:numPr>
      </w:pPr>
      <w:r w:rsidRPr="006712DC">
        <w:t>Apache CXF</w:t>
      </w:r>
    </w:p>
    <w:p w14:paraId="15C430C5" w14:textId="370EC468" w:rsidR="00AC7403" w:rsidRDefault="00AC7403" w:rsidP="00AC7403">
      <w:pPr>
        <w:pStyle w:val="Akapitzlist"/>
        <w:numPr>
          <w:ilvl w:val="2"/>
          <w:numId w:val="8"/>
        </w:numPr>
      </w:pPr>
      <w:proofErr w:type="spellStart"/>
      <w:r w:rsidRPr="006712DC">
        <w:t>Quartz</w:t>
      </w:r>
      <w:proofErr w:type="spellEnd"/>
      <w:r w:rsidRPr="006712DC">
        <w:t xml:space="preserve"> </w:t>
      </w:r>
      <w:proofErr w:type="spellStart"/>
      <w:r w:rsidRPr="006712DC">
        <w:t>Scheduler</w:t>
      </w:r>
      <w:proofErr w:type="spellEnd"/>
    </w:p>
    <w:p w14:paraId="228FA599" w14:textId="6F1AC42E" w:rsidR="00FC65D8" w:rsidRDefault="00F41959" w:rsidP="0031476E">
      <w:r w:rsidRPr="00F41959">
        <w:t xml:space="preserve">Aplikacje Java uruchamiane są na platformie Oracle </w:t>
      </w:r>
      <w:proofErr w:type="spellStart"/>
      <w:r w:rsidRPr="00F41959">
        <w:t>WebLogic</w:t>
      </w:r>
      <w:proofErr w:type="spellEnd"/>
      <w:r w:rsidRPr="00F41959">
        <w:t xml:space="preserve"> Server </w:t>
      </w:r>
      <w:r w:rsidR="00DD5A71">
        <w:t>14</w:t>
      </w:r>
      <w:r w:rsidR="004660C2">
        <w:t xml:space="preserve">. </w:t>
      </w:r>
    </w:p>
    <w:p w14:paraId="7BD0A29D" w14:textId="0039B38E" w:rsidR="00FC65D8" w:rsidRDefault="00FC65D8" w:rsidP="00FC65D8">
      <w:r>
        <w:t>Kod aplikacji przechowywany jest w repozytorium GIT zarządzanym prze</w:t>
      </w:r>
      <w:r w:rsidR="00222FC7">
        <w:t>z</w:t>
      </w:r>
      <w:r>
        <w:t xml:space="preserve"> CUW IT</w:t>
      </w:r>
      <w:r w:rsidR="00261FCF">
        <w:t xml:space="preserve"> Zamawiającego</w:t>
      </w:r>
      <w:r>
        <w:t xml:space="preserve">. Dla projektów obowiązuje standardowy </w:t>
      </w:r>
      <w:proofErr w:type="spellStart"/>
      <w:r>
        <w:t>workflow</w:t>
      </w:r>
      <w:proofErr w:type="spellEnd"/>
      <w:r>
        <w:t xml:space="preserve"> pracy z repozytorium GIT. </w:t>
      </w:r>
    </w:p>
    <w:p w14:paraId="0DFB5E8B" w14:textId="77777777" w:rsidR="0086607A" w:rsidRDefault="0086607A" w:rsidP="0086607A">
      <w:r>
        <w:t>Wydanie wersji na środowisko testowe wymaga</w:t>
      </w:r>
      <w:r w:rsidR="00222FC7">
        <w:t>,</w:t>
      </w:r>
      <w:r>
        <w:t xml:space="preserve"> po testach developerskich</w:t>
      </w:r>
      <w:r w:rsidR="00222FC7">
        <w:t>,</w:t>
      </w:r>
      <w:r>
        <w:t xml:space="preserve"> synchronizacji kodu z repozytorium GIT (</w:t>
      </w:r>
      <w:proofErr w:type="spellStart"/>
      <w:r>
        <w:t>pull</w:t>
      </w:r>
      <w:proofErr w:type="spellEnd"/>
      <w:r>
        <w:t xml:space="preserve"> i </w:t>
      </w:r>
      <w:proofErr w:type="spellStart"/>
      <w:r>
        <w:t>push</w:t>
      </w:r>
      <w:proofErr w:type="spellEnd"/>
      <w:r>
        <w:t>). Wydanie wersji na środowisko produkcyjne wymaga</w:t>
      </w:r>
      <w:r w:rsidR="00222FC7">
        <w:t>,</w:t>
      </w:r>
      <w:r>
        <w:t xml:space="preserve"> po testach na środowisku testowym</w:t>
      </w:r>
      <w:r w:rsidR="00222FC7">
        <w:t>,</w:t>
      </w:r>
      <w:r>
        <w:t xml:space="preserve"> pobrania kodu identycznego z testowanym (standardowymi mechanizmami GIT)</w:t>
      </w:r>
      <w:r w:rsidR="0007399D">
        <w:t>.</w:t>
      </w:r>
    </w:p>
    <w:p w14:paraId="7F66B78F" w14:textId="70E51BC2" w:rsidR="00FC65D8" w:rsidRDefault="00FC65D8" w:rsidP="00FC65D8">
      <w:r>
        <w:t xml:space="preserve">Do budowy aplikacji zalecane jest wykorzystanie gotowego repozytorium z minimum potrzebnych bibliotek oraz budowanie w trybie offline. </w:t>
      </w:r>
      <w:r w:rsidRPr="00737F9B">
        <w:t xml:space="preserve">Do </w:t>
      </w:r>
      <w:r>
        <w:t>pracy z kodem wykorzystać można dowolne IDE</w:t>
      </w:r>
      <w:r w:rsidR="00DD5A71">
        <w:t>.</w:t>
      </w:r>
    </w:p>
    <w:p w14:paraId="229CEA94" w14:textId="3B39E824" w:rsidR="0086607A" w:rsidRDefault="00261FCF" w:rsidP="00FC65D8">
      <w:r>
        <w:t xml:space="preserve">Zamawiający </w:t>
      </w:r>
      <w:r w:rsidR="0086607A">
        <w:t xml:space="preserve">zapewnia środowiska testowe do przeprowadzenia testów odbiorczych, natomiast przygotowanie i utrzymanie środowiska deweloperskiego jest po stronie </w:t>
      </w:r>
      <w:r>
        <w:t>Wykonawcy</w:t>
      </w:r>
      <w:r w:rsidR="0086607A">
        <w:t>.</w:t>
      </w:r>
    </w:p>
    <w:p w14:paraId="78DFEC88" w14:textId="3FAD7CFE" w:rsidR="00FC65D8" w:rsidRDefault="00FC65D8" w:rsidP="00FC65D8">
      <w:r w:rsidRPr="00FC65D8">
        <w:rPr>
          <w:u w:val="single"/>
        </w:rPr>
        <w:t xml:space="preserve">Zachowanie </w:t>
      </w:r>
      <w:r>
        <w:rPr>
          <w:u w:val="single"/>
        </w:rPr>
        <w:t>standardów</w:t>
      </w:r>
      <w:r w:rsidRPr="00FC65D8">
        <w:rPr>
          <w:u w:val="single"/>
        </w:rPr>
        <w:t xml:space="preserve"> i utrzymanie aktualnych wersji kodu w repozytorium </w:t>
      </w:r>
      <w:r w:rsidR="0007399D">
        <w:rPr>
          <w:u w:val="single"/>
        </w:rPr>
        <w:t xml:space="preserve">GIT administrowanym przez </w:t>
      </w:r>
      <w:r w:rsidR="00261FCF">
        <w:rPr>
          <w:u w:val="single"/>
        </w:rPr>
        <w:t xml:space="preserve">Zamawiającego </w:t>
      </w:r>
      <w:r w:rsidRPr="00FC65D8">
        <w:rPr>
          <w:u w:val="single"/>
        </w:rPr>
        <w:t>jest</w:t>
      </w:r>
      <w:r w:rsidR="0007399D">
        <w:rPr>
          <w:u w:val="single"/>
        </w:rPr>
        <w:t xml:space="preserve"> dla </w:t>
      </w:r>
      <w:r w:rsidR="00261FCF">
        <w:rPr>
          <w:u w:val="single"/>
        </w:rPr>
        <w:t xml:space="preserve">Wykonawcy </w:t>
      </w:r>
      <w:r w:rsidRPr="00FC65D8">
        <w:rPr>
          <w:u w:val="single"/>
        </w:rPr>
        <w:t>obligatoryjne.</w:t>
      </w:r>
    </w:p>
    <w:p w14:paraId="41820329" w14:textId="77777777" w:rsidR="00F41959" w:rsidRDefault="00F41959" w:rsidP="0031476E"/>
    <w:p w14:paraId="33C00926" w14:textId="77777777" w:rsidR="00316E62" w:rsidRPr="007830BA" w:rsidRDefault="0029103F" w:rsidP="007830BA">
      <w:pPr>
        <w:pStyle w:val="Nagwek1"/>
      </w:pPr>
      <w:r w:rsidRPr="007830BA">
        <w:t>Komponenty własne</w:t>
      </w:r>
    </w:p>
    <w:p w14:paraId="692BB4B1" w14:textId="77777777" w:rsidR="0029103F" w:rsidRPr="00C6190E" w:rsidRDefault="0029103F" w:rsidP="00AC7403">
      <w:pPr>
        <w:pStyle w:val="Nagwek2"/>
      </w:pPr>
      <w:r w:rsidRPr="00C6190E">
        <w:t xml:space="preserve">Typy </w:t>
      </w:r>
      <w:r>
        <w:t>K</w:t>
      </w:r>
      <w:r w:rsidRPr="00C6190E">
        <w:t>omponentów</w:t>
      </w:r>
      <w:r>
        <w:t xml:space="preserve"> własnych</w:t>
      </w:r>
    </w:p>
    <w:p w14:paraId="4CBFEBDA" w14:textId="77777777" w:rsidR="0029103F" w:rsidRPr="006712DC" w:rsidRDefault="0029103F" w:rsidP="00506A56">
      <w:r w:rsidRPr="006712DC">
        <w:t xml:space="preserve">System CBP składa się z następujących typów </w:t>
      </w:r>
      <w:r>
        <w:t>K</w:t>
      </w:r>
      <w:r w:rsidRPr="006712DC">
        <w:t>omponentów</w:t>
      </w:r>
      <w:r>
        <w:t xml:space="preserve"> własnych</w:t>
      </w:r>
      <w:r w:rsidRPr="006712DC">
        <w:t>:</w:t>
      </w:r>
    </w:p>
    <w:p w14:paraId="79C7E634" w14:textId="77777777" w:rsidR="0029103F" w:rsidRPr="006712DC" w:rsidRDefault="0029103F" w:rsidP="00506A56">
      <w:pPr>
        <w:pStyle w:val="Akapitzlist"/>
        <w:numPr>
          <w:ilvl w:val="0"/>
          <w:numId w:val="10"/>
        </w:numPr>
      </w:pPr>
      <w:r w:rsidRPr="006712DC">
        <w:t>Repozytori</w:t>
      </w:r>
      <w:r w:rsidR="00AC7403">
        <w:t>a</w:t>
      </w:r>
    </w:p>
    <w:p w14:paraId="04D75B32" w14:textId="77777777" w:rsidR="0029103F" w:rsidRPr="006712DC" w:rsidRDefault="0029103F" w:rsidP="00506A56">
      <w:pPr>
        <w:pStyle w:val="Akapitzlist"/>
        <w:numPr>
          <w:ilvl w:val="0"/>
          <w:numId w:val="10"/>
        </w:numPr>
      </w:pPr>
      <w:r w:rsidRPr="006712DC">
        <w:t>Interfejs</w:t>
      </w:r>
      <w:r w:rsidR="00AC7403">
        <w:t>y</w:t>
      </w:r>
    </w:p>
    <w:p w14:paraId="54D23BD8" w14:textId="77777777" w:rsidR="0029103F" w:rsidRDefault="0029103F" w:rsidP="00506A56">
      <w:pPr>
        <w:pStyle w:val="Akapitzlist"/>
        <w:numPr>
          <w:ilvl w:val="0"/>
          <w:numId w:val="10"/>
        </w:numPr>
      </w:pPr>
      <w:r w:rsidRPr="006712DC">
        <w:t>Proces</w:t>
      </w:r>
      <w:r w:rsidR="00AC7403">
        <w:t>y</w:t>
      </w:r>
      <w:r w:rsidRPr="006712DC">
        <w:t xml:space="preserve"> ETL</w:t>
      </w:r>
    </w:p>
    <w:p w14:paraId="204EAD87" w14:textId="77777777" w:rsidR="00AC7403" w:rsidRPr="006712DC" w:rsidRDefault="00AC7403" w:rsidP="00506A56">
      <w:pPr>
        <w:pStyle w:val="Akapitzlist"/>
        <w:numPr>
          <w:ilvl w:val="0"/>
          <w:numId w:val="10"/>
        </w:numPr>
      </w:pPr>
      <w:r>
        <w:t xml:space="preserve">Silniki </w:t>
      </w:r>
      <w:r w:rsidR="001D259B">
        <w:t>funkcjonalne</w:t>
      </w:r>
    </w:p>
    <w:p w14:paraId="0563E8A4" w14:textId="77777777" w:rsidR="0029103F" w:rsidRPr="006712DC" w:rsidRDefault="0029103F" w:rsidP="00506A56">
      <w:pPr>
        <w:pStyle w:val="Akapitzlist"/>
        <w:numPr>
          <w:ilvl w:val="0"/>
          <w:numId w:val="10"/>
        </w:numPr>
      </w:pPr>
      <w:r w:rsidRPr="006712DC">
        <w:t>Aplikacj</w:t>
      </w:r>
      <w:r w:rsidR="00AC7403">
        <w:t>a</w:t>
      </w:r>
      <w:r w:rsidRPr="006712DC">
        <w:t xml:space="preserve"> GUI</w:t>
      </w:r>
    </w:p>
    <w:p w14:paraId="64E091D3" w14:textId="77777777" w:rsidR="0029103F" w:rsidRPr="006712DC" w:rsidRDefault="0029103F" w:rsidP="00506A56">
      <w:r w:rsidRPr="006712DC">
        <w:t>Poniżej opisano charakterystyki p</w:t>
      </w:r>
      <w:r>
        <w:t>oszczególnych Komponentów własnych.</w:t>
      </w:r>
    </w:p>
    <w:p w14:paraId="164738FA" w14:textId="77777777" w:rsidR="0029103F" w:rsidRPr="00B01454" w:rsidRDefault="0029103F" w:rsidP="007830BA">
      <w:pPr>
        <w:pStyle w:val="Nagwek2"/>
      </w:pPr>
      <w:r w:rsidRPr="00B01454">
        <w:t>Repozytori</w:t>
      </w:r>
      <w:r w:rsidR="007830BA">
        <w:t>a</w:t>
      </w:r>
    </w:p>
    <w:p w14:paraId="456182D2" w14:textId="77777777" w:rsidR="007830BA" w:rsidRDefault="0029103F" w:rsidP="00506A56">
      <w:r>
        <w:t>K</w:t>
      </w:r>
      <w:r w:rsidRPr="006712DC">
        <w:t>omponent</w:t>
      </w:r>
      <w:r w:rsidR="007830BA">
        <w:t>y przeznaczone</w:t>
      </w:r>
      <w:r w:rsidRPr="006712DC">
        <w:t xml:space="preserve"> do przechowywania danych pomiarowych</w:t>
      </w:r>
      <w:r w:rsidR="007830BA">
        <w:t>, danych kartotekowych (PPE, liczniki czy zabudowy)</w:t>
      </w:r>
      <w:r w:rsidR="00222FC7">
        <w:t>,</w:t>
      </w:r>
      <w:r w:rsidRPr="006712DC">
        <w:t xml:space="preserve"> </w:t>
      </w:r>
      <w:r w:rsidR="007830BA">
        <w:t>oraz danych związanych z podstawowymi funkcjonalnościami CBP jak np. sterowanie licznikami. Obecnie w CBP można wyróżnić 3 repozytoria danych:</w:t>
      </w:r>
    </w:p>
    <w:p w14:paraId="48E48E60" w14:textId="77777777" w:rsidR="007830BA" w:rsidRPr="003157D8" w:rsidRDefault="007830BA" w:rsidP="007830BA">
      <w:pPr>
        <w:pStyle w:val="Akapitzlist"/>
        <w:numPr>
          <w:ilvl w:val="0"/>
          <w:numId w:val="8"/>
        </w:numPr>
        <w:rPr>
          <w:rStyle w:val="Pogrubienie"/>
        </w:rPr>
      </w:pPr>
      <w:r w:rsidRPr="003157D8">
        <w:rPr>
          <w:rStyle w:val="Pogrubienie"/>
        </w:rPr>
        <w:t>Główne repozytorium danych tzw. Baza HOT</w:t>
      </w:r>
    </w:p>
    <w:p w14:paraId="0336DBC9" w14:textId="77777777" w:rsidR="00FE6820" w:rsidRDefault="007830BA" w:rsidP="007830BA">
      <w:pPr>
        <w:pStyle w:val="Akapitzlist"/>
      </w:pPr>
      <w:r>
        <w:t>Przeznaczone jest do składowania danych odczytowych i kartotekowych. Obejmuje także dan</w:t>
      </w:r>
      <w:r w:rsidR="002B7C88">
        <w:t>e</w:t>
      </w:r>
      <w:r>
        <w:t xml:space="preserve"> istotne w realizacji podstawowych funkcji CBP</w:t>
      </w:r>
      <w:r w:rsidR="002B7C88">
        <w:t xml:space="preserve">. </w:t>
      </w:r>
    </w:p>
    <w:p w14:paraId="6A9A5880" w14:textId="77777777" w:rsidR="00FE6820" w:rsidRDefault="00FE6820" w:rsidP="007830BA">
      <w:pPr>
        <w:pStyle w:val="Akapitzlist"/>
      </w:pPr>
    </w:p>
    <w:p w14:paraId="3E422655" w14:textId="77777777" w:rsidR="00FE6820" w:rsidRDefault="00AE041A" w:rsidP="00FE6820">
      <w:pPr>
        <w:pStyle w:val="Akapitzlist"/>
        <w:jc w:val="center"/>
      </w:pPr>
      <w:r>
        <w:rPr>
          <w:noProof/>
        </w:rPr>
        <w:drawing>
          <wp:inline distT="0" distB="0" distL="0" distR="0" wp14:anchorId="7DCD7CB9" wp14:editId="728EC94D">
            <wp:extent cx="4345063" cy="2603005"/>
            <wp:effectExtent l="0" t="0" r="0" b="6985"/>
            <wp:docPr id="101" name="Obraz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777" cy="26202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C550B7" w14:textId="77777777" w:rsidR="00FE6820" w:rsidRDefault="00FE6820" w:rsidP="007830BA">
      <w:pPr>
        <w:pStyle w:val="Akapitzlist"/>
      </w:pPr>
    </w:p>
    <w:p w14:paraId="4EB63B0C" w14:textId="77777777" w:rsidR="007830BA" w:rsidRDefault="00222FC7" w:rsidP="007830BA">
      <w:pPr>
        <w:pStyle w:val="Akapitzlist"/>
      </w:pPr>
      <w:r>
        <w:t xml:space="preserve">Repozytorium ma konstrukcją warstwową jak przedstawiono na powyższym rysunku. </w:t>
      </w:r>
      <w:r w:rsidR="002B7C88">
        <w:t>Główne schematy to</w:t>
      </w:r>
      <w:r w:rsidR="004467AE">
        <w:t>:</w:t>
      </w:r>
    </w:p>
    <w:p w14:paraId="40040889" w14:textId="77777777" w:rsidR="002B7C88" w:rsidRDefault="002B7C88" w:rsidP="002B7C88">
      <w:pPr>
        <w:pStyle w:val="Akapitzlist"/>
        <w:numPr>
          <w:ilvl w:val="1"/>
          <w:numId w:val="8"/>
        </w:numPr>
      </w:pPr>
      <w:r>
        <w:t xml:space="preserve">PROD_DR (Data </w:t>
      </w:r>
      <w:proofErr w:type="spellStart"/>
      <w:r>
        <w:t>Repository</w:t>
      </w:r>
      <w:proofErr w:type="spellEnd"/>
      <w:r>
        <w:t>) – tabele faktów (odczyty) i słowniki (dane kartotekowe)</w:t>
      </w:r>
    </w:p>
    <w:p w14:paraId="75C84D0D" w14:textId="77777777" w:rsidR="007830BA" w:rsidRDefault="002B7C88" w:rsidP="002B7C88">
      <w:pPr>
        <w:pStyle w:val="Akapitzlist"/>
        <w:numPr>
          <w:ilvl w:val="1"/>
          <w:numId w:val="8"/>
        </w:numPr>
      </w:pPr>
      <w:r>
        <w:t>PROD_DSA</w:t>
      </w:r>
      <w:r w:rsidR="00FC65D8">
        <w:t>_*</w:t>
      </w:r>
      <w:r>
        <w:t xml:space="preserve"> (Data </w:t>
      </w:r>
      <w:proofErr w:type="spellStart"/>
      <w:r>
        <w:t>Stage</w:t>
      </w:r>
      <w:proofErr w:type="spellEnd"/>
      <w:r>
        <w:t xml:space="preserve"> </w:t>
      </w:r>
      <w:proofErr w:type="spellStart"/>
      <w:r>
        <w:t>Area</w:t>
      </w:r>
      <w:proofErr w:type="spellEnd"/>
      <w:r>
        <w:t>) – tabele b</w:t>
      </w:r>
      <w:r w:rsidR="007830BA">
        <w:t>ufor</w:t>
      </w:r>
      <w:r>
        <w:t>owe wykorzystywane w proces</w:t>
      </w:r>
      <w:r w:rsidR="00E318B2">
        <w:t>ach</w:t>
      </w:r>
      <w:r>
        <w:t xml:space="preserve"> ładowania danych</w:t>
      </w:r>
      <w:r w:rsidR="00222FC7">
        <w:t>. D</w:t>
      </w:r>
      <w:r>
        <w:t>la każdego źródła zdefiniowany jest oddzielny schemat</w:t>
      </w:r>
      <w:r w:rsidR="00FC65D8">
        <w:t>, np. PROD_DSA_CONV – zawiera dane z systemu CONV. Dane w warstwie DSA są przetrzymywane przez pewien okres czasu (różny dla każdego systemu źródłowego) a następnie usuwane z systemu.</w:t>
      </w:r>
    </w:p>
    <w:p w14:paraId="2040F166" w14:textId="77777777" w:rsidR="00251F50" w:rsidRDefault="00251F50" w:rsidP="00B85067">
      <w:pPr>
        <w:pStyle w:val="Akapitzlist"/>
        <w:numPr>
          <w:ilvl w:val="1"/>
          <w:numId w:val="8"/>
        </w:numPr>
      </w:pPr>
      <w:r>
        <w:t xml:space="preserve">PROD_DRAW_* (Raw Data) – obszar do przetwarzania plikowego występujący w niektórych strumieniach, np. tutaj definiowane są </w:t>
      </w:r>
      <w:proofErr w:type="spellStart"/>
      <w:r w:rsidRPr="00222FC7">
        <w:rPr>
          <w:i/>
        </w:rPr>
        <w:t>External</w:t>
      </w:r>
      <w:proofErr w:type="spellEnd"/>
      <w:r w:rsidRPr="00222FC7">
        <w:rPr>
          <w:i/>
        </w:rPr>
        <w:t xml:space="preserve"> </w:t>
      </w:r>
      <w:proofErr w:type="spellStart"/>
      <w:r w:rsidRPr="00222FC7">
        <w:rPr>
          <w:i/>
        </w:rPr>
        <w:t>Tables</w:t>
      </w:r>
      <w:proofErr w:type="spellEnd"/>
      <w:r>
        <w:t>.</w:t>
      </w:r>
    </w:p>
    <w:p w14:paraId="76798B53" w14:textId="77777777" w:rsidR="00251F50" w:rsidRDefault="00251F50" w:rsidP="00B85067">
      <w:pPr>
        <w:pStyle w:val="Akapitzlist"/>
        <w:numPr>
          <w:ilvl w:val="1"/>
          <w:numId w:val="8"/>
        </w:numPr>
      </w:pPr>
      <w:r>
        <w:t xml:space="preserve">PROD_SRC – schemat zawierający definicję interfejsów bazodanowych: </w:t>
      </w:r>
      <w:proofErr w:type="spellStart"/>
      <w:r w:rsidR="00222FC7">
        <w:t>DB</w:t>
      </w:r>
      <w:r>
        <w:t>link</w:t>
      </w:r>
      <w:proofErr w:type="spellEnd"/>
      <w:r>
        <w:t>-i i widoki na obiektach źródłowych.</w:t>
      </w:r>
    </w:p>
    <w:p w14:paraId="2FE2F4FA" w14:textId="77777777" w:rsidR="00B85067" w:rsidRDefault="002B7C88" w:rsidP="00B85067">
      <w:pPr>
        <w:pStyle w:val="Akapitzlist"/>
        <w:numPr>
          <w:ilvl w:val="1"/>
          <w:numId w:val="8"/>
        </w:numPr>
      </w:pPr>
      <w:r>
        <w:t xml:space="preserve">PROD_GUI </w:t>
      </w:r>
      <w:r w:rsidR="00E318B2">
        <w:t>–</w:t>
      </w:r>
      <w:r>
        <w:t xml:space="preserve"> d</w:t>
      </w:r>
      <w:r w:rsidR="007830BA">
        <w:t xml:space="preserve">ane </w:t>
      </w:r>
      <w:r>
        <w:t xml:space="preserve">sterujące </w:t>
      </w:r>
      <w:r w:rsidR="007830BA">
        <w:t>aplikacji użytkownika CBP GUI</w:t>
      </w:r>
      <w:r w:rsidR="00E318B2">
        <w:t xml:space="preserve"> (m.in. uprawnienia, konfiguracja, logi) oraz </w:t>
      </w:r>
      <w:r w:rsidR="00CB24C5">
        <w:t>widoki, z których</w:t>
      </w:r>
      <w:r w:rsidR="00E318B2">
        <w:t xml:space="preserve"> aplikacja korzysta przy dostępie do danych.</w:t>
      </w:r>
    </w:p>
    <w:p w14:paraId="30DCDE2F" w14:textId="77777777" w:rsidR="00E318B2" w:rsidRDefault="002B7C88" w:rsidP="00B85067">
      <w:pPr>
        <w:pStyle w:val="Akapitzlist"/>
        <w:numPr>
          <w:ilvl w:val="1"/>
          <w:numId w:val="8"/>
        </w:numPr>
      </w:pPr>
      <w:r>
        <w:t xml:space="preserve">PROD_MD </w:t>
      </w:r>
      <w:r w:rsidR="00E318B2">
        <w:t xml:space="preserve">– </w:t>
      </w:r>
      <w:r>
        <w:t>m</w:t>
      </w:r>
      <w:r w:rsidR="007830BA">
        <w:t xml:space="preserve">etadane wykorzystywane przez procesy przetwarzania </w:t>
      </w:r>
      <w:r>
        <w:t>danych (informacje o procesach, stanach, metryki danych itp.)</w:t>
      </w:r>
      <w:r w:rsidR="00E318B2">
        <w:t>.</w:t>
      </w:r>
    </w:p>
    <w:p w14:paraId="24446FDE" w14:textId="77777777" w:rsidR="00B85067" w:rsidRDefault="00E318B2" w:rsidP="00B85067">
      <w:pPr>
        <w:pStyle w:val="Akapitzlist"/>
        <w:numPr>
          <w:ilvl w:val="1"/>
          <w:numId w:val="8"/>
        </w:numPr>
      </w:pPr>
      <w:r>
        <w:t xml:space="preserve">PROD_DM (Data </w:t>
      </w:r>
      <w:proofErr w:type="spellStart"/>
      <w:r>
        <w:t>Mar</w:t>
      </w:r>
      <w:r w:rsidR="00251F50">
        <w:t>t</w:t>
      </w:r>
      <w:r>
        <w:t>s</w:t>
      </w:r>
      <w:proofErr w:type="spellEnd"/>
      <w:r>
        <w:t>) – Dane przetworzone, najczęściej zagregowane, przygotowane pod kątem raportowania bądź udostępniania do analiz, w tym agregaty udostępniane na rynek bilansujący</w:t>
      </w:r>
      <w:r w:rsidR="0072688D">
        <w:t>.</w:t>
      </w:r>
      <w:r w:rsidR="00B85067">
        <w:br/>
      </w:r>
    </w:p>
    <w:p w14:paraId="7084535D" w14:textId="77777777" w:rsidR="007830BA" w:rsidRPr="003157D8" w:rsidRDefault="007830BA" w:rsidP="007830BA">
      <w:pPr>
        <w:pStyle w:val="Akapitzlist"/>
        <w:numPr>
          <w:ilvl w:val="0"/>
          <w:numId w:val="8"/>
        </w:numPr>
        <w:rPr>
          <w:rStyle w:val="Pogrubienie"/>
        </w:rPr>
      </w:pPr>
      <w:r w:rsidRPr="003157D8">
        <w:rPr>
          <w:rStyle w:val="Pogrubienie"/>
        </w:rPr>
        <w:t>Archiwum (</w:t>
      </w:r>
      <w:r w:rsidR="002B7C88" w:rsidRPr="003157D8">
        <w:rPr>
          <w:rStyle w:val="Pogrubienie"/>
        </w:rPr>
        <w:t>baza COLD)</w:t>
      </w:r>
    </w:p>
    <w:p w14:paraId="1F7F0E13" w14:textId="47235763" w:rsidR="002B7C88" w:rsidRDefault="002B7C88" w:rsidP="002B7C88">
      <w:pPr>
        <w:ind w:left="720"/>
      </w:pPr>
      <w:r>
        <w:t>Repozytorium tylko do odczytu</w:t>
      </w:r>
      <w:r w:rsidR="00261FCF">
        <w:t>,</w:t>
      </w:r>
      <w:r>
        <w:t xml:space="preserve"> przechowujące dane archiwalne zlokalizowane na odrębnym serwerze bazodanowym Oracle </w:t>
      </w:r>
      <w:r w:rsidR="00222FC7">
        <w:t xml:space="preserve">Database </w:t>
      </w:r>
      <w:r>
        <w:t>12</w:t>
      </w:r>
      <w:r w:rsidR="00222FC7">
        <w:t>c</w:t>
      </w:r>
      <w:r>
        <w:t xml:space="preserve"> i innych zasobach dyskowych</w:t>
      </w:r>
      <w:r w:rsidR="00261FCF">
        <w:t xml:space="preserve">. </w:t>
      </w:r>
      <w:r w:rsidR="00222FC7">
        <w:t xml:space="preserve">Dane </w:t>
      </w:r>
      <w:r>
        <w:t>w dalszym ciągu mogą być wykorzystywane przez aplikacje CBP i inne systemy</w:t>
      </w:r>
      <w:r w:rsidR="00222FC7">
        <w:t xml:space="preserve"> korzystające z danych zgromadzonych w bazach CBP</w:t>
      </w:r>
      <w:r>
        <w:t>. W bazie COLD przechowywane są tylko dane odczytowe (tabele faktów). Tabele mają identyczną strukturę jak tabele w bazie HOT, różnią się natomiast p</w:t>
      </w:r>
      <w:r w:rsidR="00222FC7">
        <w:t>arametrami fizycznymi. W</w:t>
      </w:r>
      <w:r w:rsidR="00B85067">
        <w:t xml:space="preserve"> szczególności </w:t>
      </w:r>
      <w:r w:rsidR="00222FC7">
        <w:t xml:space="preserve">tabele </w:t>
      </w:r>
      <w:r w:rsidR="00B85067">
        <w:t xml:space="preserve">są skompresowane </w:t>
      </w:r>
      <w:r w:rsidR="00222FC7">
        <w:t>i przeznaczone tylko od odczytu</w:t>
      </w:r>
      <w:r w:rsidR="00B85067">
        <w:t>.</w:t>
      </w:r>
    </w:p>
    <w:p w14:paraId="684BA8F8" w14:textId="77777777" w:rsidR="003157D8" w:rsidRPr="003157D8" w:rsidRDefault="00B85067" w:rsidP="00B85067">
      <w:pPr>
        <w:pStyle w:val="Akapitzlist"/>
        <w:numPr>
          <w:ilvl w:val="0"/>
          <w:numId w:val="8"/>
        </w:numPr>
        <w:rPr>
          <w:rStyle w:val="Pogrubienie"/>
        </w:rPr>
      </w:pPr>
      <w:r w:rsidRPr="003157D8">
        <w:rPr>
          <w:rStyle w:val="Pogrubienie"/>
        </w:rPr>
        <w:lastRenderedPageBreak/>
        <w:t>Baza Sterowania</w:t>
      </w:r>
    </w:p>
    <w:p w14:paraId="399E2988" w14:textId="2066D5D8" w:rsidR="00B85067" w:rsidRDefault="00B85067" w:rsidP="003157D8">
      <w:pPr>
        <w:pStyle w:val="Akapitzlist"/>
      </w:pPr>
      <w:r>
        <w:t xml:space="preserve">Wydzielone repozytorium przeznaczone do obsługi funkcjonalności wysyłania komend sterujących do liczników AMI i AMR. </w:t>
      </w:r>
      <w:r w:rsidRPr="00B85067">
        <w:t xml:space="preserve">Zawiera </w:t>
      </w:r>
      <w:r>
        <w:t xml:space="preserve">definicje komend, oraz rejestr zleceń (kolejkę komend) obejmujący również historię </w:t>
      </w:r>
      <w:r w:rsidR="00222FC7">
        <w:t xml:space="preserve">ich </w:t>
      </w:r>
      <w:r w:rsidR="00EE7589">
        <w:t xml:space="preserve">wykonania </w:t>
      </w:r>
      <w:r w:rsidR="00222FC7">
        <w:t>wraz z odpowiedziami (wynikami)</w:t>
      </w:r>
      <w:r>
        <w:t>. Z</w:t>
      </w:r>
      <w:r w:rsidR="0072688D">
        <w:t>e względów bezpieczeństwa</w:t>
      </w:r>
      <w:r w:rsidR="00222FC7">
        <w:t>,</w:t>
      </w:r>
      <w:r w:rsidR="0072688D">
        <w:t xml:space="preserve"> baza została wydzielona na odrębny serwer danych, </w:t>
      </w:r>
      <w:r w:rsidR="00CB24C5">
        <w:t>tak aby</w:t>
      </w:r>
      <w:r w:rsidR="0072688D">
        <w:t xml:space="preserve"> móc ograniczyć dostęp do niej również w warstwie sieciowej. </w:t>
      </w:r>
      <w:r>
        <w:t xml:space="preserve"> </w:t>
      </w:r>
      <w:r w:rsidR="0072688D">
        <w:t>Z tych samych</w:t>
      </w:r>
      <w:r>
        <w:t xml:space="preserve"> względ</w:t>
      </w:r>
      <w:r w:rsidR="0072688D">
        <w:t>ów</w:t>
      </w:r>
      <w:r>
        <w:t xml:space="preserve"> uprawnienia dostępu do tego repozytorium są znacznie bardziej restrykcyjne.</w:t>
      </w:r>
      <w:r w:rsidR="0072688D">
        <w:t xml:space="preserve"> Wszelkie operacje zapisu do bazy sterowania są wykonywane przez Adapter Bezpieczeństwa. </w:t>
      </w:r>
    </w:p>
    <w:p w14:paraId="03AC0E6B" w14:textId="77777777" w:rsidR="004660C2" w:rsidRPr="00353D32" w:rsidRDefault="004660C2" w:rsidP="003157D8">
      <w:pPr>
        <w:pStyle w:val="Akapitzlist"/>
      </w:pPr>
    </w:p>
    <w:p w14:paraId="7AB1C156" w14:textId="77777777" w:rsidR="0029103F" w:rsidRPr="00C6190E" w:rsidRDefault="0029103F" w:rsidP="003157D8">
      <w:pPr>
        <w:pStyle w:val="Nagwek2"/>
      </w:pPr>
      <w:r w:rsidRPr="00C6190E">
        <w:t>Interfejsy</w:t>
      </w:r>
    </w:p>
    <w:p w14:paraId="1052EF5D" w14:textId="77777777" w:rsidR="0029103F" w:rsidRPr="006712DC" w:rsidRDefault="003157D8" w:rsidP="00506A56">
      <w:r>
        <w:t>Interfejsy są k</w:t>
      </w:r>
      <w:r w:rsidR="0029103F" w:rsidRPr="006712DC">
        <w:t xml:space="preserve">omponentem </w:t>
      </w:r>
      <w:r w:rsidR="0029103F">
        <w:t xml:space="preserve">własnym </w:t>
      </w:r>
      <w:r w:rsidR="00222FC7">
        <w:t xml:space="preserve">pozwalającym </w:t>
      </w:r>
      <w:r w:rsidR="0029103F" w:rsidRPr="006712DC">
        <w:t>na pobieranie/udostępnianie danych z/do innych systemów.</w:t>
      </w:r>
    </w:p>
    <w:p w14:paraId="58B584A5" w14:textId="77777777" w:rsidR="0029103F" w:rsidRPr="006712DC" w:rsidRDefault="0029103F" w:rsidP="00506A56">
      <w:r>
        <w:t>System</w:t>
      </w:r>
      <w:r w:rsidRPr="006712DC">
        <w:t xml:space="preserve"> obsługuje następujące typy interfejsów:</w:t>
      </w:r>
    </w:p>
    <w:p w14:paraId="46AEA12E" w14:textId="77777777" w:rsidR="003157D8" w:rsidRDefault="003157D8" w:rsidP="00506A56">
      <w:pPr>
        <w:pStyle w:val="Akapitzlist"/>
        <w:numPr>
          <w:ilvl w:val="0"/>
          <w:numId w:val="6"/>
        </w:numPr>
      </w:pPr>
      <w:r>
        <w:t>Bazodanowe</w:t>
      </w:r>
    </w:p>
    <w:p w14:paraId="346A497D" w14:textId="77777777" w:rsidR="0029103F" w:rsidRPr="006712DC" w:rsidRDefault="0029103F" w:rsidP="003157D8">
      <w:pPr>
        <w:pStyle w:val="Akapitzlist"/>
        <w:numPr>
          <w:ilvl w:val="1"/>
          <w:numId w:val="6"/>
        </w:numPr>
      </w:pPr>
      <w:r w:rsidRPr="006712DC">
        <w:t xml:space="preserve">Widoki/tabele </w:t>
      </w:r>
      <w:r w:rsidR="003157D8">
        <w:t xml:space="preserve">udostępniane w bazach danych systemów źródłowych </w:t>
      </w:r>
      <w:r w:rsidRPr="006712DC">
        <w:t xml:space="preserve">– dostępne przez </w:t>
      </w:r>
      <w:proofErr w:type="spellStart"/>
      <w:r w:rsidRPr="006712DC">
        <w:t>DBLink</w:t>
      </w:r>
      <w:proofErr w:type="spellEnd"/>
      <w:r w:rsidRPr="006712DC">
        <w:t>,</w:t>
      </w:r>
    </w:p>
    <w:p w14:paraId="6C9209D6" w14:textId="77777777" w:rsidR="003157D8" w:rsidRDefault="003157D8" w:rsidP="00506A56">
      <w:pPr>
        <w:pStyle w:val="Akapitzlist"/>
        <w:numPr>
          <w:ilvl w:val="0"/>
          <w:numId w:val="6"/>
        </w:numPr>
      </w:pPr>
      <w:r>
        <w:t xml:space="preserve">Interfejsy plikowe </w:t>
      </w:r>
    </w:p>
    <w:p w14:paraId="3990573F" w14:textId="77777777" w:rsidR="0029103F" w:rsidRPr="006712DC" w:rsidRDefault="0029103F" w:rsidP="003157D8">
      <w:pPr>
        <w:pStyle w:val="Akapitzlist"/>
        <w:numPr>
          <w:ilvl w:val="1"/>
          <w:numId w:val="6"/>
        </w:numPr>
      </w:pPr>
      <w:r w:rsidRPr="006712DC">
        <w:t>Pliki płaskie,</w:t>
      </w:r>
    </w:p>
    <w:p w14:paraId="716FD324" w14:textId="77777777" w:rsidR="0029103F" w:rsidRDefault="0029103F" w:rsidP="003157D8">
      <w:pPr>
        <w:pStyle w:val="Akapitzlist"/>
        <w:numPr>
          <w:ilvl w:val="1"/>
          <w:numId w:val="6"/>
        </w:numPr>
      </w:pPr>
      <w:r w:rsidRPr="006712DC">
        <w:t>Pliki XML,</w:t>
      </w:r>
    </w:p>
    <w:p w14:paraId="6A040250" w14:textId="77777777" w:rsidR="003157D8" w:rsidRPr="006712DC" w:rsidRDefault="003157D8" w:rsidP="003157D8">
      <w:pPr>
        <w:pStyle w:val="Akapitzlist"/>
        <w:numPr>
          <w:ilvl w:val="0"/>
          <w:numId w:val="6"/>
        </w:numPr>
      </w:pPr>
      <w:r>
        <w:t xml:space="preserve">Interfejsy aplikacyjne (usługi </w:t>
      </w:r>
      <w:proofErr w:type="spellStart"/>
      <w:r>
        <w:t>WebService</w:t>
      </w:r>
      <w:proofErr w:type="spellEnd"/>
      <w:r>
        <w:t>)</w:t>
      </w:r>
    </w:p>
    <w:p w14:paraId="36D9A92E" w14:textId="77777777" w:rsidR="0029103F" w:rsidRPr="006712DC" w:rsidRDefault="0029103F" w:rsidP="003157D8">
      <w:pPr>
        <w:pStyle w:val="Akapitzlist"/>
        <w:numPr>
          <w:ilvl w:val="1"/>
          <w:numId w:val="6"/>
        </w:numPr>
      </w:pPr>
      <w:r w:rsidRPr="006712DC">
        <w:t>Szynę danych (OSB),</w:t>
      </w:r>
    </w:p>
    <w:p w14:paraId="573C15B0" w14:textId="71CD2975" w:rsidR="0029103F" w:rsidRDefault="003157D8" w:rsidP="003157D8">
      <w:pPr>
        <w:pStyle w:val="Akapitzlist"/>
        <w:numPr>
          <w:ilvl w:val="1"/>
          <w:numId w:val="6"/>
        </w:numPr>
      </w:pPr>
      <w:r>
        <w:t>Rozwiązania dedykowane</w:t>
      </w:r>
    </w:p>
    <w:p w14:paraId="66BC57C0" w14:textId="079AA02A" w:rsidR="00FC77F3" w:rsidRPr="006712DC" w:rsidRDefault="00FC77F3" w:rsidP="0078237B">
      <w:pPr>
        <w:pStyle w:val="Akapitzlist"/>
        <w:numPr>
          <w:ilvl w:val="0"/>
          <w:numId w:val="6"/>
        </w:numPr>
      </w:pPr>
      <w:r>
        <w:t>Kolejki JMS</w:t>
      </w:r>
    </w:p>
    <w:p w14:paraId="2F8EB135" w14:textId="52610731" w:rsidR="00EE7589" w:rsidRDefault="00EE7589" w:rsidP="00506A56">
      <w:r>
        <w:t>Ze względu na planowany rozwój infrastruktury pomiarowej, w tym wzrost liczby liczników LZO, oraz wdrożenie nowych systemów HES możliwe jest pojawienie się nowych typów interfejsów.</w:t>
      </w:r>
    </w:p>
    <w:p w14:paraId="3718E1D2" w14:textId="1F3AD875" w:rsidR="003157D8" w:rsidRDefault="003157D8" w:rsidP="00506A56">
      <w:r>
        <w:t>Interfejsy bazodanowe i plikowe są obsługiwane są bezpośrednio przez procesy ETL z wykorzystaniem funkcjonalności serwera bazodanowego Oracle takich j</w:t>
      </w:r>
      <w:r w:rsidR="00CB24C5">
        <w:t xml:space="preserve">ak </w:t>
      </w:r>
      <w:proofErr w:type="spellStart"/>
      <w:r w:rsidR="00CB24C5" w:rsidRPr="00CB24C5">
        <w:rPr>
          <w:i/>
        </w:rPr>
        <w:t>E</w:t>
      </w:r>
      <w:r w:rsidRPr="00CB24C5">
        <w:rPr>
          <w:i/>
        </w:rPr>
        <w:t>xternal</w:t>
      </w:r>
      <w:proofErr w:type="spellEnd"/>
      <w:r w:rsidRPr="00CB24C5">
        <w:rPr>
          <w:i/>
        </w:rPr>
        <w:t xml:space="preserve"> </w:t>
      </w:r>
      <w:proofErr w:type="spellStart"/>
      <w:r w:rsidR="00CB24C5" w:rsidRPr="00CB24C5">
        <w:rPr>
          <w:i/>
        </w:rPr>
        <w:t>T</w:t>
      </w:r>
      <w:r w:rsidRPr="00CB24C5">
        <w:rPr>
          <w:i/>
        </w:rPr>
        <w:t>ables</w:t>
      </w:r>
      <w:proofErr w:type="spellEnd"/>
      <w:r>
        <w:t>, czy procedury (</w:t>
      </w:r>
      <w:proofErr w:type="spellStart"/>
      <w:r w:rsidR="00CB24C5">
        <w:rPr>
          <w:i/>
        </w:rPr>
        <w:t>S</w:t>
      </w:r>
      <w:r w:rsidRPr="00CB24C5">
        <w:rPr>
          <w:i/>
        </w:rPr>
        <w:t>tored</w:t>
      </w:r>
      <w:proofErr w:type="spellEnd"/>
      <w:r w:rsidRPr="00CB24C5">
        <w:rPr>
          <w:i/>
        </w:rPr>
        <w:t xml:space="preserve"> </w:t>
      </w:r>
      <w:proofErr w:type="spellStart"/>
      <w:r w:rsidR="00CB24C5">
        <w:rPr>
          <w:i/>
        </w:rPr>
        <w:t>P</w:t>
      </w:r>
      <w:r w:rsidRPr="00CB24C5">
        <w:rPr>
          <w:i/>
        </w:rPr>
        <w:t>rocedures</w:t>
      </w:r>
      <w:proofErr w:type="spellEnd"/>
      <w:r>
        <w:t xml:space="preserve">). </w:t>
      </w:r>
    </w:p>
    <w:p w14:paraId="509C09CF" w14:textId="77777777" w:rsidR="003157D8" w:rsidRDefault="003157D8" w:rsidP="00506A56">
      <w:r>
        <w:t xml:space="preserve">Natomiast interfejsy aplikacyjne obsługiwane są przez dedykowane moduły (aplikacje), które zapisują dane do warstwy buforowej (DSA). </w:t>
      </w:r>
      <w:r w:rsidR="00F124D0">
        <w:t>Dane te są potem przetwarzane przez procesy ETL uruchamiane wg. harmonogramu. Niektóre a</w:t>
      </w:r>
      <w:r>
        <w:t>plikacje interfejsowe mogą</w:t>
      </w:r>
      <w:r w:rsidR="00F124D0">
        <w:t>, w odpowiedzi na wywołanie odpowiedniej usługi</w:t>
      </w:r>
      <w:r>
        <w:t xml:space="preserve"> wyzwolić proces </w:t>
      </w:r>
      <w:r w:rsidR="00F124D0">
        <w:t>ODI</w:t>
      </w:r>
      <w:r>
        <w:t xml:space="preserve">, który dalej przetwarza te dane. </w:t>
      </w:r>
    </w:p>
    <w:p w14:paraId="0D311FD8" w14:textId="77777777" w:rsidR="003827A7" w:rsidRDefault="003827A7" w:rsidP="00506A56">
      <w:r>
        <w:t>Takie aplikacje to:</w:t>
      </w:r>
    </w:p>
    <w:p w14:paraId="309F6C8C" w14:textId="77777777" w:rsidR="003827A7" w:rsidRDefault="003827A7" w:rsidP="003827A7">
      <w:pPr>
        <w:pStyle w:val="Akapitzlist"/>
        <w:numPr>
          <w:ilvl w:val="0"/>
          <w:numId w:val="6"/>
        </w:numPr>
      </w:pPr>
      <w:proofErr w:type="spellStart"/>
      <w:r>
        <w:t>Endpoint</w:t>
      </w:r>
      <w:proofErr w:type="spellEnd"/>
      <w:r>
        <w:t xml:space="preserve"> OSB</w:t>
      </w:r>
    </w:p>
    <w:p w14:paraId="6F1410D9" w14:textId="6888FE28" w:rsidR="004660C2" w:rsidRDefault="004660C2" w:rsidP="004660C2">
      <w:pPr>
        <w:pStyle w:val="Akapitzlist"/>
      </w:pPr>
      <w:r>
        <w:t xml:space="preserve">Interfejs integrujący CBP z szyną korporacyjną OSB zrealizowany oparty o usługi </w:t>
      </w:r>
      <w:proofErr w:type="spellStart"/>
      <w:r w:rsidR="00CB24C5">
        <w:t>WebService</w:t>
      </w:r>
      <w:proofErr w:type="spellEnd"/>
      <w:r>
        <w:t xml:space="preserve">. </w:t>
      </w:r>
      <w:r w:rsidR="00600B63">
        <w:t xml:space="preserve">Obecnie działają dwie </w:t>
      </w:r>
      <w:r>
        <w:t xml:space="preserve">Przeznaczony jest obecnie głównie do zbierania informacji o Zleceniach OT (zabudowy liczników) i punktach PPE. Obecnie CBP jest jedynie konsumentem informacji, natomiast planowane są zmiany </w:t>
      </w:r>
      <w:r w:rsidR="00EB1990">
        <w:t>procesów zaimplementowanych w warstwie integracji, w ramach których zmianie ulegnie również rola CBP.</w:t>
      </w:r>
    </w:p>
    <w:p w14:paraId="6FD73470" w14:textId="77777777" w:rsidR="003827A7" w:rsidRDefault="003827A7" w:rsidP="003827A7">
      <w:pPr>
        <w:pStyle w:val="Akapitzlist"/>
        <w:numPr>
          <w:ilvl w:val="0"/>
          <w:numId w:val="6"/>
        </w:numPr>
      </w:pPr>
      <w:r>
        <w:lastRenderedPageBreak/>
        <w:t>Adapter ADO</w:t>
      </w:r>
      <w:r w:rsidR="00EB1990">
        <w:br/>
        <w:t xml:space="preserve">Interfejs </w:t>
      </w:r>
      <w:proofErr w:type="spellStart"/>
      <w:r w:rsidR="00CB24C5">
        <w:t>WebService</w:t>
      </w:r>
      <w:proofErr w:type="spellEnd"/>
      <w:r w:rsidR="00EB1990">
        <w:t xml:space="preserve"> wykorzystywany przez system akwizycyjny ADO do powiadamiania o przygotowaniu paczki danych do pobrania przez CBP.</w:t>
      </w:r>
    </w:p>
    <w:p w14:paraId="2E03A433" w14:textId="1D9DA304" w:rsidR="003827A7" w:rsidRDefault="003827A7" w:rsidP="003827A7">
      <w:pPr>
        <w:pStyle w:val="Akapitzlist"/>
        <w:numPr>
          <w:ilvl w:val="0"/>
          <w:numId w:val="6"/>
        </w:numPr>
      </w:pPr>
      <w:r>
        <w:t>Adapter HES</w:t>
      </w:r>
      <w:r w:rsidR="00EB1990">
        <w:br/>
        <w:t xml:space="preserve">Interfejs </w:t>
      </w:r>
      <w:proofErr w:type="spellStart"/>
      <w:r w:rsidR="00CB24C5">
        <w:t>WebService</w:t>
      </w:r>
      <w:proofErr w:type="spellEnd"/>
      <w:r w:rsidR="00EB1990">
        <w:t xml:space="preserve"> obsługujący komunikację zwrotną z interfejsu systemu HES</w:t>
      </w:r>
      <w:r w:rsidR="00EB7A16">
        <w:t>/AMR</w:t>
      </w:r>
      <w:r w:rsidR="00EB1990">
        <w:t>, w tym potwierdzenia wykonania komend sterujących i powiadomienie o wygenerowaniu plików z danymi odczytowymi.</w:t>
      </w:r>
      <w:r w:rsidR="00EB7A16">
        <w:t xml:space="preserve"> Ta aplikacja dedykowana jest dla systemu akwizycyjnego. Na chwilę obecną obsługiwane są 3 systemy, z czego 2 wykorzystują usługi </w:t>
      </w:r>
      <w:proofErr w:type="spellStart"/>
      <w:r w:rsidR="00EB7A16">
        <w:t>WebSerwice</w:t>
      </w:r>
      <w:proofErr w:type="spellEnd"/>
      <w:r w:rsidR="00EB7A16">
        <w:t xml:space="preserve"> (SOAP) a trzeci kolejki JMS.  </w:t>
      </w:r>
    </w:p>
    <w:p w14:paraId="5CBF0793" w14:textId="3D520B4A" w:rsidR="003827A7" w:rsidRDefault="003827A7" w:rsidP="003827A7">
      <w:pPr>
        <w:pStyle w:val="Akapitzlist"/>
        <w:numPr>
          <w:ilvl w:val="0"/>
          <w:numId w:val="6"/>
        </w:numPr>
      </w:pPr>
      <w:r>
        <w:t>Adapter Bezpieczeństwa</w:t>
      </w:r>
      <w:r w:rsidR="00EB1990">
        <w:br/>
        <w:t xml:space="preserve">Interfejs </w:t>
      </w:r>
      <w:proofErr w:type="spellStart"/>
      <w:r w:rsidR="00CB24C5">
        <w:t>WebService</w:t>
      </w:r>
      <w:proofErr w:type="spellEnd"/>
      <w:r w:rsidR="00EB1990">
        <w:t xml:space="preserve"> będący jedyną drogą do zlecania komend </w:t>
      </w:r>
      <w:r w:rsidR="001D259B">
        <w:t xml:space="preserve">sterujących zarówno przez GUI CBP jak i aplikacje zewnętrzne </w:t>
      </w:r>
      <w:proofErr w:type="spellStart"/>
      <w:r w:rsidR="001D259B">
        <w:t>SmartLPP</w:t>
      </w:r>
      <w:proofErr w:type="spellEnd"/>
      <w:r w:rsidR="001D259B">
        <w:t xml:space="preserve"> i </w:t>
      </w:r>
      <w:proofErr w:type="spellStart"/>
      <w:r w:rsidR="001D259B">
        <w:t>eLicznik</w:t>
      </w:r>
      <w:proofErr w:type="spellEnd"/>
      <w:r w:rsidR="001D259B">
        <w:t xml:space="preserve">. Jest to jedyna aplikacja, która ma prawo do zapisu do bazy sterującej. Wysyłanie komend jest zabezpieczone przez </w:t>
      </w:r>
      <w:proofErr w:type="spellStart"/>
      <w:r w:rsidR="001D259B">
        <w:t>token</w:t>
      </w:r>
      <w:proofErr w:type="spellEnd"/>
      <w:r w:rsidR="001D259B">
        <w:t xml:space="preserve"> generowany na podstawie treści komunikatu. </w:t>
      </w:r>
      <w:proofErr w:type="spellStart"/>
      <w:r w:rsidR="001D259B">
        <w:t>Token</w:t>
      </w:r>
      <w:proofErr w:type="spellEnd"/>
      <w:r w:rsidR="001D259B">
        <w:t xml:space="preserve"> jest generowany przez aplikację wysyłającą i weryfikowany przez Adapter Bezpieczeństwa</w:t>
      </w:r>
      <w:r w:rsidR="00B631AD">
        <w:t>.</w:t>
      </w:r>
    </w:p>
    <w:p w14:paraId="135BA250" w14:textId="6A3C4CBB" w:rsidR="00FC77F3" w:rsidRDefault="00FC77F3" w:rsidP="0078237B">
      <w:r>
        <w:t xml:space="preserve">Kolejki JMS wykorzystywane są </w:t>
      </w:r>
      <w:r w:rsidR="00EE7589">
        <w:t xml:space="preserve">przez interfejs jednego z </w:t>
      </w:r>
      <w:r>
        <w:t>system</w:t>
      </w:r>
      <w:r w:rsidR="00EE7589">
        <w:t>ów</w:t>
      </w:r>
      <w:r>
        <w:t xml:space="preserve"> akwizycyjny</w:t>
      </w:r>
      <w:r w:rsidR="00EE7589">
        <w:t>ch (</w:t>
      </w:r>
      <w:proofErr w:type="spellStart"/>
      <w:r>
        <w:t>Gridstream</w:t>
      </w:r>
      <w:proofErr w:type="spellEnd"/>
      <w:r>
        <w:t xml:space="preserve"> HES</w:t>
      </w:r>
      <w:r w:rsidR="00EE7589">
        <w:t>)</w:t>
      </w:r>
      <w:r w:rsidR="00EB7A16">
        <w:t>. Broker kolejek</w:t>
      </w:r>
      <w:r w:rsidR="00EB7A16" w:rsidRPr="00DF5717">
        <w:rPr>
          <w:rFonts w:cstheme="minorHAnsi"/>
        </w:rPr>
        <w:t xml:space="preserve"> Apache </w:t>
      </w:r>
      <w:proofErr w:type="spellStart"/>
      <w:r w:rsidR="00EB7A16" w:rsidRPr="00DF5717">
        <w:rPr>
          <w:rFonts w:cstheme="minorHAnsi"/>
        </w:rPr>
        <w:t>ActiveMQ</w:t>
      </w:r>
      <w:proofErr w:type="spellEnd"/>
      <w:r w:rsidR="00EB7A16" w:rsidRPr="00DF5717">
        <w:rPr>
          <w:rFonts w:cstheme="minorHAnsi"/>
        </w:rPr>
        <w:t xml:space="preserve"> </w:t>
      </w:r>
      <w:r>
        <w:t>jest integralną częścią systemu źródłowego</w:t>
      </w:r>
      <w:r w:rsidR="00EE7589">
        <w:t xml:space="preserve"> i zapewnia komunikację pomiędzy</w:t>
      </w:r>
      <w:r w:rsidR="00EB7A16">
        <w:t xml:space="preserve"> jego</w:t>
      </w:r>
      <w:r w:rsidR="00EE7589">
        <w:t xml:space="preserve"> </w:t>
      </w:r>
      <w:r w:rsidR="00EB7A16">
        <w:t>modułami i systemami zewnętrznymi</w:t>
      </w:r>
      <w:r>
        <w:t xml:space="preserve">. </w:t>
      </w:r>
      <w:r w:rsidR="00EB7A16">
        <w:t>Dla celów komunikacji z CBP zostały zdefiniowane 4 dedykowane kolejki. Dwie z nich przeznaczone są do przesyłania danych odczytowych, a p</w:t>
      </w:r>
      <w:r>
        <w:t xml:space="preserve">o stronie CBP zaimplementowano </w:t>
      </w:r>
      <w:proofErr w:type="spellStart"/>
      <w:r>
        <w:t>konsumery</w:t>
      </w:r>
      <w:proofErr w:type="spellEnd"/>
      <w:r>
        <w:t xml:space="preserve"> danych </w:t>
      </w:r>
      <w:r w:rsidR="00EB7A16">
        <w:t xml:space="preserve">(aplikacje Java) </w:t>
      </w:r>
      <w:r>
        <w:t>pobierające dane z kolejek i zapisujące do warstwy DSA.</w:t>
      </w:r>
      <w:r w:rsidR="00EB7A16">
        <w:t xml:space="preserve"> Pozostałe dwie kolejki zapewniają sterowanie licznikami: wysyłanie komend i odbieranie odpowiedzi.</w:t>
      </w:r>
    </w:p>
    <w:p w14:paraId="27928472" w14:textId="77777777" w:rsidR="003157D8" w:rsidRDefault="003157D8" w:rsidP="00506A56"/>
    <w:p w14:paraId="3AEFCE6C" w14:textId="77777777" w:rsidR="0029103F" w:rsidRPr="00C6190E" w:rsidRDefault="0029103F" w:rsidP="003827A7">
      <w:pPr>
        <w:pStyle w:val="Nagwek2"/>
      </w:pPr>
      <w:r>
        <w:br/>
      </w:r>
      <w:r w:rsidRPr="00C6190E">
        <w:t>Procesy ETL</w:t>
      </w:r>
    </w:p>
    <w:p w14:paraId="1CCEEA3D" w14:textId="77777777" w:rsidR="0029103F" w:rsidRPr="006712DC" w:rsidRDefault="0029103F" w:rsidP="00506A56">
      <w:r w:rsidRPr="006712DC">
        <w:t xml:space="preserve">Procesy ETL </w:t>
      </w:r>
      <w:r w:rsidR="003827A7">
        <w:t>realizują główne</w:t>
      </w:r>
      <w:r w:rsidRPr="006712DC">
        <w:t xml:space="preserve"> </w:t>
      </w:r>
      <w:r w:rsidR="003827A7">
        <w:t xml:space="preserve">zadania </w:t>
      </w:r>
      <w:r w:rsidRPr="006712DC">
        <w:t>przetwarzani</w:t>
      </w:r>
      <w:r w:rsidR="003827A7">
        <w:t>a</w:t>
      </w:r>
      <w:r w:rsidRPr="006712DC">
        <w:t xml:space="preserve"> danych</w:t>
      </w:r>
      <w:r w:rsidR="003827A7">
        <w:t xml:space="preserve"> obejmujące</w:t>
      </w:r>
      <w:r w:rsidRPr="006712DC">
        <w:t>:</w:t>
      </w:r>
    </w:p>
    <w:p w14:paraId="48FCFA4E" w14:textId="77777777" w:rsidR="0029103F" w:rsidRPr="006712DC" w:rsidRDefault="0029103F" w:rsidP="00506A56">
      <w:pPr>
        <w:pStyle w:val="Akapitzlist"/>
        <w:numPr>
          <w:ilvl w:val="0"/>
          <w:numId w:val="5"/>
        </w:numPr>
      </w:pPr>
      <w:r w:rsidRPr="006712DC">
        <w:t>Pobieran</w:t>
      </w:r>
      <w:r w:rsidR="003827A7">
        <w:t>ie dan</w:t>
      </w:r>
      <w:r w:rsidRPr="006712DC">
        <w:t>ych z Interfejsów,</w:t>
      </w:r>
    </w:p>
    <w:p w14:paraId="2C1B5B81" w14:textId="77777777" w:rsidR="0029103F" w:rsidRPr="006712DC" w:rsidRDefault="003827A7" w:rsidP="00506A56">
      <w:pPr>
        <w:pStyle w:val="Akapitzlist"/>
        <w:numPr>
          <w:ilvl w:val="0"/>
          <w:numId w:val="5"/>
        </w:numPr>
      </w:pPr>
      <w:r>
        <w:t>Przetwarzanie danych</w:t>
      </w:r>
      <w:r w:rsidR="0029103F" w:rsidRPr="006712DC">
        <w:t xml:space="preserve"> w Repozytorium (np. VEE),</w:t>
      </w:r>
    </w:p>
    <w:p w14:paraId="30921D2F" w14:textId="77777777" w:rsidR="0029103F" w:rsidRPr="006712DC" w:rsidRDefault="003827A7" w:rsidP="00506A56">
      <w:pPr>
        <w:pStyle w:val="Akapitzlist"/>
        <w:numPr>
          <w:ilvl w:val="0"/>
          <w:numId w:val="5"/>
        </w:numPr>
      </w:pPr>
      <w:r>
        <w:t>Udostępnianie danych</w:t>
      </w:r>
    </w:p>
    <w:p w14:paraId="70766C30" w14:textId="77777777" w:rsidR="0029103F" w:rsidRPr="006712DC" w:rsidRDefault="0029103F" w:rsidP="00506A56">
      <w:r w:rsidRPr="006712DC">
        <w:t>Procesy ETL są zaimplementowane w technologi</w:t>
      </w:r>
      <w:r w:rsidR="003827A7">
        <w:t xml:space="preserve">i </w:t>
      </w:r>
      <w:r w:rsidRPr="006712DC">
        <w:t>Oracle Data Integrator</w:t>
      </w:r>
      <w:r w:rsidR="003827A7">
        <w:t xml:space="preserve"> 11</w:t>
      </w:r>
      <w:r w:rsidRPr="006712DC">
        <w:t>,</w:t>
      </w:r>
      <w:r w:rsidR="003827A7">
        <w:t xml:space="preserve"> z wykorzystaniem </w:t>
      </w:r>
      <w:r w:rsidRPr="006712DC">
        <w:t xml:space="preserve">PL/SQL – </w:t>
      </w:r>
      <w:r w:rsidR="003827A7">
        <w:t>część złożonych zadań bądź funkcjonalności wykorzystywanej w różnych procesach</w:t>
      </w:r>
      <w:r w:rsidR="00CB24C5">
        <w:t>,</w:t>
      </w:r>
      <w:r w:rsidR="003827A7">
        <w:t xml:space="preserve"> została zaimplementowana jako</w:t>
      </w:r>
      <w:r w:rsidRPr="006712DC">
        <w:t xml:space="preserve"> pakiety i procedury bazodanowe (np. </w:t>
      </w:r>
      <w:proofErr w:type="spellStart"/>
      <w:r w:rsidRPr="006712DC">
        <w:t>framework</w:t>
      </w:r>
      <w:proofErr w:type="spellEnd"/>
      <w:r w:rsidRPr="006712DC">
        <w:t xml:space="preserve"> VEE, obsługa metadanych, bilansowanie handlowe)</w:t>
      </w:r>
      <w:r w:rsidR="00CB24C5">
        <w:t xml:space="preserve">. </w:t>
      </w:r>
      <w:r w:rsidRPr="006712DC">
        <w:t>Aktualnie zaimplementowanych jest ok. 120 typów procesów</w:t>
      </w:r>
      <w:r w:rsidR="00CB24C5">
        <w:t>.</w:t>
      </w:r>
    </w:p>
    <w:p w14:paraId="0A215EA8" w14:textId="77777777" w:rsidR="0029103F" w:rsidRDefault="00F41959" w:rsidP="00506A56">
      <w:r>
        <w:t>K</w:t>
      </w:r>
      <w:r w:rsidR="0029103F" w:rsidRPr="006712DC">
        <w:t xml:space="preserve">ażdy proces przydzielony jest do strumienia danych. Strumień danych to </w:t>
      </w:r>
      <w:r>
        <w:t xml:space="preserve">zestaw danych wejściowych, który może być przetwarzany niezależnie. Może to być </w:t>
      </w:r>
      <w:r w:rsidR="00CB24C5">
        <w:t>komplet</w:t>
      </w:r>
      <w:r>
        <w:t xml:space="preserve"> danych z jednego źródła lub ich podzbiór – np. wybrany rodzaj energii. Koncepcja strumieni pozwala na odpowiednią organizację struktur danych (tabele, partycje) i </w:t>
      </w:r>
      <w:r w:rsidR="0029103F" w:rsidRPr="006712DC">
        <w:t>techniczny podział procesów  pozwalający na równoległe przetwarzanie danych.</w:t>
      </w:r>
    </w:p>
    <w:p w14:paraId="3D391831" w14:textId="77777777" w:rsidR="001D259B" w:rsidRPr="006712DC" w:rsidRDefault="001D259B" w:rsidP="00506A56"/>
    <w:p w14:paraId="5261DC60" w14:textId="77777777" w:rsidR="001D259B" w:rsidRDefault="001D259B" w:rsidP="001D259B">
      <w:pPr>
        <w:pStyle w:val="Nagwek2"/>
      </w:pPr>
      <w:r>
        <w:lastRenderedPageBreak/>
        <w:t>Silniki funkcjonalne</w:t>
      </w:r>
    </w:p>
    <w:p w14:paraId="25059618" w14:textId="09DB25A0" w:rsidR="00FC77F3" w:rsidRDefault="00CB24C5" w:rsidP="001D259B">
      <w:r>
        <w:t>Silniki, to a</w:t>
      </w:r>
      <w:r w:rsidR="005E31D5">
        <w:t>plikacje</w:t>
      </w:r>
      <w:r w:rsidR="001D259B">
        <w:t xml:space="preserve"> realizujące</w:t>
      </w:r>
      <w:r>
        <w:t>,</w:t>
      </w:r>
      <w:r w:rsidR="001D259B">
        <w:t xml:space="preserve"> w sposób zautomatyzowany, określone funkcjonalności GUI inne niż masowe przetwarzanie danych. Obecnie </w:t>
      </w:r>
      <w:r w:rsidR="00FC77F3">
        <w:t xml:space="preserve">są zaimplementowane następujące </w:t>
      </w:r>
      <w:r w:rsidR="001D259B">
        <w:t xml:space="preserve"> komponent</w:t>
      </w:r>
      <w:r w:rsidR="00FC77F3">
        <w:t>y</w:t>
      </w:r>
      <w:r w:rsidR="001D259B">
        <w:t xml:space="preserve"> tego typu: </w:t>
      </w:r>
    </w:p>
    <w:p w14:paraId="14DFDBFF" w14:textId="2CC24A7B" w:rsidR="001D259B" w:rsidRDefault="001D259B" w:rsidP="0078237B">
      <w:pPr>
        <w:pStyle w:val="Akapitzlist"/>
        <w:numPr>
          <w:ilvl w:val="0"/>
          <w:numId w:val="5"/>
        </w:numPr>
      </w:pPr>
      <w:r>
        <w:t>Adapter</w:t>
      </w:r>
      <w:r w:rsidR="00FC77F3">
        <w:t>y</w:t>
      </w:r>
      <w:r>
        <w:t xml:space="preserve"> Sterowania</w:t>
      </w:r>
      <w:r w:rsidR="00FC77F3">
        <w:t xml:space="preserve"> - o</w:t>
      </w:r>
      <w:r>
        <w:t>dpowiada</w:t>
      </w:r>
      <w:r w:rsidR="00FC77F3">
        <w:t>ją</w:t>
      </w:r>
      <w:r>
        <w:t xml:space="preserve"> za procesowanie komend sterujących: skanowanie kolejki, obsługę stanów (w tym ponawianie komend), realizację sekwencji komend oraz komunikację z interfejsem systemu HES (wysyłanie komend).</w:t>
      </w:r>
      <w:r w:rsidR="00FC77F3">
        <w:t xml:space="preserve"> Dla każdego systemu akwizycyjnego </w:t>
      </w:r>
      <w:r w:rsidR="00033CE5">
        <w:t>przygotowany jest</w:t>
      </w:r>
      <w:r w:rsidR="00FC77F3">
        <w:t xml:space="preserve"> dedykowany adapter</w:t>
      </w:r>
      <w:r w:rsidR="00EB7A16">
        <w:t xml:space="preserve"> dostosowany do interfejsu udostępnianego przez HES.</w:t>
      </w:r>
      <w:r w:rsidR="00FC77F3">
        <w:t xml:space="preserve"> </w:t>
      </w:r>
      <w:r w:rsidR="00EB7A16">
        <w:t>W</w:t>
      </w:r>
      <w:r w:rsidR="00FC77F3">
        <w:t>szystkie bazują na wspólnej bibl</w:t>
      </w:r>
      <w:r w:rsidR="00033CE5">
        <w:t>i</w:t>
      </w:r>
      <w:r w:rsidR="00FC77F3">
        <w:t>otece</w:t>
      </w:r>
      <w:r w:rsidR="00EB7A16">
        <w:t xml:space="preserve"> zapewniającą jednolitą obsługę komend po stronie CBP</w:t>
      </w:r>
      <w:r w:rsidR="00033CE5">
        <w:t xml:space="preserve">. Obecnie </w:t>
      </w:r>
      <w:r w:rsidR="00EB7A16">
        <w:t xml:space="preserve">obsługiwane są </w:t>
      </w:r>
      <w:r w:rsidR="00033CE5">
        <w:t>3</w:t>
      </w:r>
      <w:r w:rsidR="00EB7A16">
        <w:t xml:space="preserve"> systemy akwizycyjne</w:t>
      </w:r>
      <w:r w:rsidR="00033CE5">
        <w:t>.</w:t>
      </w:r>
    </w:p>
    <w:p w14:paraId="67ABD8C5" w14:textId="667F7C5E" w:rsidR="00033CE5" w:rsidRPr="001D259B" w:rsidRDefault="00033CE5" w:rsidP="0078237B">
      <w:pPr>
        <w:pStyle w:val="Akapitzlist"/>
        <w:numPr>
          <w:ilvl w:val="0"/>
          <w:numId w:val="5"/>
        </w:numPr>
      </w:pPr>
      <w:r>
        <w:t>Silnik czynności na liczniku – obsługuje polecenia pracy realizowane zdalnie na liczniku jak.np. włączenie, włączenie czy zmiana taryfy na liczniku wraz z powiązanymi odczytami.</w:t>
      </w:r>
    </w:p>
    <w:p w14:paraId="6B0777E9" w14:textId="77777777" w:rsidR="001D259B" w:rsidRPr="00C6190E" w:rsidRDefault="001D259B" w:rsidP="001D259B">
      <w:pPr>
        <w:pStyle w:val="Nagwek2"/>
      </w:pPr>
      <w:r w:rsidRPr="00C6190E">
        <w:t>Aplikacja GUI</w:t>
      </w:r>
    </w:p>
    <w:p w14:paraId="18902147" w14:textId="77777777" w:rsidR="0029103F" w:rsidRPr="006712DC" w:rsidRDefault="0029103F" w:rsidP="00506A56">
      <w:r w:rsidRPr="006712DC">
        <w:t>Komponent</w:t>
      </w:r>
      <w:r>
        <w:t xml:space="preserve"> </w:t>
      </w:r>
      <w:r w:rsidR="00F41959">
        <w:t>systemu, który</w:t>
      </w:r>
      <w:r w:rsidRPr="006712DC">
        <w:t>, umożliwia operatorom sprawowanie kontroli nad wybranymi funkcjonalnościami systemu.</w:t>
      </w:r>
    </w:p>
    <w:p w14:paraId="6C596F8A" w14:textId="77777777" w:rsidR="0029103F" w:rsidRPr="006712DC" w:rsidRDefault="0029103F" w:rsidP="00506A56">
      <w:r w:rsidRPr="006712DC">
        <w:t>Do podstawowych funkcjonalności realizowanych przez aplikację GUI, należą:</w:t>
      </w:r>
    </w:p>
    <w:p w14:paraId="3E18FDAA" w14:textId="77777777" w:rsidR="0029103F" w:rsidRPr="006712DC" w:rsidRDefault="0029103F" w:rsidP="00506A56">
      <w:pPr>
        <w:pStyle w:val="Akapitzlist"/>
        <w:numPr>
          <w:ilvl w:val="0"/>
          <w:numId w:val="7"/>
        </w:numPr>
      </w:pPr>
      <w:r w:rsidRPr="006712DC">
        <w:t>Przeglądanie wybranych danych konfiguracyjnych (PPE, Liczniki),</w:t>
      </w:r>
    </w:p>
    <w:p w14:paraId="5FC83866" w14:textId="77777777" w:rsidR="0029103F" w:rsidRPr="006712DC" w:rsidRDefault="0029103F" w:rsidP="00506A56">
      <w:pPr>
        <w:pStyle w:val="Akapitzlist"/>
        <w:numPr>
          <w:ilvl w:val="0"/>
          <w:numId w:val="7"/>
        </w:numPr>
      </w:pPr>
      <w:r w:rsidRPr="006712DC">
        <w:t>Przeglądanie i korekty danych pomiarowych,</w:t>
      </w:r>
    </w:p>
    <w:p w14:paraId="1F289280" w14:textId="77777777" w:rsidR="0029103F" w:rsidRPr="006712DC" w:rsidRDefault="0029103F" w:rsidP="00506A56">
      <w:pPr>
        <w:pStyle w:val="Akapitzlist"/>
        <w:numPr>
          <w:ilvl w:val="0"/>
          <w:numId w:val="7"/>
        </w:numPr>
      </w:pPr>
      <w:r w:rsidRPr="006712DC">
        <w:t>Wysyłanie komend sterujących do licznika,</w:t>
      </w:r>
    </w:p>
    <w:p w14:paraId="7288EC1F" w14:textId="77777777" w:rsidR="0029103F" w:rsidRPr="006712DC" w:rsidRDefault="0029103F" w:rsidP="00506A56">
      <w:pPr>
        <w:pStyle w:val="Akapitzlist"/>
        <w:numPr>
          <w:ilvl w:val="0"/>
          <w:numId w:val="7"/>
        </w:numPr>
      </w:pPr>
      <w:r w:rsidRPr="006712DC">
        <w:t>Zarządzanie procesami - uruchamianie procesów na bazie danych, monitorowanie stanu przetwarzania,</w:t>
      </w:r>
    </w:p>
    <w:p w14:paraId="09D7673D" w14:textId="77777777" w:rsidR="0029103F" w:rsidRPr="006712DC" w:rsidRDefault="0029103F" w:rsidP="00506A56">
      <w:pPr>
        <w:pStyle w:val="Akapitzlist"/>
        <w:numPr>
          <w:ilvl w:val="0"/>
          <w:numId w:val="7"/>
        </w:numPr>
      </w:pPr>
      <w:r w:rsidRPr="006712DC">
        <w:t>Administracja – zarządzanie parametrami systemu i użytkownikami.</w:t>
      </w:r>
    </w:p>
    <w:p w14:paraId="27A039F2" w14:textId="77777777" w:rsidR="0029103F" w:rsidRPr="006712DC" w:rsidRDefault="0029103F" w:rsidP="00506A56">
      <w:r w:rsidRPr="006712DC">
        <w:t>Aplikacja GUI została zbudowana jako „cienki klient”, czyli jako aplikacja zainstalowana na serwerze aplikacyjnym i dostępna dla użytkowników za pośrednictwem przeglądarki internetowej jako witryna WWW.</w:t>
      </w:r>
    </w:p>
    <w:p w14:paraId="48DBC7E3" w14:textId="77777777" w:rsidR="0029103F" w:rsidRPr="006712DC" w:rsidRDefault="0029103F" w:rsidP="00506A56">
      <w:pPr>
        <w:pStyle w:val="Nagwek1"/>
      </w:pPr>
      <w:r w:rsidRPr="006712DC">
        <w:t>Wykaz dokumentacji</w:t>
      </w:r>
    </w:p>
    <w:p w14:paraId="32903A8A" w14:textId="66882018" w:rsidR="0029103F" w:rsidRPr="00B210B9" w:rsidRDefault="0029103F" w:rsidP="00506A56">
      <w:r w:rsidRPr="00B210B9">
        <w:t xml:space="preserve">W poniższej tabeli znajduje się wykaz dokumentacji </w:t>
      </w:r>
      <w:r>
        <w:t>S</w:t>
      </w:r>
      <w:r w:rsidRPr="00B210B9">
        <w:t xml:space="preserve">ystemu, która zostanie udostępniona Wykonawcy wraz z </w:t>
      </w:r>
      <w:r>
        <w:t>K</w:t>
      </w:r>
      <w:r w:rsidRPr="00B210B9">
        <w:t xml:space="preserve">odami </w:t>
      </w:r>
      <w:r>
        <w:t>Ź</w:t>
      </w:r>
      <w:r w:rsidRPr="00B210B9">
        <w:t>ródłowymi przed rozpoczęciem realizacji Usługi</w:t>
      </w:r>
      <w:r w:rsidR="006D69FB">
        <w:t xml:space="preserve"> (stan na dzień tworzenia niniejszego załącznika)</w:t>
      </w:r>
      <w:r w:rsidRPr="00B210B9">
        <w:t>.</w:t>
      </w:r>
      <w:r w:rsidR="006D69FB">
        <w:t xml:space="preserve"> </w:t>
      </w:r>
    </w:p>
    <w:p w14:paraId="62228943" w14:textId="77777777" w:rsidR="0029103F" w:rsidRPr="00B210B9" w:rsidRDefault="0029103F" w:rsidP="00506A5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08"/>
        <w:gridCol w:w="4854"/>
      </w:tblGrid>
      <w:tr w:rsidR="0029103F" w:rsidRPr="00B210B9" w14:paraId="1197FF32" w14:textId="77777777" w:rsidTr="00EB1990">
        <w:trPr>
          <w:trHeight w:val="420"/>
          <w:tblHeader/>
        </w:trPr>
        <w:tc>
          <w:tcPr>
            <w:tcW w:w="279" w:type="dxa"/>
            <w:shd w:val="pct10" w:color="auto" w:fill="auto"/>
            <w:noWrap/>
            <w:hideMark/>
          </w:tcPr>
          <w:p w14:paraId="61F8B3F7" w14:textId="77777777" w:rsidR="0029103F" w:rsidRPr="00E14A3C" w:rsidRDefault="0029103F" w:rsidP="00506A56"/>
          <w:p w14:paraId="1D1D08C3" w14:textId="77777777" w:rsidR="0029103F" w:rsidRPr="00E14A3C" w:rsidRDefault="0029103F" w:rsidP="00506A56">
            <w:r w:rsidRPr="00E14A3C">
              <w:t>Nazwa dokumentu</w:t>
            </w:r>
          </w:p>
          <w:p w14:paraId="7DE5E83E" w14:textId="77777777" w:rsidR="0029103F" w:rsidRPr="00E14A3C" w:rsidRDefault="0029103F" w:rsidP="00506A56"/>
        </w:tc>
        <w:tc>
          <w:tcPr>
            <w:tcW w:w="8783" w:type="dxa"/>
            <w:shd w:val="pct10" w:color="auto" w:fill="auto"/>
            <w:noWrap/>
            <w:hideMark/>
          </w:tcPr>
          <w:p w14:paraId="780B96B2" w14:textId="77777777" w:rsidR="0029103F" w:rsidRPr="00E14A3C" w:rsidRDefault="0029103F" w:rsidP="00506A56"/>
          <w:p w14:paraId="6FA11463" w14:textId="77777777" w:rsidR="0029103F" w:rsidRPr="00E14A3C" w:rsidRDefault="0029103F" w:rsidP="00506A56">
            <w:r w:rsidRPr="00E14A3C">
              <w:t>Opis</w:t>
            </w:r>
          </w:p>
        </w:tc>
      </w:tr>
      <w:tr w:rsidR="0029103F" w:rsidRPr="00B210B9" w14:paraId="62FDF755" w14:textId="77777777" w:rsidTr="00EB1990">
        <w:trPr>
          <w:trHeight w:val="300"/>
        </w:trPr>
        <w:tc>
          <w:tcPr>
            <w:tcW w:w="279" w:type="dxa"/>
            <w:noWrap/>
            <w:hideMark/>
          </w:tcPr>
          <w:p w14:paraId="0F25E3EE" w14:textId="77777777" w:rsidR="0029103F" w:rsidRPr="00E14A3C" w:rsidRDefault="0029103F" w:rsidP="00506A56">
            <w:r w:rsidRPr="00E14A3C">
              <w:t>REDAP2-CBP.ADO.DRO WO.w.2.1.docx</w:t>
            </w:r>
          </w:p>
        </w:tc>
        <w:tc>
          <w:tcPr>
            <w:tcW w:w="8783" w:type="dxa"/>
            <w:noWrap/>
            <w:hideMark/>
          </w:tcPr>
          <w:p w14:paraId="3BA5CEDE" w14:textId="77777777" w:rsidR="0029103F" w:rsidRPr="00E14A3C" w:rsidRDefault="0029103F" w:rsidP="00506A56">
            <w:r w:rsidRPr="00E14A3C">
              <w:t xml:space="preserve">Dokument zawiera podstawowe informacje dotyczące głównego procesu udostępnienia danych z repozytorium Systemu do systemu zewnętrznego ADO na potrzeby rozliczeń billingowych klientów WO. </w:t>
            </w:r>
          </w:p>
        </w:tc>
      </w:tr>
      <w:tr w:rsidR="0029103F" w:rsidRPr="00B210B9" w14:paraId="087F91C0" w14:textId="77777777" w:rsidTr="00EB1990">
        <w:trPr>
          <w:trHeight w:val="300"/>
        </w:trPr>
        <w:tc>
          <w:tcPr>
            <w:tcW w:w="279" w:type="dxa"/>
            <w:noWrap/>
            <w:hideMark/>
          </w:tcPr>
          <w:p w14:paraId="44066C2B" w14:textId="77777777" w:rsidR="0029103F" w:rsidRPr="00E14A3C" w:rsidRDefault="0029103F" w:rsidP="00506A56">
            <w:r w:rsidRPr="00E14A3C">
              <w:lastRenderedPageBreak/>
              <w:t>REDAP2-CBP.ADO.DRO.DO.w.1.10.docx</w:t>
            </w:r>
          </w:p>
        </w:tc>
        <w:tc>
          <w:tcPr>
            <w:tcW w:w="8783" w:type="dxa"/>
            <w:noWrap/>
            <w:hideMark/>
          </w:tcPr>
          <w:p w14:paraId="457083DD" w14:textId="77777777" w:rsidR="0029103F" w:rsidRPr="00E14A3C" w:rsidRDefault="0029103F" w:rsidP="00506A56">
            <w:r w:rsidRPr="00E14A3C">
              <w:t>Dokument zawiera podstawowe informacje dotyczące procesu udostępnienia danych z repozytorium Systemu do systemu zewnętrznego ADO na potrzeby rozliczeń billingowych Drobnego Odbioru (dane AMIPLUS).</w:t>
            </w:r>
          </w:p>
        </w:tc>
      </w:tr>
      <w:tr w:rsidR="0029103F" w:rsidRPr="00B210B9" w14:paraId="134AFE53" w14:textId="77777777" w:rsidTr="00EB1990">
        <w:trPr>
          <w:trHeight w:val="300"/>
        </w:trPr>
        <w:tc>
          <w:tcPr>
            <w:tcW w:w="279" w:type="dxa"/>
            <w:noWrap/>
            <w:hideMark/>
          </w:tcPr>
          <w:p w14:paraId="21072BC6" w14:textId="77777777" w:rsidR="0029103F" w:rsidRPr="00E14A3C" w:rsidRDefault="0029103F" w:rsidP="00506A56">
            <w:r w:rsidRPr="00E14A3C">
              <w:t>REDAP2-CBP.ADO.Harmonogram.v.1.10.docx</w:t>
            </w:r>
          </w:p>
        </w:tc>
        <w:tc>
          <w:tcPr>
            <w:tcW w:w="8783" w:type="dxa"/>
            <w:noWrap/>
            <w:hideMark/>
          </w:tcPr>
          <w:p w14:paraId="2B27072C" w14:textId="77777777" w:rsidR="0029103F" w:rsidRPr="00E14A3C" w:rsidRDefault="0029103F" w:rsidP="00506A56">
            <w:r w:rsidRPr="00E14A3C">
              <w:t>Dokument przedstawia struktury i metodykę ładowania danych dotyczących harmonogramu.</w:t>
            </w:r>
          </w:p>
        </w:tc>
      </w:tr>
      <w:tr w:rsidR="0029103F" w:rsidRPr="00B210B9" w14:paraId="540847C7" w14:textId="77777777" w:rsidTr="00EB1990">
        <w:trPr>
          <w:trHeight w:val="300"/>
        </w:trPr>
        <w:tc>
          <w:tcPr>
            <w:tcW w:w="279" w:type="dxa"/>
            <w:noWrap/>
            <w:hideMark/>
          </w:tcPr>
          <w:p w14:paraId="3F0B79BD" w14:textId="77777777" w:rsidR="0029103F" w:rsidRPr="00E14A3C" w:rsidRDefault="0029103F" w:rsidP="00506A56">
            <w:r w:rsidRPr="00E14A3C">
              <w:t>REDAP2-CBP.ADO.Ładowanie_danych.w.1.10</w:t>
            </w:r>
          </w:p>
        </w:tc>
        <w:tc>
          <w:tcPr>
            <w:tcW w:w="8783" w:type="dxa"/>
            <w:noWrap/>
            <w:hideMark/>
          </w:tcPr>
          <w:p w14:paraId="364A1B5B" w14:textId="77777777" w:rsidR="0029103F" w:rsidRPr="00E14A3C" w:rsidRDefault="0029103F" w:rsidP="00506A56">
            <w:r w:rsidRPr="00E14A3C">
              <w:t>Dokument opisuje interfejsy danych systemu ADO, z których System odczytuje dane udostępnione przez ten system</w:t>
            </w:r>
          </w:p>
        </w:tc>
      </w:tr>
      <w:tr w:rsidR="0029103F" w:rsidRPr="00B210B9" w14:paraId="16CF2BF1" w14:textId="77777777" w:rsidTr="00EB1990">
        <w:trPr>
          <w:trHeight w:val="300"/>
        </w:trPr>
        <w:tc>
          <w:tcPr>
            <w:tcW w:w="279" w:type="dxa"/>
            <w:noWrap/>
            <w:hideMark/>
          </w:tcPr>
          <w:p w14:paraId="5CB66F57" w14:textId="77777777" w:rsidR="0029103F" w:rsidRPr="00E14A3C" w:rsidRDefault="0029103F" w:rsidP="00506A56">
            <w:r w:rsidRPr="00E14A3C">
              <w:t>REDAP2-CBP.SMX.ADO.w.1.1.xlsx</w:t>
            </w:r>
          </w:p>
        </w:tc>
        <w:tc>
          <w:tcPr>
            <w:tcW w:w="8783" w:type="dxa"/>
            <w:noWrap/>
            <w:hideMark/>
          </w:tcPr>
          <w:p w14:paraId="5DDA3279" w14:textId="77777777" w:rsidR="0029103F" w:rsidRPr="00E14A3C" w:rsidRDefault="0029103F" w:rsidP="00506A56">
            <w:r w:rsidRPr="00E14A3C">
              <w:t>Source-matrix ADO</w:t>
            </w:r>
          </w:p>
        </w:tc>
      </w:tr>
      <w:tr w:rsidR="0029103F" w:rsidRPr="00B210B9" w14:paraId="63560936" w14:textId="77777777" w:rsidTr="00EB1990">
        <w:trPr>
          <w:trHeight w:val="2130"/>
        </w:trPr>
        <w:tc>
          <w:tcPr>
            <w:tcW w:w="279" w:type="dxa"/>
            <w:noWrap/>
            <w:hideMark/>
          </w:tcPr>
          <w:p w14:paraId="24D58A2E" w14:textId="77777777" w:rsidR="0029103F" w:rsidRPr="00E14A3C" w:rsidRDefault="0029103F" w:rsidP="00506A56">
            <w:r w:rsidRPr="00E14A3C">
              <w:t>REDAP2-CBP.AGR.Bilansowanie_handlowe.w.1.10.docx</w:t>
            </w:r>
          </w:p>
        </w:tc>
        <w:tc>
          <w:tcPr>
            <w:tcW w:w="8783" w:type="dxa"/>
            <w:hideMark/>
          </w:tcPr>
          <w:p w14:paraId="2F22C115" w14:textId="77777777" w:rsidR="0029103F" w:rsidRPr="00E14A3C" w:rsidRDefault="0029103F" w:rsidP="00506A56">
            <w:r w:rsidRPr="00E14A3C">
              <w:t xml:space="preserve">Dokument opisuje założenia i sposób działania procesów dotyczących rynku bilansującego. Celem działania procesów dotyczących rynku bilansującego jest przetworzenie danych źródłowych, z jednej strony konfiguracji CSS, czyli przypisanie PPE do sprzedawców, miejsc dostarczania (MDD) i miejsc bilansowania (MB), z drugiej strony zagregowanie danych pomiarowych, co w efekcie daje informacje o </w:t>
            </w:r>
            <w:proofErr w:type="spellStart"/>
            <w:r w:rsidRPr="00E14A3C">
              <w:t>zużyciach</w:t>
            </w:r>
            <w:proofErr w:type="spellEnd"/>
            <w:r w:rsidRPr="00E14A3C">
              <w:t xml:space="preserve"> energii, w podziale na sprzedawców. Odpowiednie procesy udostępniają - w postaci plików - finalne dane dla sprzedawców.</w:t>
            </w:r>
          </w:p>
        </w:tc>
      </w:tr>
      <w:tr w:rsidR="0029103F" w:rsidRPr="00B210B9" w14:paraId="546505D5" w14:textId="77777777" w:rsidTr="00EB1990">
        <w:trPr>
          <w:trHeight w:val="300"/>
        </w:trPr>
        <w:tc>
          <w:tcPr>
            <w:tcW w:w="279" w:type="dxa"/>
            <w:noWrap/>
            <w:hideMark/>
          </w:tcPr>
          <w:p w14:paraId="76AC3A80" w14:textId="77777777" w:rsidR="0029103F" w:rsidRPr="00E14A3C" w:rsidRDefault="0029103F" w:rsidP="00506A56">
            <w:r w:rsidRPr="00E14A3C">
              <w:t>REDAP2-CBP.AIM.Ładowanie_danych.w.1.20.docx</w:t>
            </w:r>
          </w:p>
        </w:tc>
        <w:tc>
          <w:tcPr>
            <w:tcW w:w="8783" w:type="dxa"/>
            <w:noWrap/>
            <w:hideMark/>
          </w:tcPr>
          <w:p w14:paraId="484D3131" w14:textId="77777777" w:rsidR="0029103F" w:rsidRPr="00E14A3C" w:rsidRDefault="0029103F" w:rsidP="00506A56">
            <w:r w:rsidRPr="00E14A3C">
              <w:t xml:space="preserve">Dokument opisuje interfejsy danych systemu AIM </w:t>
            </w:r>
            <w:proofErr w:type="spellStart"/>
            <w:r w:rsidRPr="00E14A3C">
              <w:t>Gridstream</w:t>
            </w:r>
            <w:proofErr w:type="spellEnd"/>
            <w:r w:rsidRPr="00E14A3C">
              <w:t xml:space="preserve">, z których System pobiera dane udostępnione przez system AIM </w:t>
            </w:r>
            <w:proofErr w:type="spellStart"/>
            <w:r w:rsidRPr="00E14A3C">
              <w:t>Gridstream</w:t>
            </w:r>
            <w:proofErr w:type="spellEnd"/>
            <w:r w:rsidRPr="00E14A3C">
              <w:t>.</w:t>
            </w:r>
          </w:p>
        </w:tc>
      </w:tr>
      <w:tr w:rsidR="0029103F" w:rsidRPr="00B210B9" w14:paraId="30E06845" w14:textId="77777777" w:rsidTr="00EB1990">
        <w:trPr>
          <w:trHeight w:val="300"/>
        </w:trPr>
        <w:tc>
          <w:tcPr>
            <w:tcW w:w="279" w:type="dxa"/>
            <w:noWrap/>
            <w:hideMark/>
          </w:tcPr>
          <w:p w14:paraId="429D9ED6" w14:textId="77777777" w:rsidR="0029103F" w:rsidRPr="00E14A3C" w:rsidRDefault="0029103F" w:rsidP="00506A56">
            <w:r w:rsidRPr="00E14A3C">
              <w:t>REDAP2-CBP.SMX AIM.1.10.xlsx</w:t>
            </w:r>
          </w:p>
        </w:tc>
        <w:tc>
          <w:tcPr>
            <w:tcW w:w="8783" w:type="dxa"/>
            <w:noWrap/>
            <w:hideMark/>
          </w:tcPr>
          <w:p w14:paraId="33E34525" w14:textId="77777777" w:rsidR="0029103F" w:rsidRPr="00E14A3C" w:rsidRDefault="0029103F" w:rsidP="00506A56">
            <w:r w:rsidRPr="00E14A3C">
              <w:t>Source-matrix AIM</w:t>
            </w:r>
          </w:p>
        </w:tc>
      </w:tr>
      <w:tr w:rsidR="0029103F" w:rsidRPr="00B210B9" w14:paraId="1B913517" w14:textId="77777777" w:rsidTr="00EB1990">
        <w:trPr>
          <w:trHeight w:val="900"/>
        </w:trPr>
        <w:tc>
          <w:tcPr>
            <w:tcW w:w="279" w:type="dxa"/>
            <w:noWrap/>
            <w:hideMark/>
          </w:tcPr>
          <w:p w14:paraId="2C0CF203" w14:textId="77777777" w:rsidR="0029103F" w:rsidRPr="00E14A3C" w:rsidRDefault="0029103F" w:rsidP="00506A56">
            <w:r w:rsidRPr="00E14A3C">
              <w:t>REDAP2-CBP.APL.Adapter_bezpieczeństwa.w.1.10.docx</w:t>
            </w:r>
          </w:p>
        </w:tc>
        <w:tc>
          <w:tcPr>
            <w:tcW w:w="8783" w:type="dxa"/>
            <w:hideMark/>
          </w:tcPr>
          <w:p w14:paraId="07AD39DB" w14:textId="77777777" w:rsidR="0029103F" w:rsidRPr="00E14A3C" w:rsidRDefault="0029103F" w:rsidP="00506A56">
            <w:r w:rsidRPr="00E14A3C">
              <w:t xml:space="preserve">Dokument ten opisuje adapter bezpieczeństwa, czyli aplikację </w:t>
            </w:r>
            <w:proofErr w:type="spellStart"/>
            <w:r w:rsidRPr="00E14A3C">
              <w:t>cbp-security</w:t>
            </w:r>
            <w:proofErr w:type="spellEnd"/>
            <w:r w:rsidRPr="00E14A3C">
              <w:t>. Aplikacja ta stanowi interfejs pomiędzy - znajdującą się w strefie bezpiecznej bazą sterowania - a aplikacją CBP GUI.</w:t>
            </w:r>
          </w:p>
        </w:tc>
      </w:tr>
      <w:tr w:rsidR="0029103F" w:rsidRPr="00B210B9" w14:paraId="3D18B865" w14:textId="77777777" w:rsidTr="00EB1990">
        <w:trPr>
          <w:trHeight w:val="900"/>
        </w:trPr>
        <w:tc>
          <w:tcPr>
            <w:tcW w:w="279" w:type="dxa"/>
            <w:noWrap/>
            <w:hideMark/>
          </w:tcPr>
          <w:p w14:paraId="2CAE857A" w14:textId="77777777" w:rsidR="0029103F" w:rsidRPr="00E14A3C" w:rsidRDefault="0029103F" w:rsidP="00506A56">
            <w:r w:rsidRPr="00E14A3C">
              <w:lastRenderedPageBreak/>
              <w:t>REDAP2-CBP.APL.Adapter_sterowania.w.1.10.docx</w:t>
            </w:r>
          </w:p>
        </w:tc>
        <w:tc>
          <w:tcPr>
            <w:tcW w:w="8783" w:type="dxa"/>
            <w:hideMark/>
          </w:tcPr>
          <w:p w14:paraId="3E437628" w14:textId="77777777" w:rsidR="0029103F" w:rsidRPr="00E14A3C" w:rsidRDefault="0029103F" w:rsidP="00506A56">
            <w:r w:rsidRPr="00E14A3C">
              <w:t xml:space="preserve">Dokument opisuje adapter sterowania – aplikację </w:t>
            </w:r>
            <w:proofErr w:type="spellStart"/>
            <w:r w:rsidRPr="00E14A3C">
              <w:t>cbp-control</w:t>
            </w:r>
            <w:proofErr w:type="spellEnd"/>
            <w:r w:rsidRPr="00E14A3C">
              <w:t>, służącą do zlecania komend sterujących w systemie HES SCW oraz przetwarzającą komunikaty o ich wykonaniu.</w:t>
            </w:r>
          </w:p>
        </w:tc>
      </w:tr>
      <w:tr w:rsidR="0029103F" w:rsidRPr="00B210B9" w14:paraId="737C78ED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7866C8B0" w14:textId="77777777" w:rsidR="0029103F" w:rsidRPr="00E14A3C" w:rsidRDefault="0029103F" w:rsidP="00506A56">
            <w:r w:rsidRPr="00E14A3C">
              <w:t>REDAP2-CBP.APL.Aplkacja_SOZ_OSB.w.1.10.docx</w:t>
            </w:r>
          </w:p>
        </w:tc>
        <w:tc>
          <w:tcPr>
            <w:tcW w:w="8783" w:type="dxa"/>
            <w:hideMark/>
          </w:tcPr>
          <w:p w14:paraId="1A2E0B84" w14:textId="77777777" w:rsidR="0029103F" w:rsidRPr="00E14A3C" w:rsidRDefault="0029103F" w:rsidP="00506A56">
            <w:r w:rsidRPr="00E14A3C">
              <w:t>Aplikacja CBP GUI - opis wdrożenia.</w:t>
            </w:r>
          </w:p>
        </w:tc>
      </w:tr>
      <w:tr w:rsidR="0029103F" w:rsidRPr="00B210B9" w14:paraId="25FB0B70" w14:textId="77777777" w:rsidTr="00EB1990">
        <w:trPr>
          <w:trHeight w:val="600"/>
        </w:trPr>
        <w:tc>
          <w:tcPr>
            <w:tcW w:w="279" w:type="dxa"/>
            <w:noWrap/>
            <w:hideMark/>
          </w:tcPr>
          <w:p w14:paraId="09382239" w14:textId="77777777" w:rsidR="0029103F" w:rsidRPr="00E14A3C" w:rsidRDefault="0029103F" w:rsidP="00506A56">
            <w:r w:rsidRPr="00E14A3C">
              <w:t>REDAP2-CBP.APL.Interfejs_plikowy_SOZ.w.1.10.docx</w:t>
            </w:r>
          </w:p>
        </w:tc>
        <w:tc>
          <w:tcPr>
            <w:tcW w:w="8783" w:type="dxa"/>
            <w:hideMark/>
          </w:tcPr>
          <w:p w14:paraId="49859D94" w14:textId="77777777" w:rsidR="0029103F" w:rsidRPr="00E14A3C" w:rsidRDefault="0029103F" w:rsidP="00506A56">
            <w:r w:rsidRPr="00E14A3C">
              <w:t>Dokument opisuje procedury odczytywania plików z SOZ oraz oznaczania już odczytanych plików jako przetworzone</w:t>
            </w:r>
          </w:p>
        </w:tc>
      </w:tr>
      <w:tr w:rsidR="0029103F" w:rsidRPr="00B210B9" w14:paraId="493D08A3" w14:textId="77777777" w:rsidTr="00EB1990">
        <w:trPr>
          <w:trHeight w:val="1200"/>
        </w:trPr>
        <w:tc>
          <w:tcPr>
            <w:tcW w:w="279" w:type="dxa"/>
            <w:noWrap/>
            <w:hideMark/>
          </w:tcPr>
          <w:p w14:paraId="2AF284E8" w14:textId="77777777" w:rsidR="0029103F" w:rsidRPr="00E14A3C" w:rsidRDefault="0029103F" w:rsidP="00506A56">
            <w:r w:rsidRPr="00E14A3C">
              <w:t>REDAP2-CBP.CBP.Model_danych</w:t>
            </w:r>
          </w:p>
        </w:tc>
        <w:tc>
          <w:tcPr>
            <w:tcW w:w="8783" w:type="dxa"/>
            <w:hideMark/>
          </w:tcPr>
          <w:p w14:paraId="34E17B1E" w14:textId="77777777" w:rsidR="0029103F" w:rsidRPr="00E14A3C" w:rsidRDefault="0029103F" w:rsidP="00506A56">
            <w:r w:rsidRPr="00E14A3C">
              <w:t>Podkatalog zawierający model danych</w:t>
            </w:r>
          </w:p>
        </w:tc>
      </w:tr>
      <w:tr w:rsidR="0029103F" w:rsidRPr="00B210B9" w14:paraId="56C4CCB9" w14:textId="77777777" w:rsidTr="00EB1990">
        <w:trPr>
          <w:trHeight w:val="1200"/>
        </w:trPr>
        <w:tc>
          <w:tcPr>
            <w:tcW w:w="279" w:type="dxa"/>
            <w:noWrap/>
            <w:hideMark/>
          </w:tcPr>
          <w:p w14:paraId="45812DC8" w14:textId="77777777" w:rsidR="0029103F" w:rsidRPr="00E14A3C" w:rsidRDefault="0029103F" w:rsidP="00506A56">
            <w:r w:rsidRPr="00E14A3C">
              <w:t>REDAP2-CBP.CBP.Framework_VEE.w2.00.docx</w:t>
            </w:r>
          </w:p>
        </w:tc>
        <w:tc>
          <w:tcPr>
            <w:tcW w:w="8783" w:type="dxa"/>
            <w:hideMark/>
          </w:tcPr>
          <w:p w14:paraId="07C61FF6" w14:textId="77777777" w:rsidR="0029103F" w:rsidRPr="00E14A3C" w:rsidRDefault="0029103F" w:rsidP="00506A56">
            <w:r w:rsidRPr="00E14A3C">
              <w:t xml:space="preserve">Przedstawienia sposobu implementacji </w:t>
            </w:r>
            <w:proofErr w:type="spellStart"/>
            <w:r w:rsidRPr="00E14A3C">
              <w:t>Frameworku</w:t>
            </w:r>
            <w:proofErr w:type="spellEnd"/>
            <w:r w:rsidRPr="00E14A3C">
              <w:t xml:space="preserve"> obsługującego procesy VEE </w:t>
            </w:r>
          </w:p>
        </w:tc>
      </w:tr>
      <w:tr w:rsidR="0029103F" w:rsidRPr="00B210B9" w14:paraId="4F3C5B8E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56EEC36D" w14:textId="77777777" w:rsidR="0029103F" w:rsidRPr="00E14A3C" w:rsidRDefault="0029103F" w:rsidP="00506A56">
            <w:r w:rsidRPr="00E14A3C">
              <w:t>REDAP2-CBP.CBP.Katalog_procesow_ODI.xlsx</w:t>
            </w:r>
          </w:p>
        </w:tc>
        <w:tc>
          <w:tcPr>
            <w:tcW w:w="8783" w:type="dxa"/>
            <w:hideMark/>
          </w:tcPr>
          <w:p w14:paraId="20CC0DDB" w14:textId="77777777" w:rsidR="0029103F" w:rsidRPr="00E14A3C" w:rsidRDefault="0029103F" w:rsidP="00506A56">
            <w:r w:rsidRPr="00E14A3C">
              <w:t>Arkusz zawierający katalog procesów ODI</w:t>
            </w:r>
          </w:p>
        </w:tc>
      </w:tr>
      <w:tr w:rsidR="0029103F" w:rsidRPr="00B210B9" w14:paraId="13AFE9AB" w14:textId="77777777" w:rsidTr="00EB1990">
        <w:trPr>
          <w:trHeight w:val="1200"/>
        </w:trPr>
        <w:tc>
          <w:tcPr>
            <w:tcW w:w="279" w:type="dxa"/>
            <w:noWrap/>
            <w:hideMark/>
          </w:tcPr>
          <w:p w14:paraId="59913DFC" w14:textId="77777777" w:rsidR="0029103F" w:rsidRPr="00E14A3C" w:rsidRDefault="0029103F" w:rsidP="00506A56">
            <w:r w:rsidRPr="00E14A3C">
              <w:t>REDAP2-CBP.CBP.Metadane.w.1.01.docx</w:t>
            </w:r>
          </w:p>
        </w:tc>
        <w:tc>
          <w:tcPr>
            <w:tcW w:w="8783" w:type="dxa"/>
            <w:hideMark/>
          </w:tcPr>
          <w:p w14:paraId="3403DFDD" w14:textId="77777777" w:rsidR="0029103F" w:rsidRPr="00E14A3C" w:rsidRDefault="0029103F" w:rsidP="00506A56">
            <w:r w:rsidRPr="00E14A3C">
              <w:t>Dokument przedstawia organizację metadanych systemu – diagram związków encji tabel Systemu. Ponadto opisano API metadanych Systemu  oraz sposób dodawania informacji metadanych o poszczególnych Komponentach własnych Systemu.</w:t>
            </w:r>
          </w:p>
        </w:tc>
      </w:tr>
      <w:tr w:rsidR="0029103F" w:rsidRPr="00B210B9" w14:paraId="2FB923FB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5EA40A6E" w14:textId="77777777" w:rsidR="0029103F" w:rsidRPr="00E14A3C" w:rsidRDefault="0029103F" w:rsidP="00506A56">
            <w:r w:rsidRPr="00E14A3C">
              <w:t>REDAP2-CBP.CBP.Przewodnik_po_kartotece.w.1.00.xlsx</w:t>
            </w:r>
          </w:p>
        </w:tc>
        <w:tc>
          <w:tcPr>
            <w:tcW w:w="8783" w:type="dxa"/>
            <w:hideMark/>
          </w:tcPr>
          <w:p w14:paraId="5630F879" w14:textId="77777777" w:rsidR="0029103F" w:rsidRPr="00E14A3C" w:rsidRDefault="0029103F" w:rsidP="00506A56">
            <w:r w:rsidRPr="00E14A3C">
              <w:t>Arkusz zawiera szczegółową strukturę wybranych tabel</w:t>
            </w:r>
          </w:p>
        </w:tc>
      </w:tr>
      <w:tr w:rsidR="0029103F" w:rsidRPr="00B210B9" w14:paraId="05C9AA76" w14:textId="77777777" w:rsidTr="00EB1990">
        <w:trPr>
          <w:trHeight w:val="1200"/>
        </w:trPr>
        <w:tc>
          <w:tcPr>
            <w:tcW w:w="279" w:type="dxa"/>
            <w:noWrap/>
            <w:hideMark/>
          </w:tcPr>
          <w:p w14:paraId="6CA62ED8" w14:textId="77777777" w:rsidR="0029103F" w:rsidRPr="00E14A3C" w:rsidRDefault="0029103F" w:rsidP="00506A56">
            <w:r w:rsidRPr="00E14A3C">
              <w:t>REDAP2-CBP.CBP.Status_zr_pomiaru.w.1.30.docx</w:t>
            </w:r>
          </w:p>
        </w:tc>
        <w:tc>
          <w:tcPr>
            <w:tcW w:w="8783" w:type="dxa"/>
            <w:hideMark/>
          </w:tcPr>
          <w:p w14:paraId="3E600C6E" w14:textId="77777777" w:rsidR="0029103F" w:rsidRPr="00E14A3C" w:rsidRDefault="0029103F" w:rsidP="00506A56">
            <w:r w:rsidRPr="00E14A3C">
              <w:t xml:space="preserve">Dokument opisuje sposoby oznaczania pomiarów statusami </w:t>
            </w:r>
          </w:p>
        </w:tc>
      </w:tr>
      <w:tr w:rsidR="0029103F" w:rsidRPr="00B210B9" w14:paraId="6AC628BB" w14:textId="77777777" w:rsidTr="00EB1990">
        <w:trPr>
          <w:trHeight w:val="600"/>
        </w:trPr>
        <w:tc>
          <w:tcPr>
            <w:tcW w:w="279" w:type="dxa"/>
            <w:noWrap/>
            <w:hideMark/>
          </w:tcPr>
          <w:p w14:paraId="249D23D2" w14:textId="77777777" w:rsidR="0029103F" w:rsidRPr="00E14A3C" w:rsidRDefault="0029103F" w:rsidP="00506A56">
            <w:r w:rsidRPr="00E14A3C">
              <w:lastRenderedPageBreak/>
              <w:t>REDAP2-CBP.CBP.Uzupełnianie_kartoteki.w1.00.docx</w:t>
            </w:r>
          </w:p>
        </w:tc>
        <w:tc>
          <w:tcPr>
            <w:tcW w:w="8783" w:type="dxa"/>
            <w:hideMark/>
          </w:tcPr>
          <w:p w14:paraId="3B73F68C" w14:textId="77777777" w:rsidR="0029103F" w:rsidRPr="00E14A3C" w:rsidRDefault="0029103F" w:rsidP="00506A56">
            <w:r w:rsidRPr="00E14A3C">
              <w:t>Dokument opisuje procedurę ręcznego uzupełniania kartoteki Systemu w zakresie dodawania nowych wierszy w encjach:  PPE,  Licznik, Zabudowa.</w:t>
            </w:r>
          </w:p>
        </w:tc>
      </w:tr>
      <w:tr w:rsidR="0029103F" w:rsidRPr="00B210B9" w14:paraId="3A8E4600" w14:textId="77777777" w:rsidTr="00EB1990">
        <w:trPr>
          <w:trHeight w:val="600"/>
        </w:trPr>
        <w:tc>
          <w:tcPr>
            <w:tcW w:w="279" w:type="dxa"/>
            <w:noWrap/>
            <w:hideMark/>
          </w:tcPr>
          <w:p w14:paraId="4F157FE6" w14:textId="77777777" w:rsidR="0029103F" w:rsidRPr="00E14A3C" w:rsidRDefault="0029103F" w:rsidP="00506A56">
            <w:r w:rsidRPr="00E14A3C">
              <w:t>REDAP2-CBP.CBP.Zasilanie_kartoteki_przez_procesy_ładujące_pomiary.w.1.1.docx</w:t>
            </w:r>
          </w:p>
        </w:tc>
        <w:tc>
          <w:tcPr>
            <w:tcW w:w="8783" w:type="dxa"/>
            <w:hideMark/>
          </w:tcPr>
          <w:p w14:paraId="06D87F0A" w14:textId="77777777" w:rsidR="0029103F" w:rsidRPr="00E14A3C" w:rsidRDefault="0029103F" w:rsidP="00506A56">
            <w:r w:rsidRPr="00E14A3C">
              <w:t>Niniejszy dokument opisuje rozwiązanie aktualizacji kartoteki Systemu przez procesu ładowania danych pomiarowych.</w:t>
            </w:r>
          </w:p>
        </w:tc>
      </w:tr>
      <w:tr w:rsidR="0029103F" w:rsidRPr="006712DC" w14:paraId="32376EB4" w14:textId="77777777" w:rsidTr="00EB1990">
        <w:trPr>
          <w:trHeight w:val="1500"/>
        </w:trPr>
        <w:tc>
          <w:tcPr>
            <w:tcW w:w="279" w:type="dxa"/>
            <w:noWrap/>
            <w:hideMark/>
          </w:tcPr>
          <w:p w14:paraId="7F203DA5" w14:textId="77777777" w:rsidR="0029103F" w:rsidRPr="00E14A3C" w:rsidRDefault="0029103F" w:rsidP="00506A56">
            <w:pPr>
              <w:rPr>
                <w:lang w:val="en-US"/>
              </w:rPr>
            </w:pPr>
            <w:r w:rsidRPr="00E14A3C">
              <w:rPr>
                <w:lang w:val="en-US"/>
              </w:rPr>
              <w:t>REDAP2-CBP.CBP.OS_wer.1.4.docx</w:t>
            </w:r>
          </w:p>
        </w:tc>
        <w:tc>
          <w:tcPr>
            <w:tcW w:w="8783" w:type="dxa"/>
            <w:hideMark/>
          </w:tcPr>
          <w:p w14:paraId="12E9E65E" w14:textId="77777777" w:rsidR="0029103F" w:rsidRPr="00E14A3C" w:rsidRDefault="0029103F" w:rsidP="00506A56">
            <w:r w:rsidRPr="00E14A3C">
              <w:t>Dokument opisuje funkcjonalność Obiektów Specjalnych (OS). Zawiera ogólny opis Obiektów Specjalnych, wraz ze sposobem implementacji w modelu danych oraz opis funkcjonalności aplikacji GUI CBP  pozwalających na obsługę OS (definiowanie i edycja definicji).</w:t>
            </w:r>
          </w:p>
        </w:tc>
      </w:tr>
      <w:tr w:rsidR="0029103F" w:rsidRPr="006712DC" w14:paraId="3E67702D" w14:textId="77777777" w:rsidTr="00EB1990">
        <w:trPr>
          <w:trHeight w:val="900"/>
        </w:trPr>
        <w:tc>
          <w:tcPr>
            <w:tcW w:w="279" w:type="dxa"/>
            <w:noWrap/>
            <w:hideMark/>
          </w:tcPr>
          <w:p w14:paraId="139EBEF8" w14:textId="77777777" w:rsidR="0029103F" w:rsidRPr="00E14A3C" w:rsidRDefault="0029103F" w:rsidP="00506A56">
            <w:r w:rsidRPr="00E14A3C">
              <w:t>REDAP2-CBP.CBP.Procesy_VEE.w.1.00.docx</w:t>
            </w:r>
          </w:p>
        </w:tc>
        <w:tc>
          <w:tcPr>
            <w:tcW w:w="8783" w:type="dxa"/>
            <w:hideMark/>
          </w:tcPr>
          <w:p w14:paraId="4C10DFD3" w14:textId="77777777" w:rsidR="0029103F" w:rsidRPr="00E14A3C" w:rsidRDefault="0029103F" w:rsidP="00506A56">
            <w:r w:rsidRPr="00E14A3C">
              <w:t xml:space="preserve">Dokument zawiera opis procesów klasy VEE – Data </w:t>
            </w:r>
            <w:proofErr w:type="spellStart"/>
            <w:r w:rsidRPr="00E14A3C">
              <w:t>Validation</w:t>
            </w:r>
            <w:proofErr w:type="spellEnd"/>
            <w:r w:rsidRPr="00E14A3C">
              <w:t xml:space="preserve">, </w:t>
            </w:r>
            <w:proofErr w:type="spellStart"/>
            <w:r w:rsidRPr="00E14A3C">
              <w:t>Estimation</w:t>
            </w:r>
            <w:proofErr w:type="spellEnd"/>
            <w:r w:rsidRPr="00E14A3C">
              <w:t>, Edit, których to celem jest maksymalizowanie jakości danych pomiarowych gromadzonych i udostępnianych przez Centralną Bazę Pomiarową</w:t>
            </w:r>
          </w:p>
        </w:tc>
      </w:tr>
      <w:tr w:rsidR="0029103F" w:rsidRPr="006712DC" w14:paraId="2583C672" w14:textId="77777777" w:rsidTr="00EB1990">
        <w:trPr>
          <w:trHeight w:val="600"/>
        </w:trPr>
        <w:tc>
          <w:tcPr>
            <w:tcW w:w="279" w:type="dxa"/>
            <w:noWrap/>
            <w:hideMark/>
          </w:tcPr>
          <w:p w14:paraId="214755FA" w14:textId="77777777" w:rsidR="0029103F" w:rsidRPr="00E14A3C" w:rsidRDefault="0029103F" w:rsidP="00506A56">
            <w:r w:rsidRPr="00E14A3C">
              <w:t>REDAP2-CBP.CONV.Ładowanie_danych.w.1.10.docx</w:t>
            </w:r>
          </w:p>
        </w:tc>
        <w:tc>
          <w:tcPr>
            <w:tcW w:w="8783" w:type="dxa"/>
            <w:hideMark/>
          </w:tcPr>
          <w:p w14:paraId="48BA1350" w14:textId="77777777" w:rsidR="0029103F" w:rsidRPr="00E14A3C" w:rsidRDefault="0029103F" w:rsidP="00506A56">
            <w:r w:rsidRPr="00E14A3C">
              <w:t xml:space="preserve">Dokument opisuje interfejsy danych systemu AMR </w:t>
            </w:r>
            <w:proofErr w:type="spellStart"/>
            <w:r w:rsidRPr="00E14A3C">
              <w:t>Converge</w:t>
            </w:r>
            <w:proofErr w:type="spellEnd"/>
            <w:r w:rsidRPr="00E14A3C">
              <w:t>, z których System odczytuje dane udostępnione przez ten system.</w:t>
            </w:r>
          </w:p>
        </w:tc>
      </w:tr>
      <w:tr w:rsidR="0029103F" w:rsidRPr="006712DC" w14:paraId="4F7D203A" w14:textId="77777777" w:rsidTr="00EB1990">
        <w:trPr>
          <w:trHeight w:val="600"/>
        </w:trPr>
        <w:tc>
          <w:tcPr>
            <w:tcW w:w="279" w:type="dxa"/>
            <w:noWrap/>
            <w:hideMark/>
          </w:tcPr>
          <w:p w14:paraId="4B60C9D9" w14:textId="77777777" w:rsidR="0029103F" w:rsidRPr="00E14A3C" w:rsidRDefault="0029103F" w:rsidP="00506A56">
            <w:r w:rsidRPr="00E14A3C">
              <w:t>REDAP2-CBP.CONV.SMX_1.3</w:t>
            </w:r>
          </w:p>
        </w:tc>
        <w:tc>
          <w:tcPr>
            <w:tcW w:w="8783" w:type="dxa"/>
            <w:hideMark/>
          </w:tcPr>
          <w:p w14:paraId="5B2C59C7" w14:textId="77777777" w:rsidR="0029103F" w:rsidRPr="00E14A3C" w:rsidRDefault="0029103F" w:rsidP="00506A56">
            <w:r w:rsidRPr="00E14A3C">
              <w:t>Source - matrix do procesu ładowania danych CONVERGE</w:t>
            </w:r>
          </w:p>
        </w:tc>
      </w:tr>
      <w:tr w:rsidR="0029103F" w:rsidRPr="006712DC" w14:paraId="6C3CD569" w14:textId="77777777" w:rsidTr="00EB1990">
        <w:trPr>
          <w:trHeight w:val="600"/>
        </w:trPr>
        <w:tc>
          <w:tcPr>
            <w:tcW w:w="279" w:type="dxa"/>
            <w:noWrap/>
            <w:hideMark/>
          </w:tcPr>
          <w:p w14:paraId="0E4A315B" w14:textId="77777777" w:rsidR="0029103F" w:rsidRPr="00E14A3C" w:rsidRDefault="0029103F" w:rsidP="00506A56">
            <w:r w:rsidRPr="00E14A3C">
              <w:t>REDAP2-CBP.CSS.Ładowanie_danych.w.1.10.docx</w:t>
            </w:r>
          </w:p>
        </w:tc>
        <w:tc>
          <w:tcPr>
            <w:tcW w:w="8783" w:type="dxa"/>
            <w:hideMark/>
          </w:tcPr>
          <w:p w14:paraId="4F543332" w14:textId="77777777" w:rsidR="0029103F" w:rsidRPr="00E14A3C" w:rsidRDefault="0029103F" w:rsidP="00506A56">
            <w:r w:rsidRPr="00E14A3C">
              <w:t>Dokument opisuje interfejsy danych systemu CSS, z których System odczytuje dane udostępnione przez ten system</w:t>
            </w:r>
          </w:p>
        </w:tc>
      </w:tr>
      <w:tr w:rsidR="0029103F" w:rsidRPr="006712DC" w14:paraId="3547047C" w14:textId="77777777" w:rsidTr="00EB1990">
        <w:trPr>
          <w:trHeight w:val="405"/>
        </w:trPr>
        <w:tc>
          <w:tcPr>
            <w:tcW w:w="279" w:type="dxa"/>
            <w:noWrap/>
            <w:hideMark/>
          </w:tcPr>
          <w:p w14:paraId="74D40B96" w14:textId="77777777" w:rsidR="0029103F" w:rsidRPr="00E14A3C" w:rsidRDefault="0029103F" w:rsidP="00506A56">
            <w:r w:rsidRPr="00E14A3C">
              <w:t>REDAP2-CBP.SMX.CSS.w.1.10.xlsx</w:t>
            </w:r>
          </w:p>
        </w:tc>
        <w:tc>
          <w:tcPr>
            <w:tcW w:w="8783" w:type="dxa"/>
            <w:hideMark/>
          </w:tcPr>
          <w:p w14:paraId="05CD6FCF" w14:textId="77777777" w:rsidR="0029103F" w:rsidRPr="00E14A3C" w:rsidRDefault="0029103F" w:rsidP="00506A56">
            <w:r w:rsidRPr="00E14A3C">
              <w:t>Source-matrix do procesów</w:t>
            </w:r>
          </w:p>
        </w:tc>
      </w:tr>
      <w:tr w:rsidR="0029103F" w:rsidRPr="006712DC" w14:paraId="60A88A83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0083C9F0" w14:textId="77777777" w:rsidR="0029103F" w:rsidRPr="00E14A3C" w:rsidRDefault="0029103F" w:rsidP="00506A56">
            <w:r w:rsidRPr="00E14A3C">
              <w:t>REDAP2-CBP.GUI.Dokumentacja_techniczna.w.1.00</w:t>
            </w:r>
          </w:p>
        </w:tc>
        <w:tc>
          <w:tcPr>
            <w:tcW w:w="8783" w:type="dxa"/>
            <w:hideMark/>
          </w:tcPr>
          <w:p w14:paraId="5AE6BB33" w14:textId="77777777" w:rsidR="0029103F" w:rsidRPr="00E14A3C" w:rsidRDefault="0029103F" w:rsidP="00506A56">
            <w:r w:rsidRPr="00E14A3C">
              <w:t>Dokument zawiera dokumentację techniczną aplikacji GUI CBP</w:t>
            </w:r>
          </w:p>
        </w:tc>
      </w:tr>
      <w:tr w:rsidR="0029103F" w:rsidRPr="006712DC" w14:paraId="466DF695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3CD6B9FA" w14:textId="77777777" w:rsidR="0029103F" w:rsidRPr="00E14A3C" w:rsidRDefault="0029103F" w:rsidP="00506A56">
            <w:r w:rsidRPr="00E14A3C">
              <w:t>REDAP2-CBP.GUI.Katalog_widokow.w.1.00</w:t>
            </w:r>
          </w:p>
        </w:tc>
        <w:tc>
          <w:tcPr>
            <w:tcW w:w="8783" w:type="dxa"/>
            <w:hideMark/>
          </w:tcPr>
          <w:p w14:paraId="14A9855D" w14:textId="77777777" w:rsidR="0029103F" w:rsidRPr="00E14A3C" w:rsidRDefault="0029103F" w:rsidP="00506A56">
            <w:r w:rsidRPr="00E14A3C">
              <w:t>Arkusz zawierający katalog widoków.</w:t>
            </w:r>
          </w:p>
        </w:tc>
      </w:tr>
      <w:tr w:rsidR="0029103F" w:rsidRPr="006712DC" w14:paraId="7A9E0F31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03999C02" w14:textId="77777777" w:rsidR="0029103F" w:rsidRPr="00E14A3C" w:rsidRDefault="0029103F" w:rsidP="00506A56">
            <w:r w:rsidRPr="00E14A3C">
              <w:lastRenderedPageBreak/>
              <w:t>REDAP2-CBP.GUI.Podrecznik_użytkownika.w.1.00</w:t>
            </w:r>
          </w:p>
        </w:tc>
        <w:tc>
          <w:tcPr>
            <w:tcW w:w="8783" w:type="dxa"/>
            <w:hideMark/>
          </w:tcPr>
          <w:p w14:paraId="37029F17" w14:textId="77777777" w:rsidR="0029103F" w:rsidRPr="00E14A3C" w:rsidRDefault="0029103F" w:rsidP="00506A56">
            <w:r w:rsidRPr="00E14A3C">
              <w:t>Dokument stanowiący dokumentacje użytkownika aplikacji GUI CBP</w:t>
            </w:r>
          </w:p>
        </w:tc>
      </w:tr>
      <w:tr w:rsidR="0029103F" w:rsidRPr="006712DC" w14:paraId="155E5752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1CB9C2D7" w14:textId="77777777" w:rsidR="0029103F" w:rsidRPr="00E14A3C" w:rsidRDefault="0029103F" w:rsidP="00506A56">
            <w:r w:rsidRPr="00E14A3C">
              <w:t>REDAP2-CBP.DA.ADO.xlsx</w:t>
            </w:r>
          </w:p>
        </w:tc>
        <w:tc>
          <w:tcPr>
            <w:tcW w:w="8783" w:type="dxa"/>
            <w:hideMark/>
          </w:tcPr>
          <w:p w14:paraId="1D746549" w14:textId="77777777" w:rsidR="0029103F" w:rsidRPr="00E14A3C" w:rsidRDefault="0029103F" w:rsidP="00506A56">
            <w:r w:rsidRPr="00E14A3C">
              <w:t>Opis parametrów procesów ADO</w:t>
            </w:r>
          </w:p>
        </w:tc>
      </w:tr>
      <w:tr w:rsidR="0029103F" w:rsidRPr="006712DC" w14:paraId="5BD6D2DD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5F48A84C" w14:textId="77777777" w:rsidR="0029103F" w:rsidRPr="00E14A3C" w:rsidRDefault="0029103F" w:rsidP="00506A56">
            <w:r w:rsidRPr="00E14A3C">
              <w:t>REDAP2-CBP.DA.AIM.xlsx</w:t>
            </w:r>
          </w:p>
        </w:tc>
        <w:tc>
          <w:tcPr>
            <w:tcW w:w="8783" w:type="dxa"/>
            <w:hideMark/>
          </w:tcPr>
          <w:p w14:paraId="016D5EB4" w14:textId="77777777" w:rsidR="0029103F" w:rsidRPr="00E14A3C" w:rsidRDefault="0029103F" w:rsidP="00506A56">
            <w:r w:rsidRPr="00E14A3C">
              <w:t>Opis parametrów procesów AIM</w:t>
            </w:r>
          </w:p>
        </w:tc>
      </w:tr>
      <w:tr w:rsidR="0029103F" w:rsidRPr="006712DC" w14:paraId="2CCE9627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5B646052" w14:textId="77777777" w:rsidR="0029103F" w:rsidRPr="00E14A3C" w:rsidRDefault="0029103F" w:rsidP="00506A56">
            <w:r w:rsidRPr="00E14A3C">
              <w:t>REDAP2-CBP.DA.BILLHANDL.xlsx</w:t>
            </w:r>
          </w:p>
        </w:tc>
        <w:tc>
          <w:tcPr>
            <w:tcW w:w="8783" w:type="dxa"/>
            <w:hideMark/>
          </w:tcPr>
          <w:p w14:paraId="34D00EA5" w14:textId="77777777" w:rsidR="0029103F" w:rsidRPr="00E14A3C" w:rsidRDefault="0029103F" w:rsidP="00506A56">
            <w:r w:rsidRPr="00E14A3C">
              <w:t>Opis parametrów procesów Bilansowania Handlowego</w:t>
            </w:r>
          </w:p>
        </w:tc>
      </w:tr>
      <w:tr w:rsidR="0029103F" w:rsidRPr="006712DC" w14:paraId="1A98B762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0C631137" w14:textId="77777777" w:rsidR="0029103F" w:rsidRPr="00E14A3C" w:rsidRDefault="0029103F" w:rsidP="00506A56">
            <w:r w:rsidRPr="00E14A3C">
              <w:t>REDAP2-CBP.DA.CONV.xlsx</w:t>
            </w:r>
          </w:p>
        </w:tc>
        <w:tc>
          <w:tcPr>
            <w:tcW w:w="8783" w:type="dxa"/>
            <w:hideMark/>
          </w:tcPr>
          <w:p w14:paraId="4F98238D" w14:textId="77777777" w:rsidR="0029103F" w:rsidRPr="00E14A3C" w:rsidRDefault="0029103F" w:rsidP="00506A56">
            <w:r w:rsidRPr="00E14A3C">
              <w:t xml:space="preserve">Opis parametrów procesów </w:t>
            </w:r>
            <w:proofErr w:type="spellStart"/>
            <w:r w:rsidRPr="00E14A3C">
              <w:t>Converge</w:t>
            </w:r>
            <w:proofErr w:type="spellEnd"/>
          </w:p>
        </w:tc>
      </w:tr>
      <w:tr w:rsidR="0029103F" w:rsidRPr="006712DC" w14:paraId="139F7450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6FBFF84D" w14:textId="77777777" w:rsidR="0029103F" w:rsidRPr="00E14A3C" w:rsidRDefault="0029103F" w:rsidP="00506A56">
            <w:r w:rsidRPr="00E14A3C">
              <w:t>REDAP2-CBP.DA.CSS.xlsx</w:t>
            </w:r>
          </w:p>
        </w:tc>
        <w:tc>
          <w:tcPr>
            <w:tcW w:w="8783" w:type="dxa"/>
            <w:hideMark/>
          </w:tcPr>
          <w:p w14:paraId="32A589AD" w14:textId="77777777" w:rsidR="0029103F" w:rsidRPr="00E14A3C" w:rsidRDefault="0029103F" w:rsidP="00506A56">
            <w:r w:rsidRPr="00E14A3C">
              <w:t>Opis parametrów procesów CSS</w:t>
            </w:r>
          </w:p>
        </w:tc>
      </w:tr>
      <w:tr w:rsidR="0029103F" w:rsidRPr="00B210B9" w14:paraId="3A7AB6C6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673DD8F5" w14:textId="77777777" w:rsidR="0029103F" w:rsidRPr="00E14A3C" w:rsidRDefault="0029103F" w:rsidP="00506A56">
            <w:r w:rsidRPr="00E14A3C">
              <w:t>REDAP2-CBP.DA.DRO.xlsx</w:t>
            </w:r>
          </w:p>
        </w:tc>
        <w:tc>
          <w:tcPr>
            <w:tcW w:w="8783" w:type="dxa"/>
            <w:hideMark/>
          </w:tcPr>
          <w:p w14:paraId="4AB91C2D" w14:textId="77777777" w:rsidR="0029103F" w:rsidRPr="00E14A3C" w:rsidRDefault="0029103F" w:rsidP="00506A56">
            <w:r w:rsidRPr="00E14A3C">
              <w:t>Opis parametrów procesów eksportów DRO</w:t>
            </w:r>
          </w:p>
        </w:tc>
      </w:tr>
      <w:tr w:rsidR="0029103F" w:rsidRPr="00B210B9" w14:paraId="090C7C3F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10C2AE43" w14:textId="77777777" w:rsidR="0029103F" w:rsidRPr="00E14A3C" w:rsidRDefault="0029103F" w:rsidP="00506A56">
            <w:r w:rsidRPr="00E14A3C">
              <w:t>REDAP2-CBP.DA.EDO.xlsx</w:t>
            </w:r>
          </w:p>
        </w:tc>
        <w:tc>
          <w:tcPr>
            <w:tcW w:w="8783" w:type="dxa"/>
            <w:hideMark/>
          </w:tcPr>
          <w:p w14:paraId="17A3FC23" w14:textId="77777777" w:rsidR="0029103F" w:rsidRPr="00E14A3C" w:rsidRDefault="0029103F" w:rsidP="00506A56">
            <w:r w:rsidRPr="00E14A3C">
              <w:t>Opis parametrów procesów EDO</w:t>
            </w:r>
          </w:p>
        </w:tc>
      </w:tr>
      <w:tr w:rsidR="0029103F" w:rsidRPr="00B210B9" w14:paraId="3EA4D549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3F0732D6" w14:textId="77777777" w:rsidR="0029103F" w:rsidRPr="00E14A3C" w:rsidRDefault="0029103F" w:rsidP="00506A56">
            <w:r w:rsidRPr="00E14A3C">
              <w:t>REDAP2-CBP.DA.ELMS.xlsx</w:t>
            </w:r>
          </w:p>
        </w:tc>
        <w:tc>
          <w:tcPr>
            <w:tcW w:w="8783" w:type="dxa"/>
            <w:hideMark/>
          </w:tcPr>
          <w:p w14:paraId="12360D31" w14:textId="77777777" w:rsidR="0029103F" w:rsidRPr="00E14A3C" w:rsidRDefault="0029103F" w:rsidP="00506A56">
            <w:r w:rsidRPr="00E14A3C">
              <w:t>Opis parametrów procesów  ELMS</w:t>
            </w:r>
          </w:p>
        </w:tc>
      </w:tr>
      <w:tr w:rsidR="0029103F" w:rsidRPr="00B210B9" w14:paraId="4FECA704" w14:textId="77777777" w:rsidTr="00EB1990">
        <w:trPr>
          <w:trHeight w:val="330"/>
        </w:trPr>
        <w:tc>
          <w:tcPr>
            <w:tcW w:w="279" w:type="dxa"/>
            <w:noWrap/>
            <w:hideMark/>
          </w:tcPr>
          <w:p w14:paraId="54972C1B" w14:textId="77777777" w:rsidR="0029103F" w:rsidRPr="00E14A3C" w:rsidRDefault="0029103F" w:rsidP="00506A56">
            <w:r w:rsidRPr="00E14A3C">
              <w:t>REDAP2-CBP.DA.OSB.xlsx</w:t>
            </w:r>
          </w:p>
        </w:tc>
        <w:tc>
          <w:tcPr>
            <w:tcW w:w="8783" w:type="dxa"/>
            <w:hideMark/>
          </w:tcPr>
          <w:p w14:paraId="4683F8CD" w14:textId="77777777" w:rsidR="0029103F" w:rsidRPr="00E14A3C" w:rsidRDefault="0029103F" w:rsidP="00506A56">
            <w:r w:rsidRPr="00E14A3C">
              <w:t>Opis parametrów procesów OSB</w:t>
            </w:r>
          </w:p>
        </w:tc>
      </w:tr>
      <w:tr w:rsidR="0029103F" w:rsidRPr="00B210B9" w14:paraId="59AD463D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44D0166D" w14:textId="77777777" w:rsidR="0029103F" w:rsidRPr="00E14A3C" w:rsidRDefault="0029103F" w:rsidP="00506A56">
            <w:r w:rsidRPr="00E14A3C">
              <w:t>REDAP2-CBP.DA.SKOME.xlsx</w:t>
            </w:r>
          </w:p>
        </w:tc>
        <w:tc>
          <w:tcPr>
            <w:tcW w:w="8783" w:type="dxa"/>
            <w:hideMark/>
          </w:tcPr>
          <w:p w14:paraId="7DF9227E" w14:textId="77777777" w:rsidR="0029103F" w:rsidRPr="00E14A3C" w:rsidRDefault="0029103F" w:rsidP="00506A56">
            <w:r w:rsidRPr="00E14A3C">
              <w:t>Opis parametrów procesów SKOME</w:t>
            </w:r>
          </w:p>
        </w:tc>
      </w:tr>
      <w:tr w:rsidR="0029103F" w:rsidRPr="00B210B9" w14:paraId="584FA343" w14:textId="77777777" w:rsidTr="00EB1990">
        <w:trPr>
          <w:trHeight w:val="600"/>
        </w:trPr>
        <w:tc>
          <w:tcPr>
            <w:tcW w:w="279" w:type="dxa"/>
            <w:noWrap/>
            <w:hideMark/>
          </w:tcPr>
          <w:p w14:paraId="676C85C6" w14:textId="77777777" w:rsidR="0029103F" w:rsidRPr="00E14A3C" w:rsidRDefault="0029103F" w:rsidP="00506A56">
            <w:r w:rsidRPr="00E14A3C">
              <w:t>REDAP2-CBP.DA.Wskazniki_Kompletnosci.xlsx</w:t>
            </w:r>
          </w:p>
        </w:tc>
        <w:tc>
          <w:tcPr>
            <w:tcW w:w="8783" w:type="dxa"/>
            <w:hideMark/>
          </w:tcPr>
          <w:p w14:paraId="4954E12F" w14:textId="77777777" w:rsidR="0029103F" w:rsidRPr="00E14A3C" w:rsidRDefault="0029103F" w:rsidP="00506A56">
            <w:r w:rsidRPr="00E14A3C">
              <w:t>Dokument opisuje proces wyznaczania wskaźników kompletności danych pomiarowych AMIPLUS</w:t>
            </w:r>
          </w:p>
        </w:tc>
      </w:tr>
      <w:tr w:rsidR="0029103F" w:rsidRPr="00B210B9" w14:paraId="6D75D8D2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02371D5B" w14:textId="77777777" w:rsidR="0029103F" w:rsidRPr="00E14A3C" w:rsidRDefault="0029103F" w:rsidP="00506A56">
            <w:r w:rsidRPr="00E14A3C">
              <w:t>REDAP2-CBP.DA.SCW.xlsx</w:t>
            </w:r>
          </w:p>
        </w:tc>
        <w:tc>
          <w:tcPr>
            <w:tcW w:w="8783" w:type="dxa"/>
            <w:hideMark/>
          </w:tcPr>
          <w:p w14:paraId="176DE1A3" w14:textId="77777777" w:rsidR="0029103F" w:rsidRPr="00E14A3C" w:rsidRDefault="0029103F" w:rsidP="00506A56">
            <w:r w:rsidRPr="00E14A3C">
              <w:t>Opis parametrów procesów  AMIPLUS</w:t>
            </w:r>
          </w:p>
        </w:tc>
      </w:tr>
      <w:tr w:rsidR="0029103F" w:rsidRPr="00B210B9" w14:paraId="7BA0774F" w14:textId="77777777" w:rsidTr="00EB1990">
        <w:trPr>
          <w:trHeight w:val="600"/>
        </w:trPr>
        <w:tc>
          <w:tcPr>
            <w:tcW w:w="279" w:type="dxa"/>
            <w:noWrap/>
            <w:hideMark/>
          </w:tcPr>
          <w:p w14:paraId="5D0BE061" w14:textId="77777777" w:rsidR="0029103F" w:rsidRPr="00E14A3C" w:rsidRDefault="0029103F" w:rsidP="00506A56">
            <w:r w:rsidRPr="00E14A3C">
              <w:t>REDAP2-CBP.OSB.Ładowanie_DR.w.1.00</w:t>
            </w:r>
          </w:p>
        </w:tc>
        <w:tc>
          <w:tcPr>
            <w:tcW w:w="8783" w:type="dxa"/>
            <w:hideMark/>
          </w:tcPr>
          <w:p w14:paraId="2BABDF40" w14:textId="77777777" w:rsidR="0029103F" w:rsidRPr="00E14A3C" w:rsidRDefault="0029103F" w:rsidP="00506A56">
            <w:r w:rsidRPr="00E14A3C">
              <w:t>Dokument opisuje mechanizmy i struktury danych Systemu przeznaczone do obsługi ładowania komunikatów OSB / SOZ.</w:t>
            </w:r>
          </w:p>
        </w:tc>
      </w:tr>
      <w:tr w:rsidR="0029103F" w:rsidRPr="00B210B9" w14:paraId="6BCAD0A3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560E0277" w14:textId="77777777" w:rsidR="0029103F" w:rsidRPr="00E14A3C" w:rsidRDefault="0029103F" w:rsidP="00506A56">
            <w:r w:rsidRPr="00E14A3C">
              <w:t>REDAP2-CBP.OSB.Mapowanie_DSA.w.2.10</w:t>
            </w:r>
          </w:p>
        </w:tc>
        <w:tc>
          <w:tcPr>
            <w:tcW w:w="8783" w:type="dxa"/>
            <w:hideMark/>
          </w:tcPr>
          <w:p w14:paraId="7281774E" w14:textId="77777777" w:rsidR="0029103F" w:rsidRPr="00E14A3C" w:rsidRDefault="0029103F" w:rsidP="00506A56">
            <w:r w:rsidRPr="00E14A3C">
              <w:t>Słowniki mapujące OSB</w:t>
            </w:r>
          </w:p>
        </w:tc>
      </w:tr>
      <w:tr w:rsidR="0029103F" w:rsidRPr="00B210B9" w14:paraId="73E40C5F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5EB2ED3B" w14:textId="77777777" w:rsidR="0029103F" w:rsidRPr="00E14A3C" w:rsidRDefault="0029103F" w:rsidP="00506A56">
            <w:r w:rsidRPr="00E14A3C">
              <w:t>REDAP2-CBP.OSB.SMX.w.1.10.</w:t>
            </w:r>
          </w:p>
        </w:tc>
        <w:tc>
          <w:tcPr>
            <w:tcW w:w="8783" w:type="dxa"/>
            <w:hideMark/>
          </w:tcPr>
          <w:p w14:paraId="1143DF8E" w14:textId="77777777" w:rsidR="0029103F" w:rsidRPr="00E14A3C" w:rsidRDefault="0029103F" w:rsidP="00506A56">
            <w:r w:rsidRPr="00E14A3C">
              <w:t>Arkusz zawierający macierz mapowań dla systemu OSB</w:t>
            </w:r>
          </w:p>
        </w:tc>
      </w:tr>
      <w:tr w:rsidR="0029103F" w:rsidRPr="00B210B9" w14:paraId="55406883" w14:textId="77777777" w:rsidTr="00EB1990">
        <w:trPr>
          <w:trHeight w:val="1305"/>
        </w:trPr>
        <w:tc>
          <w:tcPr>
            <w:tcW w:w="279" w:type="dxa"/>
            <w:noWrap/>
            <w:hideMark/>
          </w:tcPr>
          <w:p w14:paraId="0EBB84C9" w14:textId="77777777" w:rsidR="0029103F" w:rsidRPr="00E14A3C" w:rsidRDefault="0029103F" w:rsidP="00506A56">
            <w:r w:rsidRPr="00E14A3C">
              <w:t>REDAP2-CBP.SCW.Komendy_sterujace.w.1.20</w:t>
            </w:r>
          </w:p>
        </w:tc>
        <w:tc>
          <w:tcPr>
            <w:tcW w:w="8783" w:type="dxa"/>
            <w:hideMark/>
          </w:tcPr>
          <w:p w14:paraId="4AE1D8A1" w14:textId="77777777" w:rsidR="0029103F" w:rsidRPr="00E14A3C" w:rsidRDefault="0029103F" w:rsidP="00506A56">
            <w:r w:rsidRPr="00E14A3C">
              <w:t xml:space="preserve">Dokument opisuje mechanizmy i struktury danych Systemu przeznaczone do obsługi komend sterujących licznikami AMI oraz zastosowanie ich do sterowania licznikami </w:t>
            </w:r>
            <w:r w:rsidRPr="00E14A3C">
              <w:lastRenderedPageBreak/>
              <w:t>instalowanymi w ramach projektu Smart City Wrocław</w:t>
            </w:r>
          </w:p>
        </w:tc>
      </w:tr>
      <w:tr w:rsidR="0029103F" w:rsidRPr="00B210B9" w14:paraId="54F00CAD" w14:textId="77777777" w:rsidTr="00EB1990">
        <w:trPr>
          <w:trHeight w:val="990"/>
        </w:trPr>
        <w:tc>
          <w:tcPr>
            <w:tcW w:w="279" w:type="dxa"/>
            <w:noWrap/>
            <w:hideMark/>
          </w:tcPr>
          <w:p w14:paraId="22F64322" w14:textId="77777777" w:rsidR="0029103F" w:rsidRPr="00E14A3C" w:rsidRDefault="0029103F" w:rsidP="00506A56">
            <w:r w:rsidRPr="00E14A3C">
              <w:lastRenderedPageBreak/>
              <w:t>REDAP2-CBP.SCW.Konfiguracja.w.1.00</w:t>
            </w:r>
          </w:p>
        </w:tc>
        <w:tc>
          <w:tcPr>
            <w:tcW w:w="8783" w:type="dxa"/>
            <w:hideMark/>
          </w:tcPr>
          <w:p w14:paraId="5C7A2526" w14:textId="77777777" w:rsidR="0029103F" w:rsidRPr="00E14A3C" w:rsidRDefault="0029103F" w:rsidP="00506A56">
            <w:r w:rsidRPr="00E14A3C">
              <w:t>Dokument opisuje mechanizmy i struktury danych Systemu przeznaczone do obsługi ładowania danych konfiguracyjnych SCW.</w:t>
            </w:r>
          </w:p>
        </w:tc>
      </w:tr>
      <w:tr w:rsidR="0029103F" w:rsidRPr="00B210B9" w14:paraId="36081E37" w14:textId="77777777" w:rsidTr="00EB1990">
        <w:trPr>
          <w:trHeight w:val="600"/>
        </w:trPr>
        <w:tc>
          <w:tcPr>
            <w:tcW w:w="279" w:type="dxa"/>
            <w:noWrap/>
            <w:hideMark/>
          </w:tcPr>
          <w:p w14:paraId="18233BF1" w14:textId="77777777" w:rsidR="0029103F" w:rsidRPr="00E14A3C" w:rsidRDefault="0029103F" w:rsidP="00506A56">
            <w:r w:rsidRPr="00E14A3C">
              <w:t>REDAP2-CBP.SCW.Wskazniki_kompletnosci.w.1.10</w:t>
            </w:r>
          </w:p>
        </w:tc>
        <w:tc>
          <w:tcPr>
            <w:tcW w:w="8783" w:type="dxa"/>
            <w:hideMark/>
          </w:tcPr>
          <w:p w14:paraId="1ABF4007" w14:textId="77777777" w:rsidR="0029103F" w:rsidRPr="00E14A3C" w:rsidRDefault="0029103F" w:rsidP="00506A56">
            <w:r w:rsidRPr="00E14A3C">
              <w:t>Dokument opisuje założenia i sposób działania procesów wyliczających wskaźniki kompletności danych pomiarowych.</w:t>
            </w:r>
          </w:p>
        </w:tc>
      </w:tr>
      <w:tr w:rsidR="0029103F" w:rsidRPr="00B210B9" w14:paraId="159A656A" w14:textId="77777777" w:rsidTr="00EB1990">
        <w:trPr>
          <w:trHeight w:val="1200"/>
        </w:trPr>
        <w:tc>
          <w:tcPr>
            <w:tcW w:w="279" w:type="dxa"/>
            <w:noWrap/>
            <w:hideMark/>
          </w:tcPr>
          <w:p w14:paraId="707BFD5E" w14:textId="77777777" w:rsidR="0029103F" w:rsidRPr="00E14A3C" w:rsidRDefault="0029103F" w:rsidP="00506A56">
            <w:r w:rsidRPr="00E14A3C">
              <w:t>REDAP2-CBP.SCW.Pomiary.w.1.00</w:t>
            </w:r>
          </w:p>
        </w:tc>
        <w:tc>
          <w:tcPr>
            <w:tcW w:w="8783" w:type="dxa"/>
            <w:hideMark/>
          </w:tcPr>
          <w:p w14:paraId="5FB3F3BC" w14:textId="77777777" w:rsidR="0029103F" w:rsidRPr="00E14A3C" w:rsidRDefault="0029103F" w:rsidP="00506A56">
            <w:r w:rsidRPr="00E14A3C">
              <w:t xml:space="preserve">Dokument przedstawia sposób przetwarzania danych Smart </w:t>
            </w:r>
            <w:proofErr w:type="spellStart"/>
            <w:r w:rsidRPr="00E14A3C">
              <w:t>Metering</w:t>
            </w:r>
            <w:proofErr w:type="spellEnd"/>
            <w:r w:rsidRPr="00E14A3C">
              <w:t xml:space="preserve"> SCW z systemu źródłowego HES API do modelu danych Systemu, w szczególności procesy i algorytmy używane do walidacji, estymacji i edycji danych pomiarowych</w:t>
            </w:r>
          </w:p>
        </w:tc>
      </w:tr>
      <w:tr w:rsidR="0029103F" w:rsidRPr="00B210B9" w14:paraId="32E296FB" w14:textId="77777777" w:rsidTr="00EB1990">
        <w:trPr>
          <w:trHeight w:val="315"/>
        </w:trPr>
        <w:tc>
          <w:tcPr>
            <w:tcW w:w="279" w:type="dxa"/>
            <w:noWrap/>
            <w:hideMark/>
          </w:tcPr>
          <w:p w14:paraId="5F315F7C" w14:textId="77777777" w:rsidR="0029103F" w:rsidRPr="00E14A3C" w:rsidRDefault="0029103F" w:rsidP="00506A56">
            <w:r w:rsidRPr="00E14A3C">
              <w:t>REDAP2-CBP.SCW.SMX.w.1.30</w:t>
            </w:r>
          </w:p>
        </w:tc>
        <w:tc>
          <w:tcPr>
            <w:tcW w:w="8783" w:type="dxa"/>
            <w:hideMark/>
          </w:tcPr>
          <w:p w14:paraId="0428F8EF" w14:textId="77777777" w:rsidR="0029103F" w:rsidRPr="00E14A3C" w:rsidRDefault="0029103F" w:rsidP="00506A56">
            <w:r w:rsidRPr="00E14A3C">
              <w:t>Arkusz zawierający macierz mapowań dla systemu SCW</w:t>
            </w:r>
          </w:p>
        </w:tc>
      </w:tr>
      <w:tr w:rsidR="0029103F" w:rsidRPr="00B210B9" w14:paraId="640332B5" w14:textId="77777777" w:rsidTr="00EB1990">
        <w:trPr>
          <w:trHeight w:val="915"/>
        </w:trPr>
        <w:tc>
          <w:tcPr>
            <w:tcW w:w="279" w:type="dxa"/>
            <w:noWrap/>
            <w:hideMark/>
          </w:tcPr>
          <w:p w14:paraId="39C6F0D4" w14:textId="77777777" w:rsidR="0029103F" w:rsidRPr="00E14A3C" w:rsidRDefault="0029103F" w:rsidP="00506A56">
            <w:r w:rsidRPr="00E14A3C">
              <w:t>REDAP2-CBP.SCW.Zdarzenia_Alarmy.w.1.20</w:t>
            </w:r>
          </w:p>
        </w:tc>
        <w:tc>
          <w:tcPr>
            <w:tcW w:w="8783" w:type="dxa"/>
            <w:hideMark/>
          </w:tcPr>
          <w:p w14:paraId="2011C019" w14:textId="77777777" w:rsidR="0029103F" w:rsidRPr="00E14A3C" w:rsidRDefault="0029103F" w:rsidP="00506A56">
            <w:r w:rsidRPr="00E14A3C">
              <w:t>Dokument opisuje założenia i sposób działania procesów ładujących do Systemu dane o zdarzeniach i alarmach zarejestrowanych na licznikach i koncentratorach SCW.</w:t>
            </w:r>
          </w:p>
        </w:tc>
      </w:tr>
      <w:tr w:rsidR="00BD090C" w:rsidRPr="00B210B9" w14:paraId="303290CD" w14:textId="77777777" w:rsidTr="00EB1990">
        <w:trPr>
          <w:trHeight w:val="915"/>
        </w:trPr>
        <w:tc>
          <w:tcPr>
            <w:tcW w:w="279" w:type="dxa"/>
            <w:noWrap/>
          </w:tcPr>
          <w:p w14:paraId="69BD295C" w14:textId="77777777" w:rsidR="00BD090C" w:rsidRPr="00E14A3C" w:rsidRDefault="00BD090C" w:rsidP="00506A56">
            <w:r w:rsidRPr="00BD090C">
              <w:t>REDAP2-CBP.GUI.Konfiguracja_srodowiska_programistycznego_1.00.docx</w:t>
            </w:r>
          </w:p>
        </w:tc>
        <w:tc>
          <w:tcPr>
            <w:tcW w:w="8783" w:type="dxa"/>
          </w:tcPr>
          <w:p w14:paraId="18E8A5EF" w14:textId="77777777" w:rsidR="00BD090C" w:rsidRPr="00E14A3C" w:rsidRDefault="00BD090C" w:rsidP="00BD090C">
            <w:r w:rsidRPr="00BD090C">
              <w:t xml:space="preserve">Instalacja i konfiguracja środowiska programistycznego dla aplikacji </w:t>
            </w:r>
            <w:r>
              <w:t>Java.</w:t>
            </w:r>
          </w:p>
        </w:tc>
      </w:tr>
      <w:tr w:rsidR="00301AF8" w:rsidRPr="00B210B9" w14:paraId="37ABA885" w14:textId="77777777" w:rsidTr="00EB1990">
        <w:trPr>
          <w:trHeight w:val="915"/>
        </w:trPr>
        <w:tc>
          <w:tcPr>
            <w:tcW w:w="279" w:type="dxa"/>
            <w:noWrap/>
          </w:tcPr>
          <w:p w14:paraId="1EE9CD2F" w14:textId="77777777" w:rsidR="00301AF8" w:rsidRPr="00E14A3C" w:rsidRDefault="00301AF8" w:rsidP="00506A56">
            <w:r w:rsidRPr="00301AF8">
              <w:t>CBP.Bezpieczeństwo.OpisZmian.20190227.docx</w:t>
            </w:r>
          </w:p>
        </w:tc>
        <w:tc>
          <w:tcPr>
            <w:tcW w:w="8783" w:type="dxa"/>
          </w:tcPr>
          <w:p w14:paraId="0A714D35" w14:textId="77777777" w:rsidR="00301AF8" w:rsidRDefault="00301AF8" w:rsidP="00301AF8">
            <w:r>
              <w:t>Dokument zawierający zbiorczy opis zmian w systemie CBP związanych z bezpieczeństwem systemu.</w:t>
            </w:r>
          </w:p>
        </w:tc>
      </w:tr>
    </w:tbl>
    <w:p w14:paraId="4F6CCDFB" w14:textId="77777777" w:rsidR="0029103F" w:rsidRDefault="0029103F" w:rsidP="00F66D3B"/>
    <w:sectPr w:rsidR="0029103F" w:rsidSect="00E0339C">
      <w:footerReference w:type="default" r:id="rId13"/>
      <w:pgSz w:w="11906" w:h="16838"/>
      <w:pgMar w:top="1417" w:right="1417" w:bottom="1417" w:left="1417" w:header="708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13495" w14:textId="77777777" w:rsidR="00E0339C" w:rsidRDefault="00E0339C" w:rsidP="00E0339C">
      <w:pPr>
        <w:spacing w:before="0" w:after="0" w:line="240" w:lineRule="auto"/>
      </w:pPr>
      <w:r>
        <w:separator/>
      </w:r>
    </w:p>
  </w:endnote>
  <w:endnote w:type="continuationSeparator" w:id="0">
    <w:p w14:paraId="1A1E3B91" w14:textId="77777777" w:rsidR="00E0339C" w:rsidRDefault="00E0339C" w:rsidP="00E0339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78012" w14:textId="0D3D362D" w:rsidR="00E0339C" w:rsidRPr="00E0339C" w:rsidRDefault="00E0339C" w:rsidP="00E0339C">
    <w:pPr>
      <w:pStyle w:val="Stopka"/>
      <w:pBdr>
        <w:top w:val="single" w:sz="4" w:space="0" w:color="auto"/>
      </w:pBdr>
      <w:ind w:right="360"/>
      <w:jc w:val="right"/>
      <w:rPr>
        <w:szCs w:val="20"/>
        <w:lang w:eastAsia="en-US"/>
      </w:rPr>
    </w:pPr>
    <w:r w:rsidRPr="00E0339C">
      <w:rPr>
        <w:szCs w:val="20"/>
        <w:lang w:eastAsia="en-US"/>
      </w:rPr>
      <w:t xml:space="preserve"> Strona </w:t>
    </w:r>
    <w:r w:rsidRPr="00E0339C">
      <w:rPr>
        <w:szCs w:val="20"/>
        <w:lang w:eastAsia="en-US"/>
      </w:rPr>
      <w:fldChar w:fldCharType="begin"/>
    </w:r>
    <w:r w:rsidRPr="00E0339C">
      <w:rPr>
        <w:szCs w:val="20"/>
        <w:lang w:eastAsia="en-US"/>
      </w:rPr>
      <w:instrText xml:space="preserve"> PAGE </w:instrText>
    </w:r>
    <w:r w:rsidRPr="00E0339C">
      <w:rPr>
        <w:szCs w:val="20"/>
        <w:lang w:eastAsia="en-US"/>
      </w:rPr>
      <w:fldChar w:fldCharType="separate"/>
    </w:r>
    <w:r w:rsidR="00861ADF">
      <w:rPr>
        <w:noProof/>
        <w:szCs w:val="20"/>
        <w:lang w:eastAsia="en-US"/>
      </w:rPr>
      <w:t>3</w:t>
    </w:r>
    <w:r w:rsidRPr="00E0339C">
      <w:rPr>
        <w:szCs w:val="20"/>
        <w:lang w:eastAsia="en-US"/>
      </w:rPr>
      <w:fldChar w:fldCharType="end"/>
    </w:r>
    <w:r w:rsidRPr="00E0339C">
      <w:rPr>
        <w:szCs w:val="20"/>
        <w:lang w:eastAsia="en-US"/>
      </w:rPr>
      <w:t xml:space="preserve"> z </w:t>
    </w:r>
    <w:r w:rsidRPr="00E0339C">
      <w:rPr>
        <w:szCs w:val="20"/>
        <w:lang w:eastAsia="en-US"/>
      </w:rPr>
      <w:fldChar w:fldCharType="begin"/>
    </w:r>
    <w:r w:rsidRPr="00E0339C">
      <w:rPr>
        <w:szCs w:val="20"/>
        <w:lang w:eastAsia="en-US"/>
      </w:rPr>
      <w:instrText xml:space="preserve"> NUMPAGES </w:instrText>
    </w:r>
    <w:r w:rsidRPr="00E0339C">
      <w:rPr>
        <w:szCs w:val="20"/>
        <w:lang w:eastAsia="en-US"/>
      </w:rPr>
      <w:fldChar w:fldCharType="separate"/>
    </w:r>
    <w:r w:rsidR="00861ADF">
      <w:rPr>
        <w:noProof/>
        <w:szCs w:val="20"/>
        <w:lang w:eastAsia="en-US"/>
      </w:rPr>
      <w:t>13</w:t>
    </w:r>
    <w:r w:rsidRPr="00E0339C">
      <w:rPr>
        <w:szCs w:val="20"/>
        <w:lang w:eastAsia="en-US"/>
      </w:rPr>
      <w:fldChar w:fldCharType="end"/>
    </w:r>
  </w:p>
  <w:p w14:paraId="78000295" w14:textId="3EA2EB1D" w:rsidR="00E0339C" w:rsidRDefault="00E0339C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1E8D13E7" w14:textId="5EA17192" w:rsidR="00E0339C" w:rsidRDefault="00E03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974DE" w14:textId="77777777" w:rsidR="00E0339C" w:rsidRDefault="00E0339C" w:rsidP="00E0339C">
      <w:pPr>
        <w:spacing w:before="0" w:after="0" w:line="240" w:lineRule="auto"/>
      </w:pPr>
      <w:r>
        <w:separator/>
      </w:r>
    </w:p>
  </w:footnote>
  <w:footnote w:type="continuationSeparator" w:id="0">
    <w:p w14:paraId="74B8DF15" w14:textId="77777777" w:rsidR="00E0339C" w:rsidRDefault="00E0339C" w:rsidP="00E0339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77634"/>
    <w:multiLevelType w:val="multilevel"/>
    <w:tmpl w:val="E9F4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AE5136"/>
    <w:multiLevelType w:val="hybridMultilevel"/>
    <w:tmpl w:val="7EA60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70B90"/>
    <w:multiLevelType w:val="hybridMultilevel"/>
    <w:tmpl w:val="85E2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41D3"/>
    <w:multiLevelType w:val="hybridMultilevel"/>
    <w:tmpl w:val="F87C4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60A88"/>
    <w:multiLevelType w:val="hybridMultilevel"/>
    <w:tmpl w:val="9E6621F8"/>
    <w:lvl w:ilvl="0" w:tplc="CAC4563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8736A"/>
    <w:multiLevelType w:val="hybridMultilevel"/>
    <w:tmpl w:val="AAD8AF92"/>
    <w:lvl w:ilvl="0" w:tplc="0B54FD8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C387B"/>
    <w:multiLevelType w:val="hybridMultilevel"/>
    <w:tmpl w:val="02B64514"/>
    <w:lvl w:ilvl="0" w:tplc="FE964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FC200B"/>
    <w:multiLevelType w:val="hybridMultilevel"/>
    <w:tmpl w:val="DCBE0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66F9B"/>
    <w:multiLevelType w:val="multilevel"/>
    <w:tmpl w:val="A5924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7F342E3"/>
    <w:multiLevelType w:val="hybridMultilevel"/>
    <w:tmpl w:val="65BE9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37B38"/>
    <w:multiLevelType w:val="hybridMultilevel"/>
    <w:tmpl w:val="ECAAE9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202AD"/>
    <w:multiLevelType w:val="hybridMultilevel"/>
    <w:tmpl w:val="8BACB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80678"/>
    <w:multiLevelType w:val="hybridMultilevel"/>
    <w:tmpl w:val="C1C403B4"/>
    <w:lvl w:ilvl="0" w:tplc="FE964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7C7F9D"/>
    <w:multiLevelType w:val="hybridMultilevel"/>
    <w:tmpl w:val="DE562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096611"/>
    <w:multiLevelType w:val="hybridMultilevel"/>
    <w:tmpl w:val="E7788680"/>
    <w:lvl w:ilvl="0" w:tplc="FE964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385518">
    <w:abstractNumId w:val="11"/>
  </w:num>
  <w:num w:numId="2" w16cid:durableId="680201446">
    <w:abstractNumId w:val="9"/>
  </w:num>
  <w:num w:numId="3" w16cid:durableId="143085356">
    <w:abstractNumId w:val="13"/>
  </w:num>
  <w:num w:numId="4" w16cid:durableId="1664317775">
    <w:abstractNumId w:val="3"/>
  </w:num>
  <w:num w:numId="5" w16cid:durableId="1244335912">
    <w:abstractNumId w:val="7"/>
  </w:num>
  <w:num w:numId="6" w16cid:durableId="1940405019">
    <w:abstractNumId w:val="2"/>
  </w:num>
  <w:num w:numId="7" w16cid:durableId="1442332844">
    <w:abstractNumId w:val="1"/>
  </w:num>
  <w:num w:numId="8" w16cid:durableId="1932161350">
    <w:abstractNumId w:val="0"/>
  </w:num>
  <w:num w:numId="9" w16cid:durableId="1000503976">
    <w:abstractNumId w:val="8"/>
  </w:num>
  <w:num w:numId="10" w16cid:durableId="1534462298">
    <w:abstractNumId w:val="14"/>
  </w:num>
  <w:num w:numId="11" w16cid:durableId="1954242481">
    <w:abstractNumId w:val="12"/>
  </w:num>
  <w:num w:numId="12" w16cid:durableId="1926956934">
    <w:abstractNumId w:val="6"/>
  </w:num>
  <w:num w:numId="13" w16cid:durableId="940064123">
    <w:abstractNumId w:val="5"/>
  </w:num>
  <w:num w:numId="14" w16cid:durableId="1482818197">
    <w:abstractNumId w:val="10"/>
  </w:num>
  <w:num w:numId="15" w16cid:durableId="2702792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03F"/>
    <w:rsid w:val="00033CE5"/>
    <w:rsid w:val="0007399D"/>
    <w:rsid w:val="001D259B"/>
    <w:rsid w:val="001D36F1"/>
    <w:rsid w:val="00222FC7"/>
    <w:rsid w:val="00251F50"/>
    <w:rsid w:val="00261FCF"/>
    <w:rsid w:val="0029103F"/>
    <w:rsid w:val="002B7C88"/>
    <w:rsid w:val="002D2810"/>
    <w:rsid w:val="00301AF8"/>
    <w:rsid w:val="00312921"/>
    <w:rsid w:val="0031476E"/>
    <w:rsid w:val="003157D8"/>
    <w:rsid w:val="00316E62"/>
    <w:rsid w:val="003827A7"/>
    <w:rsid w:val="00426BEB"/>
    <w:rsid w:val="004467AE"/>
    <w:rsid w:val="004660C2"/>
    <w:rsid w:val="0047022B"/>
    <w:rsid w:val="004A08E9"/>
    <w:rsid w:val="004A1862"/>
    <w:rsid w:val="004C23E2"/>
    <w:rsid w:val="00506A56"/>
    <w:rsid w:val="0052101D"/>
    <w:rsid w:val="00561E77"/>
    <w:rsid w:val="00586CC6"/>
    <w:rsid w:val="005E31D5"/>
    <w:rsid w:val="005E4505"/>
    <w:rsid w:val="00600B63"/>
    <w:rsid w:val="006130DF"/>
    <w:rsid w:val="006203B4"/>
    <w:rsid w:val="0063332B"/>
    <w:rsid w:val="006938DB"/>
    <w:rsid w:val="006D69FB"/>
    <w:rsid w:val="0072688D"/>
    <w:rsid w:val="00760A56"/>
    <w:rsid w:val="0078237B"/>
    <w:rsid w:val="007830BA"/>
    <w:rsid w:val="00790D61"/>
    <w:rsid w:val="00793704"/>
    <w:rsid w:val="007B43C7"/>
    <w:rsid w:val="00861ADF"/>
    <w:rsid w:val="0086607A"/>
    <w:rsid w:val="009E33F7"/>
    <w:rsid w:val="00A77F43"/>
    <w:rsid w:val="00AC7403"/>
    <w:rsid w:val="00AE041A"/>
    <w:rsid w:val="00B631AD"/>
    <w:rsid w:val="00B85067"/>
    <w:rsid w:val="00BB3A09"/>
    <w:rsid w:val="00BD090C"/>
    <w:rsid w:val="00C236E5"/>
    <w:rsid w:val="00C74BFB"/>
    <w:rsid w:val="00CB24C5"/>
    <w:rsid w:val="00CE7EB6"/>
    <w:rsid w:val="00D8197F"/>
    <w:rsid w:val="00DD5A71"/>
    <w:rsid w:val="00E0339C"/>
    <w:rsid w:val="00E318B2"/>
    <w:rsid w:val="00E63BC7"/>
    <w:rsid w:val="00EB1990"/>
    <w:rsid w:val="00EB7A16"/>
    <w:rsid w:val="00ED587A"/>
    <w:rsid w:val="00ED5E05"/>
    <w:rsid w:val="00EE7589"/>
    <w:rsid w:val="00F11694"/>
    <w:rsid w:val="00F124D0"/>
    <w:rsid w:val="00F41959"/>
    <w:rsid w:val="00F66D3B"/>
    <w:rsid w:val="00FC65D8"/>
    <w:rsid w:val="00FC77F3"/>
    <w:rsid w:val="00FE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4:docId w14:val="5D9F1185"/>
  <w15:chartTrackingRefBased/>
  <w15:docId w15:val="{3D89925E-20DD-46E7-B892-CC4E958D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A56"/>
    <w:pPr>
      <w:spacing w:before="120" w:after="120" w:line="276" w:lineRule="auto"/>
    </w:pPr>
    <w:rPr>
      <w:rFonts w:ascii="Arial" w:eastAsia="Times New Roman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38DB"/>
    <w:pPr>
      <w:keepNext/>
      <w:outlineLvl w:val="0"/>
    </w:pPr>
    <w:rPr>
      <w:b/>
      <w:bCs/>
      <w:sz w:val="24"/>
    </w:rPr>
  </w:style>
  <w:style w:type="paragraph" w:styleId="Nagwek2">
    <w:name w:val="heading 2"/>
    <w:basedOn w:val="Nagwek1"/>
    <w:next w:val="Normalny"/>
    <w:link w:val="Nagwek2Znak"/>
    <w:uiPriority w:val="9"/>
    <w:qFormat/>
    <w:rsid w:val="006938DB"/>
    <w:pPr>
      <w:keepLines/>
      <w:spacing w:before="40"/>
      <w:outlineLvl w:val="1"/>
    </w:pPr>
    <w:rPr>
      <w:rFonts w:eastAsiaTheme="majorEastAsia" w:cstheme="majorBidi"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38DB"/>
    <w:rPr>
      <w:rFonts w:ascii="Arial" w:eastAsia="Times New Roman" w:hAnsi="Arial" w:cs="Arial"/>
      <w:b/>
      <w:bCs/>
      <w:sz w:val="24"/>
      <w:szCs w:val="20"/>
    </w:rPr>
  </w:style>
  <w:style w:type="table" w:styleId="Tabela-Siatka">
    <w:name w:val="Table Grid"/>
    <w:basedOn w:val="Standardowy"/>
    <w:uiPriority w:val="59"/>
    <w:rsid w:val="0029103F"/>
    <w:pPr>
      <w:spacing w:after="0" w:line="240" w:lineRule="auto"/>
    </w:pPr>
    <w:rPr>
      <w:rFonts w:ascii="Arial" w:eastAsia="Times New Roman" w:hAnsi="Arial" w:cs="Arial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6938DB"/>
    <w:rPr>
      <w:rFonts w:ascii="Arial" w:eastAsiaTheme="majorEastAsia" w:hAnsi="Arial" w:cstheme="majorBidi"/>
      <w:b/>
      <w:bCs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506A56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06A5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116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19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9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959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9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959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95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95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01AF8"/>
    <w:rPr>
      <w:rFonts w:ascii="Arial" w:eastAsia="Times New Roman" w:hAnsi="Arial" w:cs="Arial"/>
      <w:lang w:eastAsia="pl-PL"/>
    </w:rPr>
  </w:style>
  <w:style w:type="table" w:styleId="Tabelasiatki1jasna">
    <w:name w:val="Grid Table 1 Light"/>
    <w:basedOn w:val="Standardowy"/>
    <w:uiPriority w:val="46"/>
    <w:rsid w:val="0079370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ezodstpw">
    <w:name w:val="No Spacing"/>
    <w:uiPriority w:val="1"/>
    <w:qFormat/>
    <w:rsid w:val="004467AE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33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39C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339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39C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eon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b3616693-3ae9-4777-9467-3048428c528d" xsi:nil="true"/>
    <lcf76f155ced4ddcb4097134ff3c332f xmlns="b3616693-3ae9-4777-9467-3048428c528d">
      <Terms xmlns="http://schemas.microsoft.com/office/infopath/2007/PartnerControls"/>
    </lcf76f155ced4ddcb4097134ff3c332f>
    <TaxCatchAll xmlns="fd1e8c6f-c442-4fa5-90bd-37031bf26a13" xsi:nil="true"/>
    <Link xmlns="b3616693-3ae9-4777-9467-3048428c528d">
      <Url xsi:nil="true"/>
      <Description xsi:nil="true"/>
    </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34AD43567E3B4EA92E53975B3F65D9" ma:contentTypeVersion="19" ma:contentTypeDescription="Utwórz nowy dokument." ma:contentTypeScope="" ma:versionID="16d0ab80b9ec7f59159d94b85ef2e513">
  <xsd:schema xmlns:xsd="http://www.w3.org/2001/XMLSchema" xmlns:xs="http://www.w3.org/2001/XMLSchema" xmlns:p="http://schemas.microsoft.com/office/2006/metadata/properties" xmlns:ns2="fd1e8c6f-c442-4fa5-90bd-37031bf26a13" xmlns:ns3="b3616693-3ae9-4777-9467-3048428c528d" targetNamespace="http://schemas.microsoft.com/office/2006/metadata/properties" ma:root="true" ma:fieldsID="b3ed1bb0cb409c4a91f2be63d2d0f2ca" ns2:_="" ns3:_="">
    <xsd:import namespace="fd1e8c6f-c442-4fa5-90bd-37031bf26a13"/>
    <xsd:import namespace="b3616693-3ae9-4777-9467-3048428c52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ink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e8c6f-c442-4fa5-90bd-37031bf26a1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3613c9b-477e-441e-883d-b6761715c9c4}" ma:internalName="TaxCatchAll" ma:showField="CatchAllData" ma:web="fd1e8c6f-c442-4fa5-90bd-37031bf26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616693-3ae9-4777-9467-3048428c52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nk" ma:index="12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tan zatwierdzenia" ma:internalName="Stan_x0020_zatwierdzenia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B7CBE-8544-48D2-8BBF-3D28243AC58B}">
  <ds:schemaRefs>
    <ds:schemaRef ds:uri="http://www.w3.org/XML/1998/namespace"/>
    <ds:schemaRef ds:uri="b3616693-3ae9-4777-9467-3048428c528d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fd1e8c6f-c442-4fa5-90bd-37031bf26a13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C52EAC-4401-4FCA-A5AD-80EE376A3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e8c6f-c442-4fa5-90bd-37031bf26a13"/>
    <ds:schemaRef ds:uri="b3616693-3ae9-4777-9467-3048428c52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F52D03-32FC-428A-A893-74389B9FB6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E8EA5C-D875-4A28-B3BF-A760E648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12</Pages>
  <Words>2834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Jędras Marcin</dc:creator>
  <cp:keywords/>
  <dc:description/>
  <cp:lastModifiedBy>Osmołowska Emila (TOK)</cp:lastModifiedBy>
  <cp:revision>4</cp:revision>
  <dcterms:created xsi:type="dcterms:W3CDTF">2022-11-23T11:14:00Z</dcterms:created>
  <dcterms:modified xsi:type="dcterms:W3CDTF">2025-07-02T11:03:00Z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3" name="ContentTypeId">
    <vt:lpwstr>0x010100E034AD43567E3B4EA92E53975B3F65D9</vt:lpwstr>
  </property>
  <property fmtid="{D5CDD505-2E9C-101B-9397-08002B2CF9AE}" pid="4" name="MediaServiceImageTags">
    <vt:lpwstr/>
  </property>
</Properties>
</file>