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9AEA8" w14:textId="77777777" w:rsidR="005E4762" w:rsidRPr="005E4762" w:rsidRDefault="005E4762" w:rsidP="00AA65B3">
      <w:pPr>
        <w:spacing w:line="360" w:lineRule="auto"/>
        <w:rPr>
          <w:rFonts w:eastAsia="Times New Roman" w:cs="Arial"/>
          <w:b/>
          <w:bCs/>
          <w:color w:val="auto"/>
          <w:sz w:val="22"/>
          <w:szCs w:val="22"/>
          <w:lang w:eastAsia="pl-PL"/>
        </w:rPr>
        <w:sectPr w:rsidR="005E4762" w:rsidRPr="005E4762" w:rsidSect="006432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127" w:right="1134" w:bottom="1134" w:left="1701" w:header="568" w:footer="510" w:gutter="0"/>
          <w:cols w:num="2" w:space="565"/>
          <w:docGrid w:linePitch="360"/>
        </w:sectPr>
      </w:pPr>
    </w:p>
    <w:p w14:paraId="05212035" w14:textId="677C2639" w:rsidR="004514DA" w:rsidRP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4"/>
          <w:szCs w:val="22"/>
          <w:lang w:eastAsia="pl-PL"/>
        </w:rPr>
      </w:pPr>
      <w:r w:rsidRPr="004514DA">
        <w:rPr>
          <w:rFonts w:eastAsia="Calibri" w:cs="Arial"/>
          <w:b/>
          <w:bCs/>
          <w:color w:val="auto"/>
          <w:sz w:val="24"/>
          <w:szCs w:val="22"/>
          <w:lang w:eastAsia="pl-PL"/>
        </w:rPr>
        <w:t>Szczegółowy Opis Przedmiotu Zamówienia</w:t>
      </w:r>
    </w:p>
    <w:p w14:paraId="58EF1071" w14:textId="0203E321" w:rsidR="00F148DC" w:rsidRDefault="00F148DC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6A2D0D2D" w14:textId="77777777" w:rsid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30F0769E" w14:textId="1A4176EF" w:rsidR="004514DA" w:rsidRDefault="004514DA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Przedmiotem zamówienia jest:</w:t>
      </w:r>
    </w:p>
    <w:p w14:paraId="5C7C7388" w14:textId="77777777" w:rsidR="00EE36C2" w:rsidRDefault="00EE36C2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7FAE2F50" w14:textId="0F03B302" w:rsidR="004514DA" w:rsidRPr="004514DA" w:rsidRDefault="004514DA" w:rsidP="004514DA">
      <w:pPr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„</w:t>
      </w:r>
      <w:r w:rsidR="007E2481">
        <w:rPr>
          <w:rFonts w:eastAsia="Calibri" w:cs="Arial"/>
          <w:b/>
          <w:bCs/>
          <w:color w:val="auto"/>
          <w:sz w:val="22"/>
          <w:szCs w:val="22"/>
          <w:lang w:eastAsia="pl-PL"/>
        </w:rPr>
        <w:t>Modernizacja oświetlenia ulicznego</w:t>
      </w:r>
      <w:r w:rsidR="0085773D" w:rsidRPr="0085773D">
        <w:rPr>
          <w:rFonts w:eastAsia="Calibri" w:cs="Arial"/>
          <w:b/>
          <w:bCs/>
          <w:color w:val="auto"/>
          <w:sz w:val="22"/>
          <w:szCs w:val="22"/>
          <w:lang w:eastAsia="pl-PL"/>
        </w:rPr>
        <w:t xml:space="preserve"> na terenie </w:t>
      </w:r>
      <w:r w:rsidR="00AD4EC3">
        <w:rPr>
          <w:rFonts w:eastAsia="Calibri" w:cs="Arial"/>
          <w:b/>
          <w:bCs/>
          <w:color w:val="auto"/>
          <w:sz w:val="22"/>
          <w:szCs w:val="22"/>
          <w:lang w:eastAsia="pl-PL"/>
        </w:rPr>
        <w:t>Dąbrowy Górniczej</w:t>
      </w: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”</w:t>
      </w:r>
    </w:p>
    <w:p w14:paraId="42A863ED" w14:textId="77777777" w:rsidR="004514DA" w:rsidRPr="000A5364" w:rsidRDefault="004514DA" w:rsidP="000A5364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6ED51FD1" w14:textId="6ECEFF0E" w:rsidR="000D0E12" w:rsidRPr="00ED4B15" w:rsidRDefault="001F4356" w:rsidP="0085773D">
      <w:pPr>
        <w:pStyle w:val="Akapitzlist"/>
        <w:numPr>
          <w:ilvl w:val="0"/>
          <w:numId w:val="20"/>
        </w:numPr>
        <w:spacing w:after="120" w:line="360" w:lineRule="auto"/>
        <w:ind w:left="426" w:hanging="284"/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bCs/>
          <w:color w:val="auto"/>
          <w:sz w:val="22"/>
          <w:szCs w:val="22"/>
          <w:lang w:eastAsia="pl-PL"/>
        </w:rPr>
        <w:t>O</w:t>
      </w:r>
      <w:r w:rsidR="000D0E12" w:rsidRPr="00ED4B15">
        <w:rPr>
          <w:rFonts w:eastAsia="Calibri" w:cs="Arial"/>
          <w:b/>
          <w:bCs/>
          <w:color w:val="auto"/>
          <w:sz w:val="22"/>
          <w:szCs w:val="22"/>
          <w:lang w:eastAsia="pl-PL"/>
        </w:rPr>
        <w:t>pis przedmiotu zamówienia:</w:t>
      </w:r>
    </w:p>
    <w:p w14:paraId="6C451655" w14:textId="4E8BA245" w:rsidR="007A0AE5" w:rsidRPr="000A5364" w:rsidRDefault="007A0AE5" w:rsidP="000A5364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 xml:space="preserve">Wykonanie zadania będzie polegało na 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>wymian</w:t>
      </w:r>
      <w:r w:rsidR="00E46C50">
        <w:rPr>
          <w:rFonts w:eastAsia="Calibri" w:cs="Arial"/>
          <w:bCs/>
          <w:color w:val="auto"/>
          <w:sz w:val="22"/>
          <w:szCs w:val="22"/>
          <w:lang w:eastAsia="pl-PL"/>
        </w:rPr>
        <w:t>ie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305B61">
        <w:rPr>
          <w:rFonts w:eastAsia="Calibri" w:cs="Arial"/>
          <w:bCs/>
          <w:color w:val="auto"/>
          <w:sz w:val="22"/>
          <w:szCs w:val="22"/>
          <w:lang w:eastAsia="pl-PL"/>
        </w:rPr>
        <w:t>49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szt</w:t>
      </w:r>
      <w:r w:rsidR="00E46C50">
        <w:rPr>
          <w:rFonts w:eastAsia="Calibri" w:cs="Arial"/>
          <w:bCs/>
          <w:color w:val="auto"/>
          <w:sz w:val="22"/>
          <w:szCs w:val="22"/>
          <w:lang w:eastAsia="pl-PL"/>
        </w:rPr>
        <w:t>uk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istniejących opraw oświetleniowych na oprawy typu LED</w:t>
      </w:r>
      <w:r w:rsidR="004249FA">
        <w:rPr>
          <w:rFonts w:eastAsia="Calibri" w:cs="Arial"/>
          <w:bCs/>
          <w:color w:val="auto"/>
          <w:sz w:val="22"/>
          <w:szCs w:val="22"/>
          <w:lang w:eastAsia="pl-PL"/>
        </w:rPr>
        <w:t xml:space="preserve"> wraz z </w:t>
      </w:r>
      <w:r w:rsidR="004249FA" w:rsidRPr="004249FA">
        <w:rPr>
          <w:rFonts w:eastAsia="Calibri" w:cs="Arial"/>
          <w:bCs/>
          <w:color w:val="auto"/>
          <w:sz w:val="22"/>
          <w:szCs w:val="22"/>
          <w:lang w:eastAsia="pl-PL"/>
        </w:rPr>
        <w:t>dobudow</w:t>
      </w:r>
      <w:r w:rsidR="004249FA">
        <w:rPr>
          <w:rFonts w:eastAsia="Calibri" w:cs="Arial"/>
          <w:bCs/>
          <w:color w:val="auto"/>
          <w:sz w:val="22"/>
          <w:szCs w:val="22"/>
          <w:lang w:eastAsia="pl-PL"/>
        </w:rPr>
        <w:t>ą</w:t>
      </w:r>
      <w:r w:rsidR="004249FA" w:rsidRPr="004249FA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4249FA">
        <w:rPr>
          <w:rFonts w:eastAsia="Calibri" w:cs="Arial"/>
          <w:bCs/>
          <w:color w:val="auto"/>
          <w:sz w:val="22"/>
          <w:szCs w:val="22"/>
          <w:lang w:eastAsia="pl-PL"/>
        </w:rPr>
        <w:t>3</w:t>
      </w:r>
      <w:r w:rsidR="004249FA" w:rsidRPr="004249FA">
        <w:rPr>
          <w:rFonts w:eastAsia="Calibri" w:cs="Arial"/>
          <w:bCs/>
          <w:color w:val="auto"/>
          <w:sz w:val="22"/>
          <w:szCs w:val="22"/>
          <w:lang w:eastAsia="pl-PL"/>
        </w:rPr>
        <w:t xml:space="preserve"> szt. opraw wraz z wysięgnikami</w:t>
      </w:r>
      <w:r w:rsidR="004249FA">
        <w:rPr>
          <w:rFonts w:eastAsia="Calibri" w:cs="Arial"/>
          <w:bCs/>
          <w:color w:val="auto"/>
          <w:sz w:val="22"/>
          <w:szCs w:val="22"/>
          <w:lang w:eastAsia="pl-PL"/>
        </w:rPr>
        <w:t xml:space="preserve"> pojedynczymi (3 szt.)</w:t>
      </w:r>
      <w:r w:rsidR="004249FA" w:rsidRPr="004249FA">
        <w:rPr>
          <w:rFonts w:eastAsia="Calibri" w:cs="Arial"/>
          <w:bCs/>
          <w:color w:val="auto"/>
          <w:sz w:val="22"/>
          <w:szCs w:val="22"/>
          <w:lang w:eastAsia="pl-PL"/>
        </w:rPr>
        <w:t xml:space="preserve"> oraz niezbędnym osprzętem</w:t>
      </w:r>
      <w:r w:rsidR="00305B61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>w</w:t>
      </w:r>
      <w:r w:rsidR="007B4F21" w:rsidRPr="00ED4B15">
        <w:rPr>
          <w:rFonts w:eastAsia="Calibri" w:cs="Arial"/>
          <w:bCs/>
          <w:color w:val="auto"/>
          <w:sz w:val="22"/>
          <w:szCs w:val="22"/>
          <w:lang w:eastAsia="pl-PL"/>
        </w:rPr>
        <w:t> </w:t>
      </w:r>
      <w:r w:rsidR="00AD4EC3">
        <w:rPr>
          <w:rFonts w:eastAsia="Calibri" w:cs="Arial"/>
          <w:bCs/>
          <w:color w:val="auto"/>
          <w:sz w:val="22"/>
          <w:szCs w:val="22"/>
          <w:lang w:eastAsia="pl-PL"/>
        </w:rPr>
        <w:t>Dąbrowie Górniczej</w:t>
      </w:r>
      <w:r w:rsidR="001F5222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0F64E5">
        <w:rPr>
          <w:rFonts w:eastAsia="Calibri" w:cs="Arial"/>
          <w:bCs/>
          <w:color w:val="auto"/>
          <w:sz w:val="22"/>
          <w:szCs w:val="22"/>
          <w:lang w:eastAsia="pl-PL"/>
        </w:rPr>
        <w:t xml:space="preserve">w lokalizacjach wskazanych na załącznikach </w:t>
      </w:r>
      <w:r w:rsidR="00F509C9">
        <w:rPr>
          <w:rFonts w:eastAsia="Calibri" w:cs="Arial"/>
          <w:bCs/>
          <w:color w:val="auto"/>
          <w:sz w:val="22"/>
          <w:szCs w:val="22"/>
          <w:lang w:eastAsia="pl-PL"/>
        </w:rPr>
        <w:t>mapow</w:t>
      </w:r>
      <w:r w:rsidR="000F64E5">
        <w:rPr>
          <w:rFonts w:eastAsia="Calibri" w:cs="Arial"/>
          <w:bCs/>
          <w:color w:val="auto"/>
          <w:sz w:val="22"/>
          <w:szCs w:val="22"/>
          <w:lang w:eastAsia="pl-PL"/>
        </w:rPr>
        <w:t>ych</w:t>
      </w:r>
      <w:r w:rsidR="0085773D">
        <w:rPr>
          <w:rFonts w:eastAsia="Calibri" w:cs="Arial"/>
          <w:bCs/>
          <w:color w:val="auto"/>
          <w:sz w:val="22"/>
          <w:szCs w:val="22"/>
          <w:lang w:eastAsia="pl-PL"/>
        </w:rPr>
        <w:t>.</w:t>
      </w:r>
    </w:p>
    <w:p w14:paraId="4109B2E5" w14:textId="00E9A1E4" w:rsidR="004514DA" w:rsidRPr="00ED4B15" w:rsidRDefault="007A0AE5" w:rsidP="000A5364">
      <w:pPr>
        <w:pStyle w:val="Akapitzlist"/>
        <w:spacing w:after="120"/>
        <w:ind w:left="425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 xml:space="preserve">Usługa świadczona będzie z materiałów Wykonawcy. Wykonawca zobowiązany jest zapewnić wszystkie niezbędne do wykonania prac materiały, w tym oprawy, </w:t>
      </w:r>
      <w:r w:rsidR="00F509C9">
        <w:rPr>
          <w:rFonts w:eastAsia="Calibri" w:cs="Arial"/>
          <w:bCs/>
          <w:color w:val="auto"/>
          <w:sz w:val="22"/>
          <w:szCs w:val="22"/>
          <w:lang w:eastAsia="pl-PL"/>
        </w:rPr>
        <w:t xml:space="preserve">wysięgniki, </w:t>
      </w: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>przewody, bezpieczniki, których parametry techniczne są zgodne z niniejszym OPZ.</w:t>
      </w:r>
    </w:p>
    <w:p w14:paraId="0B68C552" w14:textId="4D66A2CC" w:rsidR="0059649D" w:rsidRPr="00ED4B15" w:rsidRDefault="0059649D" w:rsidP="000D0E12">
      <w:pPr>
        <w:pStyle w:val="Akapitzlist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</w:p>
    <w:p w14:paraId="6134E29F" w14:textId="63CE09D5" w:rsidR="004249FA" w:rsidRPr="00F509C9" w:rsidRDefault="004514DA" w:rsidP="000A5364">
      <w:pPr>
        <w:pStyle w:val="Akapitzlist"/>
        <w:numPr>
          <w:ilvl w:val="0"/>
          <w:numId w:val="20"/>
        </w:numPr>
        <w:spacing w:before="120" w:line="360" w:lineRule="auto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Zakres prac:</w:t>
      </w:r>
    </w:p>
    <w:p w14:paraId="5875243A" w14:textId="55F642C7" w:rsidR="004249FA" w:rsidRPr="00F509C9" w:rsidRDefault="004249FA" w:rsidP="00F509C9">
      <w:pPr>
        <w:pStyle w:val="Akapitzlist"/>
        <w:spacing w:after="120"/>
        <w:ind w:left="425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W ramach powyższych zakresów do Wykonawcy należeć będzie między innymi:</w:t>
      </w:r>
    </w:p>
    <w:p w14:paraId="20FB98EB" w14:textId="77777777" w:rsidR="004249FA" w:rsidRPr="004249FA" w:rsidRDefault="004249FA" w:rsidP="00F509C9">
      <w:pPr>
        <w:pStyle w:val="Akapitzlist"/>
        <w:numPr>
          <w:ilvl w:val="0"/>
          <w:numId w:val="30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uzyskanie wszelkich niezbędnych, wymaganych przepisami prawa: decyzji, opinii, zgód i uzgodnień formalno-prawnych umożliwiających pełną realizację zadania,</w:t>
      </w:r>
    </w:p>
    <w:p w14:paraId="6F262CA9" w14:textId="07526A45" w:rsidR="004249FA" w:rsidRPr="004249FA" w:rsidRDefault="004249FA" w:rsidP="00F509C9">
      <w:pPr>
        <w:pStyle w:val="Akapitzlist"/>
        <w:numPr>
          <w:ilvl w:val="0"/>
          <w:numId w:val="30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uzyskanie wiążącej decyzji administracyjnej (pozwolenia na budowę) pozwalającej na realizację zadania bądź wykonanie zgłoszenia budowy lub wykonywania innych robót budowlanych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 xml:space="preserve"> – jeżeli zajdzie taka potrzeba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268C3F90" w14:textId="2C45D040" w:rsidR="004249FA" w:rsidRPr="004249FA" w:rsidRDefault="004249FA" w:rsidP="00F509C9">
      <w:pPr>
        <w:pStyle w:val="Akapitzlist"/>
        <w:numPr>
          <w:ilvl w:val="0"/>
          <w:numId w:val="30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opracowanie dokumentacji projektowej i terenowo - prawnej zakończonej uzyskaniem prawomocnej decyzji administracyjnej pozwalającej na realizację zadania (w tym pozyskanie i zaktualizowanie wymaganych do projektowania map)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 xml:space="preserve"> – jeżeli zajdzie taka potrzeba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6D6F4E01" w14:textId="77777777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wykonanie czasowej zmiany organizacji ruchu i zabezpieczenie zgodnie z nią terenu prac,</w:t>
      </w:r>
    </w:p>
    <w:p w14:paraId="62105C45" w14:textId="77777777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demontaż istniejącej infrastruktury oświetlenia ulicznego,</w:t>
      </w:r>
    </w:p>
    <w:p w14:paraId="715F85AA" w14:textId="77777777" w:rsidR="00F509C9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montaż </w:t>
      </w:r>
      <w:r w:rsidR="00F509C9">
        <w:rPr>
          <w:rFonts w:eastAsia="Calibri" w:cs="Arial"/>
          <w:color w:val="auto"/>
          <w:sz w:val="22"/>
          <w:szCs w:val="22"/>
          <w:lang w:eastAsia="pl-PL"/>
        </w:rPr>
        <w:t xml:space="preserve">nowych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opraw drogowych (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>3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szt.) wraz z wysięgnikami (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>3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szt.)</w:t>
      </w:r>
      <w:r w:rsidR="00F509C9"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5C8590C0" w14:textId="08E5C266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>
        <w:rPr>
          <w:rFonts w:eastAsia="Calibri" w:cs="Arial"/>
          <w:color w:val="auto"/>
          <w:sz w:val="22"/>
          <w:szCs w:val="22"/>
          <w:lang w:eastAsia="pl-PL"/>
        </w:rPr>
        <w:t xml:space="preserve">wymiana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opraw </w:t>
      </w:r>
      <w:r>
        <w:rPr>
          <w:rFonts w:eastAsia="Calibri" w:cs="Arial"/>
          <w:color w:val="auto"/>
          <w:sz w:val="22"/>
          <w:szCs w:val="22"/>
          <w:lang w:eastAsia="pl-PL"/>
        </w:rPr>
        <w:t>drogowych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(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>49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szt.),</w:t>
      </w:r>
    </w:p>
    <w:p w14:paraId="0B0EFE94" w14:textId="304528D8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montaż 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 xml:space="preserve">nowych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złącz </w:t>
      </w:r>
      <w:r>
        <w:rPr>
          <w:rFonts w:eastAsia="Calibri" w:cs="Arial"/>
          <w:color w:val="auto"/>
          <w:sz w:val="22"/>
          <w:szCs w:val="22"/>
          <w:lang w:eastAsia="pl-PL"/>
        </w:rPr>
        <w:t>bezpiecznikowych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59492BA9" w14:textId="15B43812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montaż 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 xml:space="preserve">nowych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przewodów zasilających oprawy na przewód YKY w podwójnej izolacji na napięcie min. 750V, zaciskami oraz kompletnymi oprawami bezpiecznikowymi i bezpiecznikami,</w:t>
      </w:r>
    </w:p>
    <w:p w14:paraId="51A8ED16" w14:textId="4DF4154A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okrzesanie gałęzi wokół opraw</w:t>
      </w:r>
      <w:r w:rsidR="00F509C9">
        <w:rPr>
          <w:rFonts w:eastAsia="Calibri" w:cs="Arial"/>
          <w:color w:val="auto"/>
          <w:sz w:val="22"/>
          <w:szCs w:val="22"/>
          <w:lang w:eastAsia="pl-PL"/>
        </w:rPr>
        <w:t xml:space="preserve"> i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stanowisk słupowych (jeżeli zajdzie taka potrzeba),</w:t>
      </w:r>
    </w:p>
    <w:p w14:paraId="7CD88669" w14:textId="77777777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wpięcie w sieć zasilającą i uruchomienie oświetlenia (w tym istniejących powiązań obwodów niebędących przedmiotem wymiany)  wraz z uporządkowaniem terenu,</w:t>
      </w:r>
    </w:p>
    <w:p w14:paraId="19A961F5" w14:textId="77777777" w:rsidR="004249FA" w:rsidRPr="004249FA" w:rsidRDefault="004249FA" w:rsidP="00F509C9">
      <w:pPr>
        <w:pStyle w:val="Akapitzlist"/>
        <w:numPr>
          <w:ilvl w:val="0"/>
          <w:numId w:val="29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sporządzenie dokumentacji powykonawczej.</w:t>
      </w:r>
    </w:p>
    <w:p w14:paraId="3186D6BA" w14:textId="77777777" w:rsidR="007A0AE5" w:rsidRPr="00F509C9" w:rsidRDefault="007A0AE5" w:rsidP="00F509C9">
      <w:pPr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D89D279" w14:textId="59E4B4E4" w:rsidR="00EE36C2" w:rsidRPr="00ED4B15" w:rsidRDefault="00EE36C2" w:rsidP="00E46C50">
      <w:pPr>
        <w:pStyle w:val="Akapitzlist"/>
        <w:numPr>
          <w:ilvl w:val="0"/>
          <w:numId w:val="20"/>
        </w:numPr>
        <w:spacing w:line="360" w:lineRule="auto"/>
        <w:ind w:left="426" w:hanging="284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Wymagania</w:t>
      </w:r>
      <w:r w:rsidR="0059649D"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 techniczne</w:t>
      </w: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:</w:t>
      </w:r>
    </w:p>
    <w:p w14:paraId="61A8DCC2" w14:textId="62DEB9D7" w:rsidR="007A0AE5" w:rsidRPr="00ED4B15" w:rsidRDefault="00E46C50" w:rsidP="00E46C50">
      <w:pPr>
        <w:ind w:left="426"/>
        <w:jc w:val="both"/>
        <w:rPr>
          <w:rFonts w:cs="Arial"/>
          <w:b/>
          <w:sz w:val="22"/>
          <w:szCs w:val="22"/>
        </w:rPr>
      </w:pPr>
      <w:r w:rsidRPr="00ED4B15">
        <w:rPr>
          <w:rFonts w:cs="Arial"/>
          <w:b/>
          <w:sz w:val="22"/>
          <w:szCs w:val="22"/>
          <w:u w:val="single"/>
        </w:rPr>
        <w:t>Warunki brzegowe dla opraw</w:t>
      </w:r>
      <w:r w:rsidR="00C53839">
        <w:rPr>
          <w:rFonts w:cs="Arial"/>
          <w:b/>
          <w:sz w:val="22"/>
          <w:szCs w:val="22"/>
          <w:u w:val="single"/>
        </w:rPr>
        <w:t xml:space="preserve"> drogowych</w:t>
      </w:r>
      <w:r w:rsidRPr="00ED4B15">
        <w:rPr>
          <w:rFonts w:cs="Arial"/>
          <w:b/>
          <w:sz w:val="22"/>
          <w:szCs w:val="22"/>
          <w:u w:val="single"/>
        </w:rPr>
        <w:t xml:space="preserve"> z modułami LED</w:t>
      </w:r>
      <w:r w:rsidR="007A0AE5" w:rsidRPr="00ED4B15">
        <w:rPr>
          <w:rFonts w:cs="Arial"/>
          <w:b/>
          <w:sz w:val="22"/>
          <w:szCs w:val="22"/>
        </w:rPr>
        <w:t>:</w:t>
      </w:r>
    </w:p>
    <w:p w14:paraId="2629D76B" w14:textId="7C924827" w:rsidR="007A0AE5" w:rsidRPr="00ED4B15" w:rsidRDefault="007A0AE5" w:rsidP="00E46C50">
      <w:pPr>
        <w:ind w:left="426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Oprawę oświetleniową dobrać </w:t>
      </w:r>
      <w:r w:rsidRPr="00E46C50">
        <w:rPr>
          <w:rFonts w:cs="Arial"/>
          <w:bCs/>
          <w:sz w:val="22"/>
          <w:szCs w:val="22"/>
        </w:rPr>
        <w:t>wg charakterystyki opraw</w:t>
      </w:r>
      <w:r w:rsidRPr="00ED4B15">
        <w:rPr>
          <w:rFonts w:cs="Arial"/>
          <w:b/>
          <w:sz w:val="22"/>
          <w:szCs w:val="22"/>
        </w:rPr>
        <w:t xml:space="preserve"> </w:t>
      </w:r>
      <w:r w:rsidRPr="00ED4B15">
        <w:rPr>
          <w:rFonts w:cs="Arial"/>
          <w:sz w:val="22"/>
          <w:szCs w:val="22"/>
        </w:rPr>
        <w:t>podanej poniżej</w:t>
      </w:r>
      <w:r w:rsidRPr="00ED4B15">
        <w:rPr>
          <w:rFonts w:cs="Arial"/>
          <w:b/>
          <w:sz w:val="22"/>
          <w:szCs w:val="22"/>
        </w:rPr>
        <w:t>,</w:t>
      </w:r>
      <w:r w:rsidRPr="00ED4B15">
        <w:rPr>
          <w:rFonts w:cs="Arial"/>
          <w:sz w:val="22"/>
          <w:szCs w:val="22"/>
        </w:rPr>
        <w:t xml:space="preserve"> strumień świetlny oprawy w zakresie </w:t>
      </w:r>
      <w:r w:rsidRPr="00E46C50">
        <w:rPr>
          <w:rFonts w:cs="Arial"/>
          <w:b/>
          <w:bCs/>
          <w:sz w:val="22"/>
          <w:szCs w:val="22"/>
        </w:rPr>
        <w:t>7</w:t>
      </w:r>
      <w:r w:rsidR="00A03AC6">
        <w:rPr>
          <w:rFonts w:cs="Arial"/>
          <w:b/>
          <w:bCs/>
          <w:sz w:val="22"/>
          <w:szCs w:val="22"/>
        </w:rPr>
        <w:t>0</w:t>
      </w:r>
      <w:r w:rsidRPr="00E46C50">
        <w:rPr>
          <w:rFonts w:cs="Arial"/>
          <w:b/>
          <w:bCs/>
          <w:sz w:val="22"/>
          <w:szCs w:val="22"/>
        </w:rPr>
        <w:t xml:space="preserve">00 - </w:t>
      </w:r>
      <w:r w:rsidR="00AD4EC3">
        <w:rPr>
          <w:rFonts w:cs="Arial"/>
          <w:b/>
          <w:bCs/>
          <w:sz w:val="22"/>
          <w:szCs w:val="22"/>
        </w:rPr>
        <w:t>91</w:t>
      </w:r>
      <w:r w:rsidR="00A03AC6">
        <w:rPr>
          <w:rFonts w:cs="Arial"/>
          <w:b/>
          <w:bCs/>
          <w:sz w:val="22"/>
          <w:szCs w:val="22"/>
        </w:rPr>
        <w:t>00</w:t>
      </w:r>
      <w:r w:rsidRPr="00E46C50">
        <w:rPr>
          <w:rFonts w:cs="Arial"/>
          <w:b/>
          <w:bCs/>
          <w:sz w:val="22"/>
          <w:szCs w:val="22"/>
        </w:rPr>
        <w:t xml:space="preserve"> lm</w:t>
      </w:r>
      <w:r w:rsidRPr="00ED4B15">
        <w:rPr>
          <w:rFonts w:cs="Arial"/>
          <w:sz w:val="22"/>
          <w:szCs w:val="22"/>
        </w:rPr>
        <w:t>.</w:t>
      </w:r>
    </w:p>
    <w:p w14:paraId="2E39EEA7" w14:textId="77777777" w:rsidR="007A0AE5" w:rsidRPr="00ED4B15" w:rsidRDefault="007A0AE5" w:rsidP="007A0AE5">
      <w:pPr>
        <w:rPr>
          <w:rFonts w:cs="Arial"/>
          <w:b/>
          <w:sz w:val="22"/>
          <w:szCs w:val="22"/>
          <w:u w:val="single"/>
        </w:rPr>
      </w:pPr>
    </w:p>
    <w:p w14:paraId="352CFAC0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Oprawa powinna zapewniać drogowy rozsył światła. </w:t>
      </w:r>
    </w:p>
    <w:p w14:paraId="199C6767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lastRenderedPageBreak/>
        <w:t xml:space="preserve">Należy podawać moce opraw wraz z mocą pobieraną przez układ zasilania. Dopuszczalny odchył mocy to +/-10% mocy znamionowej. </w:t>
      </w:r>
    </w:p>
    <w:p w14:paraId="2037911E" w14:textId="4468CAF4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Wydajność świetlna oprawy powinna być nie mniejsza niż 130 lm z 1W po uwzględnieniu strat w układzie optycznym oraz zasilaniu.</w:t>
      </w:r>
    </w:p>
    <w:p w14:paraId="0EC6F64E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Temperatura barwowa światła oprawy powinna być neutralna, dobrana wg potrzeb zamawiającego w zakresie barwa ciepła, neutralna i zimna. Gdy nie ma konkretnych wskazań należy korzystać z barwy neutralnej.</w:t>
      </w:r>
    </w:p>
    <w:p w14:paraId="01E3CFFA" w14:textId="62372940" w:rsidR="007A0AE5" w:rsidRPr="00ED4B15" w:rsidRDefault="007A0AE5" w:rsidP="00036CA6">
      <w:pPr>
        <w:ind w:left="720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cs="Arial"/>
          <w:noProof/>
          <w:sz w:val="22"/>
          <w:szCs w:val="22"/>
        </w:rPr>
        <w:drawing>
          <wp:inline distT="0" distB="0" distL="0" distR="0" wp14:anchorId="5642F474" wp14:editId="4F6148EA">
            <wp:extent cx="3486150" cy="1209675"/>
            <wp:effectExtent l="0" t="0" r="0" b="9525"/>
            <wp:docPr id="1585631370" name="Obraz 1" descr="Znalezione obrazy dla zapytania temperatura barwowa 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Znalezione obrazy dla zapytania temperatura barwowa l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E61CB" w14:textId="77777777" w:rsidR="007A0AE5" w:rsidRPr="00ED4B15" w:rsidRDefault="007A0AE5" w:rsidP="00036CA6">
      <w:pPr>
        <w:ind w:left="720" w:hanging="294"/>
        <w:contextualSpacing/>
        <w:jc w:val="both"/>
        <w:rPr>
          <w:rFonts w:eastAsia="Calibri" w:cs="Arial"/>
          <w:sz w:val="22"/>
          <w:szCs w:val="22"/>
        </w:rPr>
      </w:pPr>
    </w:p>
    <w:p w14:paraId="0BEA7687" w14:textId="77777777" w:rsidR="007A0AE5" w:rsidRPr="00ED4B15" w:rsidRDefault="007A0AE5" w:rsidP="00036CA6">
      <w:pPr>
        <w:numPr>
          <w:ilvl w:val="0"/>
          <w:numId w:val="26"/>
        </w:numPr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Współczynnik oddawania barw powinien być większy od Ra (CRI)&gt;70.</w:t>
      </w:r>
    </w:p>
    <w:p w14:paraId="3CD1D1FD" w14:textId="77777777" w:rsidR="007A0AE5" w:rsidRPr="00ED4B15" w:rsidRDefault="007A0AE5" w:rsidP="00036CA6">
      <w:pPr>
        <w:numPr>
          <w:ilvl w:val="0"/>
          <w:numId w:val="26"/>
        </w:numPr>
        <w:spacing w:after="200"/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przy ustawieniu 0</w:t>
      </w:r>
      <w:r w:rsidRPr="00ED4B15">
        <w:rPr>
          <w:rFonts w:eastAsia="Calibri" w:cs="Arial"/>
          <w:sz w:val="22"/>
          <w:szCs w:val="22"/>
          <w:vertAlign w:val="superscript"/>
        </w:rPr>
        <w:t>0</w:t>
      </w:r>
      <w:r w:rsidRPr="00ED4B15">
        <w:rPr>
          <w:rFonts w:eastAsia="Calibri" w:cs="Arial"/>
          <w:sz w:val="22"/>
          <w:szCs w:val="22"/>
        </w:rPr>
        <w:t xml:space="preserve"> (poziomym) nie może emitować światła w górną półprzestrzeń - zgodnie z Rozporządzeniem Komisji Europejskiej  (WE) nr 245/2009 z 18 marca 2009 r.</w:t>
      </w:r>
    </w:p>
    <w:p w14:paraId="5871B28C" w14:textId="77777777" w:rsidR="007A0AE5" w:rsidRPr="00ED4B15" w:rsidRDefault="007A0AE5" w:rsidP="00036CA6">
      <w:pPr>
        <w:numPr>
          <w:ilvl w:val="0"/>
          <w:numId w:val="26"/>
        </w:numPr>
        <w:spacing w:after="200"/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o stałym poborze mocy. Dla indywidualnego życzenia zamawiającego oprawa musi posiadać możliwość dopasowania poboru mocy oraz strumienia świetlnego do indywidualnych wymagań klienta poprzez fabryczne zaprogramowanie redukcji mocy i strumienia świetlnego dopasowanej do indywidualnych potrzeb klienta (tj. oprawy ze 100% do wskazanej przez Klienta w godzinach późnonocnych zgodnie z normą PN–EN 13201) bez zastosowania dodatkowych sterowników zewnętrznych. W przypadku zastosowania dodatkowych systemów sterowania, oprawa musi mieć możliwość współpracy z zewnętrznym systemem sterowania. Powinno utrzymywać się w obszarach (gminach), gdzie stosuje się już zewnętrzne systemy sterowania, utrzymanie jednego, zunifikowanego systemu tak aby mieć jeden system zarządzania oświetleniem w danym rejonie.</w:t>
      </w:r>
    </w:p>
    <w:p w14:paraId="1CDB8452" w14:textId="77777777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Układ zasilający panel LED ma zabezpieczać źródło światła przed przepięciami o napięciu co najmniej 10 kV. Zasilacz mikroprocesorowy musi być wyposażony w zabezpieczenia: przeciążeniowe, przeciwzwarciowe, termiczne oraz nadnapięciowe.</w:t>
      </w:r>
    </w:p>
    <w:p w14:paraId="2C700100" w14:textId="6B21D0C6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Oprawa ma być wykonana z ciśnieniowego odlewu aluminium, malowana w dowolnym kolorze palety RAL, wg potrzeby </w:t>
      </w:r>
      <w:r w:rsidR="00F509C9">
        <w:rPr>
          <w:rFonts w:eastAsia="Calibri" w:cs="Arial"/>
          <w:sz w:val="22"/>
          <w:szCs w:val="22"/>
        </w:rPr>
        <w:t>Z</w:t>
      </w:r>
      <w:r w:rsidRPr="00ED4B15">
        <w:rPr>
          <w:rFonts w:eastAsia="Calibri" w:cs="Arial"/>
          <w:sz w:val="22"/>
          <w:szCs w:val="22"/>
        </w:rPr>
        <w:t>amawiającego</w:t>
      </w:r>
      <w:r w:rsidR="00F509C9">
        <w:rPr>
          <w:rFonts w:eastAsia="Calibri" w:cs="Arial"/>
          <w:sz w:val="22"/>
          <w:szCs w:val="22"/>
        </w:rPr>
        <w:t xml:space="preserve"> (podstawowy kolor to RAL 9006)</w:t>
      </w:r>
      <w:r w:rsidRPr="00ED4B15">
        <w:rPr>
          <w:rFonts w:eastAsia="Calibri" w:cs="Arial"/>
          <w:sz w:val="22"/>
          <w:szCs w:val="22"/>
        </w:rPr>
        <w:t>.</w:t>
      </w:r>
      <w:r w:rsidR="00F509C9">
        <w:rPr>
          <w:rFonts w:eastAsia="Calibri" w:cs="Arial"/>
          <w:sz w:val="22"/>
          <w:szCs w:val="22"/>
        </w:rPr>
        <w:t xml:space="preserve"> </w:t>
      </w:r>
      <w:r w:rsidRPr="00ED4B15">
        <w:rPr>
          <w:rFonts w:eastAsia="Calibri" w:cs="Arial"/>
          <w:sz w:val="22"/>
          <w:szCs w:val="22"/>
        </w:rPr>
        <w:t xml:space="preserve">Układ optyczny (soczewkowy, odbłyśnikowy) powinien chroniony być kloszem szklanym w celu ochrony przed kurzem oraz uszkodzeniami mechanicznymi – współczynnik nie mniejszy niż IK 08. W przypadku opraw nietypowych (parkowe, ozdobne, specjalistyczne) dopuszczalne jest stosowanie zamiast kloszy szklanych innych materiałów chroniących układ optyczny. </w:t>
      </w:r>
    </w:p>
    <w:p w14:paraId="5FE33437" w14:textId="77777777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Układ soczewkowy winien być wielosoczewkowy i powinien być wykonany z odpornego na warunki atmosferyczne materiału.</w:t>
      </w:r>
    </w:p>
    <w:p w14:paraId="2A570C4E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Obudowa oprawy ma być szczelnie zamknięta. Stopień szczelności oprawy nie może być mniejszy niż IP 65. </w:t>
      </w:r>
    </w:p>
    <w:p w14:paraId="687FDC82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powinna spełniać wymogi II klasy ochronności.</w:t>
      </w:r>
    </w:p>
    <w:p w14:paraId="0C3B4EB5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musi posiadać system umożliwiający sprawne odprowadzenie ciepła.</w:t>
      </w:r>
    </w:p>
    <w:p w14:paraId="5A47234F" w14:textId="5E4B4E8C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Zastosowana oprawa musi posiadać certyfikat bezpieczeństwa - </w:t>
      </w:r>
      <w:r w:rsidRPr="00ED4B15">
        <w:rPr>
          <w:rFonts w:eastAsia="Calibri" w:cs="Arial"/>
          <w:b/>
          <w:sz w:val="22"/>
          <w:szCs w:val="22"/>
        </w:rPr>
        <w:t>Oznaczenie CE</w:t>
      </w:r>
      <w:r w:rsidRPr="00ED4B15">
        <w:rPr>
          <w:rFonts w:eastAsia="Calibri" w:cs="Arial"/>
          <w:sz w:val="22"/>
          <w:szCs w:val="22"/>
        </w:rPr>
        <w:t xml:space="preserve"> (Conformité Européenne) potwierdzony deklaracją zgodności w języku polskim, </w:t>
      </w:r>
      <w:r w:rsidRPr="00ED4B15">
        <w:rPr>
          <w:rFonts w:eastAsia="Calibri" w:cs="Arial"/>
          <w:sz w:val="22"/>
          <w:szCs w:val="22"/>
        </w:rPr>
        <w:lastRenderedPageBreak/>
        <w:t xml:space="preserve">wystawioną przez producenta na podstawie dołączonego certyfikatu ze stosownych badań wykonanych przez akredytowany ośrodek badawczy na terenie Unii Europejskiej (dokumenty wymagane do oferty w przypadku zakupu nowego rodzaju opraw, przy zakupach powtarzalnych przyjmujemy, że takowe dokumenty są). </w:t>
      </w:r>
    </w:p>
    <w:p w14:paraId="76227852" w14:textId="77777777" w:rsidR="007A0AE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Oprawa musi być wyposażona w uchwyt (wyposażenie oprawy lub dodatkowy element) umożliwiający jej płynną regulację w zakresie minimum 90 stopni, dostosowany zarówno do wysięgnika o średnicy max 60 mm jak i do bezpośredniego montażu na słupie. Dopuszcza się na życzenie zamawiającego końcówkę montażową o innej średnicy, np. Ø48, Ø76. Dla usługi „kup i zrób” uchwyt powinien umożliwiać poziome względem ziemi ustawienie oprawy bez względu na rodzaje i nachylenia wysięgników. </w:t>
      </w:r>
    </w:p>
    <w:p w14:paraId="52014B48" w14:textId="3CB2A33E" w:rsidR="00C15DBA" w:rsidRPr="00ED4B15" w:rsidRDefault="00C15DBA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>Oprawa musi posiadać certyfikat ENEC.</w:t>
      </w:r>
    </w:p>
    <w:p w14:paraId="236ECDD6" w14:textId="74604CDE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Trwałość diodowych źródeł światła powinna wynosić nie mniej niż 100.000 h</w:t>
      </w:r>
      <w:r w:rsidR="002B7352">
        <w:rPr>
          <w:rFonts w:eastAsia="Calibri" w:cs="Arial"/>
          <w:sz w:val="22"/>
          <w:szCs w:val="22"/>
        </w:rPr>
        <w:t>.</w:t>
      </w:r>
    </w:p>
    <w:p w14:paraId="6CDB61E2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Konstrukcja oprawy powinna zapewniać łatwą wymianę modułów LED, oraz układów zasilających. – opcjonalne (wymagane w przypadkach gdy chce tego zamawiający).</w:t>
      </w:r>
    </w:p>
    <w:p w14:paraId="3746FE75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Zakres temperatury pracy: - 30º C do + 35º</w:t>
      </w:r>
      <w:r w:rsidRPr="00ED4B15">
        <w:rPr>
          <w:rFonts w:eastAsia="Calibri" w:cs="Arial"/>
          <w:sz w:val="22"/>
          <w:szCs w:val="22"/>
          <w:vertAlign w:val="superscript"/>
        </w:rPr>
        <w:t xml:space="preserve"> </w:t>
      </w:r>
      <w:r w:rsidRPr="00ED4B15">
        <w:rPr>
          <w:rFonts w:eastAsia="Calibri" w:cs="Arial"/>
          <w:sz w:val="22"/>
          <w:szCs w:val="22"/>
        </w:rPr>
        <w:t>C.</w:t>
      </w:r>
    </w:p>
    <w:p w14:paraId="399CA2F3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Układ optyczny oprawy musi spełniać wymagania normy PN-EN 6247:2010. Bezpieczeństwo fotobiologiczne lamp i systemów lampowych. </w:t>
      </w:r>
    </w:p>
    <w:p w14:paraId="492412F4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Dodatkowo dopuszcza się oprawy LED w wykonaniu: optyka diod LED wykonana </w:t>
      </w:r>
      <w:r w:rsidRPr="00ED4B15">
        <w:rPr>
          <w:rFonts w:eastAsia="Calibri" w:cs="Arial"/>
          <w:sz w:val="22"/>
          <w:szCs w:val="22"/>
        </w:rPr>
        <w:br/>
        <w:t>z modułów odbłyśników rastrowych. Charakterystyka układu optycznego dobierana poprzez obliczenia fotometryczne dla typu optyk: asymetryczny, drogowy w kilku opcjach dedykowanego rozsyłu.</w:t>
      </w:r>
    </w:p>
    <w:p w14:paraId="07F7E9D8" w14:textId="1EB89FF1" w:rsidR="007A0AE5" w:rsidRPr="00ED4B15" w:rsidRDefault="00664C1E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664C1E">
        <w:rPr>
          <w:rFonts w:cs="Arial"/>
          <w:sz w:val="22"/>
          <w:szCs w:val="22"/>
        </w:rPr>
        <w:t>Oprawy z możliwością sterowania zasilacza za pomocą interfejsu Dali</w:t>
      </w:r>
      <w:r>
        <w:rPr>
          <w:rFonts w:cs="Arial"/>
          <w:sz w:val="22"/>
          <w:szCs w:val="22"/>
        </w:rPr>
        <w:t>.</w:t>
      </w:r>
    </w:p>
    <w:p w14:paraId="4CD2B6B8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Oprawy wyposażone w tzw. „soft start” (układ minimalizujący występowanie tzw. piku elektrycznego podczas rozruchu).</w:t>
      </w:r>
    </w:p>
    <w:p w14:paraId="4AB893F9" w14:textId="7DFF4502" w:rsidR="007A0AE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Oprawy LED nie mogą generować mocy biernej indukcyjnej pojemnościowej poza dopuszczalnym poziomem. </w:t>
      </w:r>
    </w:p>
    <w:p w14:paraId="6C76BFC7" w14:textId="77777777" w:rsidR="00AD4EC3" w:rsidRDefault="00AD4EC3" w:rsidP="00AD4EC3">
      <w:pPr>
        <w:contextualSpacing/>
        <w:jc w:val="both"/>
        <w:rPr>
          <w:rFonts w:eastAsia="Calibri" w:cs="Arial"/>
          <w:sz w:val="22"/>
          <w:szCs w:val="22"/>
        </w:rPr>
      </w:pPr>
    </w:p>
    <w:p w14:paraId="7A2E824F" w14:textId="77777777" w:rsidR="00AD4EC3" w:rsidRDefault="00AD4EC3" w:rsidP="00F509C9">
      <w:pPr>
        <w:ind w:left="142"/>
        <w:contextualSpacing/>
        <w:jc w:val="both"/>
        <w:rPr>
          <w:rFonts w:eastAsia="Calibri" w:cs="Arial"/>
          <w:b/>
          <w:sz w:val="22"/>
          <w:szCs w:val="22"/>
          <w:u w:val="single"/>
        </w:rPr>
      </w:pPr>
      <w:r w:rsidRPr="00AD4EC3">
        <w:rPr>
          <w:rFonts w:eastAsia="Calibri" w:cs="Arial"/>
          <w:b/>
          <w:sz w:val="22"/>
          <w:szCs w:val="22"/>
          <w:u w:val="single"/>
        </w:rPr>
        <w:t>Warunki brzegowe dla wysięgników</w:t>
      </w:r>
    </w:p>
    <w:p w14:paraId="74F1DCA1" w14:textId="77777777" w:rsidR="00AD4EC3" w:rsidRPr="00AD4EC3" w:rsidRDefault="00AD4EC3" w:rsidP="00F509C9">
      <w:pPr>
        <w:ind w:left="142"/>
        <w:contextualSpacing/>
        <w:jc w:val="both"/>
        <w:rPr>
          <w:rFonts w:eastAsia="Calibri" w:cs="Arial"/>
          <w:bCs/>
          <w:sz w:val="22"/>
          <w:szCs w:val="22"/>
        </w:rPr>
      </w:pPr>
    </w:p>
    <w:p w14:paraId="654A0BF4" w14:textId="77777777" w:rsidR="00AD4EC3" w:rsidRPr="00AD4EC3" w:rsidRDefault="00AD4EC3" w:rsidP="00F509C9">
      <w:pPr>
        <w:ind w:left="142"/>
        <w:contextualSpacing/>
        <w:jc w:val="both"/>
        <w:rPr>
          <w:rFonts w:eastAsia="Calibri" w:cs="Arial"/>
          <w:sz w:val="22"/>
          <w:szCs w:val="22"/>
        </w:rPr>
      </w:pPr>
      <w:r w:rsidRPr="00AD4EC3">
        <w:rPr>
          <w:rFonts w:eastAsia="Calibri" w:cs="Arial"/>
          <w:sz w:val="22"/>
          <w:szCs w:val="22"/>
        </w:rPr>
        <w:t xml:space="preserve">Długość wysięgników oświetlenia drogowego (max. 1,5m) należy dobrać w taki sposób, aby linia opraw nie była uzależniona od zmiany odległości poszczególnych słupów od krawędzi jezdni, maksymalnie je do niej zbliżając, a kąt zastosowanego wysięgnika musi umożliwiać jego zredukowanie regulacją uchwytu instalowanej oprawy. Wysięgniki muszą spełniać wszelkie postanowienia obowiązujących norm w zakresie wymaganej wytrzymałości ze względu na występujące strefy wiatrowe. Należy stosować wysięgniki ocynkowane lub aluminiowe. </w:t>
      </w:r>
    </w:p>
    <w:p w14:paraId="6431BF3D" w14:textId="77777777" w:rsidR="00923C51" w:rsidRPr="00036CA6" w:rsidRDefault="00923C51" w:rsidP="00036CA6">
      <w:pPr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70CAC6B4" w14:textId="77777777" w:rsidR="00036CA6" w:rsidRPr="00036CA6" w:rsidRDefault="00923C51" w:rsidP="00036CA6">
      <w:pPr>
        <w:pStyle w:val="Akapitzlist"/>
        <w:numPr>
          <w:ilvl w:val="0"/>
          <w:numId w:val="20"/>
        </w:numPr>
        <w:spacing w:line="360" w:lineRule="auto"/>
        <w:ind w:left="426" w:hanging="284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Warunki dodatkowe:</w:t>
      </w:r>
    </w:p>
    <w:p w14:paraId="52F95941" w14:textId="77777777" w:rsidR="007A0AE5" w:rsidRPr="00AC3DFA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Wykonawca winien do ceny doliczyć koszty opłat z tytułu ewentualnego zajęcia pasa drogowego oraz dopuszczeń do pracy lub innych nie wymienionych w niniejszej specyfikacji kosztów.</w:t>
      </w:r>
    </w:p>
    <w:p w14:paraId="0F57E377" w14:textId="46EA409F" w:rsidR="00AC3DFA" w:rsidRPr="00036CA6" w:rsidRDefault="00AC3DFA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Wykonanie przedmiotu Zamówienia </w:t>
      </w:r>
      <w:r>
        <w:rPr>
          <w:rFonts w:eastAsia="Calibri" w:cs="Arial"/>
          <w:color w:val="auto"/>
          <w:sz w:val="22"/>
          <w:szCs w:val="22"/>
          <w:lang w:eastAsia="pl-PL"/>
        </w:rPr>
        <w:t xml:space="preserve">nastąpi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w oparciu o przeprowadzone oględziny miejsca modernizacji istniejącej sieci oświetlenia ulicznego oraz w oparciu o sporządzoną przez Wykonawcę dokumentację wykonawczą.</w:t>
      </w:r>
    </w:p>
    <w:p w14:paraId="42E1E7F5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Wykonawca wykona przedmiot zamówienia zgodnie z obowiązującymi przepisami prawa, z aktualnymi zasadami wiedzy technicznej, z uwzględnieniem wymagań i obowiązujących przepisów i norm.</w:t>
      </w:r>
    </w:p>
    <w:p w14:paraId="6F8C7792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lastRenderedPageBreak/>
        <w:t>Przyjęte rozwiązania techniczne powinny być zgodne z obowiązującymi standardami technicznymi.</w:t>
      </w:r>
    </w:p>
    <w:p w14:paraId="7AD40682" w14:textId="77777777" w:rsidR="007A0AE5" w:rsidRPr="00F509C9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zobowiązany jest dostarczyć dokumentację powykonawczą sporządzoną </w:t>
      </w:r>
      <w:r w:rsidRPr="00036CA6">
        <w:rPr>
          <w:rFonts w:cs="Arial"/>
          <w:sz w:val="22"/>
          <w:szCs w:val="22"/>
        </w:rPr>
        <w:br/>
        <w:t>w oparciu o „Wytyczne odbiorowe TAURON Nowe Technologie S.A.” Dokumentacja powykonawcza powinna w szczególności zawierać: protokoły pomiarów powykonawczych, oświadczenie wykonawcy, schematy powykonawcze, zestawienie zabudowanych materiałów, certyfikaty i karty katalogowe zastosowanych materiałów, protokoły odbioru terenu zawarte z właściwymi zarządcami terenu oraz inne wymagane załącznikiem nr 2 do przedmiotowych wytycznych.</w:t>
      </w:r>
    </w:p>
    <w:p w14:paraId="4B8717A6" w14:textId="18A31419" w:rsidR="00F509C9" w:rsidRPr="00036CA6" w:rsidRDefault="00F509C9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Po wykonaniu robót należy dokonać pomiaru rezystancji izolacji odcinków kabli zasilających. Protokoły z w/w pomiarów należy dołączyć do dokumentacji powykonawczej.</w:t>
      </w:r>
    </w:p>
    <w:p w14:paraId="330AADC7" w14:textId="5BD36613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Ostateczny termin dostarczenia dokumentacji powykonawczej celem przeprowadzenia procedury odbioru: 14 dni kalendarzowych przed planowaną datą wykonania przedmiotu </w:t>
      </w:r>
      <w:r w:rsidR="00036CA6">
        <w:rPr>
          <w:rFonts w:cs="Arial"/>
          <w:sz w:val="22"/>
          <w:szCs w:val="22"/>
        </w:rPr>
        <w:t>zamówienia</w:t>
      </w:r>
      <w:r w:rsidRPr="00036CA6">
        <w:rPr>
          <w:rFonts w:cs="Arial"/>
          <w:sz w:val="22"/>
          <w:szCs w:val="22"/>
        </w:rPr>
        <w:t>.</w:t>
      </w:r>
    </w:p>
    <w:p w14:paraId="3BB96B35" w14:textId="026C0C61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ma obowiązek zastosować standard techniczny nie gorszy niż to określono w szczegółowym </w:t>
      </w:r>
      <w:r w:rsidR="00F509C9">
        <w:rPr>
          <w:rFonts w:cs="Arial"/>
          <w:sz w:val="22"/>
          <w:szCs w:val="22"/>
        </w:rPr>
        <w:t xml:space="preserve">opisie </w:t>
      </w:r>
      <w:r w:rsidRPr="00036CA6">
        <w:rPr>
          <w:rFonts w:cs="Arial"/>
          <w:sz w:val="22"/>
          <w:szCs w:val="22"/>
        </w:rPr>
        <w:t xml:space="preserve">przedmiotu zamówienia, pod sankcją uznania każdej części robót nie spełniających tego wymogu za wadliwą, z przewidzianymi </w:t>
      </w:r>
      <w:r w:rsidR="00F509C9">
        <w:rPr>
          <w:rFonts w:cs="Arial"/>
          <w:sz w:val="22"/>
          <w:szCs w:val="22"/>
        </w:rPr>
        <w:t>zamówieniem</w:t>
      </w:r>
      <w:r w:rsidRPr="00036CA6">
        <w:rPr>
          <w:rFonts w:cs="Arial"/>
          <w:sz w:val="22"/>
          <w:szCs w:val="22"/>
        </w:rPr>
        <w:t xml:space="preserve"> konsekwencjami. Nie podlega sankcji odstępstwo od specyfikacji technicznej i dokumentacji technicznej, dla którego Wykonawca wcześniej uzyskał pisemną aprobatę </w:t>
      </w:r>
      <w:r w:rsidR="001F5222">
        <w:rPr>
          <w:rFonts w:cs="Arial"/>
          <w:sz w:val="22"/>
          <w:szCs w:val="22"/>
        </w:rPr>
        <w:t>p</w:t>
      </w:r>
      <w:r w:rsidRPr="00036CA6">
        <w:rPr>
          <w:rFonts w:cs="Arial"/>
          <w:sz w:val="22"/>
          <w:szCs w:val="22"/>
        </w:rPr>
        <w:t>rzedstawiciela Zamawiającego.</w:t>
      </w:r>
    </w:p>
    <w:p w14:paraId="5352A7C5" w14:textId="053B3B12" w:rsidR="007A0AE5" w:rsidRPr="00F509C9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ma możliwość zastosowania standardu wyższego w odniesieniu do jakiejkolwiek części robót, a w szczególności wszędzie i zawsze tam, gdzie służyć to będzie osiągnięciu gwarantowanych przez Wykonawcę parametrów techniczno – technologicznych. Wykonawca nie może powoływać się na jakikolwiek zapis specyfikacji technicznej dla usprawiedliwienia swojego nie wywiązania się z jakiegokolwiek obowiązku przypisanego </w:t>
      </w:r>
      <w:r w:rsidR="001F5222">
        <w:rPr>
          <w:rFonts w:cs="Arial"/>
          <w:sz w:val="22"/>
          <w:szCs w:val="22"/>
        </w:rPr>
        <w:t>zamówieniem</w:t>
      </w:r>
      <w:r w:rsidRPr="00036CA6">
        <w:rPr>
          <w:rFonts w:cs="Arial"/>
          <w:sz w:val="22"/>
          <w:szCs w:val="22"/>
        </w:rPr>
        <w:t>.</w:t>
      </w:r>
    </w:p>
    <w:p w14:paraId="0CDE5041" w14:textId="596E71D9" w:rsidR="00F509C9" w:rsidRPr="00F509C9" w:rsidRDefault="00F509C9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>Przed rozpoczęciem robót Wykonawca zobowiązany jest uzyskać wymagane zgody i uzgodnienia właściwego Zarządu Dróg na wejście w teren oraz rozpoczęcie robót.</w:t>
      </w:r>
    </w:p>
    <w:p w14:paraId="38253890" w14:textId="1D5B04E8" w:rsidR="00F509C9" w:rsidRPr="00F509C9" w:rsidRDefault="00F509C9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Przed wejściem na teren budowy </w:t>
      </w:r>
      <w:r>
        <w:rPr>
          <w:rFonts w:eastAsia="Calibri" w:cs="Arial"/>
          <w:color w:val="auto"/>
          <w:sz w:val="22"/>
          <w:szCs w:val="22"/>
          <w:lang w:eastAsia="pl-PL"/>
        </w:rPr>
        <w:t xml:space="preserve">Wykonawca zobowiązany jest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>powiadomić właścicieli działek o mających wystąpić robotach energetycznych oraz uzyskać zgodę.</w:t>
      </w:r>
    </w:p>
    <w:p w14:paraId="42BE34AA" w14:textId="6AF19745" w:rsidR="00F509C9" w:rsidRPr="00036CA6" w:rsidRDefault="00F509C9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Przed przystąpieniem do prac należy dokonać zgłoszenia robót do TAURON Dystrybucja S.A. Wykonawca jest zobowiązany do stosowania zasad, instrukcji procedur związanych z prowadzeniem prac przy urządzeniach elektroenergetycznych, w szczególności do stosowania Instrukcji organizacji bezpiecznej pracy przy urządzeniach energetycznych TAURON Dystrybucja S.A. (dostępnej w dniu publikacji ogłoszenia w strefie publicznej pod adresem:https://www.tauron-dystrybucja.pl/uslugi-dystrybucyjne/iobp), Instrukcji współpracy w zakresie organizacji bezpiecznej pracy w technologii PPN pomiędzy TAURON Dystrybucja S.A. a Pracodawcami zewnętrznymi, wykonującymi prace na sieci elektroenergetycznej TAURON Dystrybucja S.A. o napięciu do 1 kV (dostępnej w dniu publikacji ogłoszenia w strefie publicznej pod adresem: https://www.tauron-dystrybucja.pl/uslugi-dystrybucyjne/iobp), Instrukcji Ruchu i Eksploatacji Sieci Dystrybucyjnej – </w:t>
      </w:r>
      <w:proofErr w:type="spellStart"/>
      <w:r w:rsidRPr="004249FA">
        <w:rPr>
          <w:rFonts w:eastAsia="Calibri" w:cs="Arial"/>
          <w:color w:val="auto"/>
          <w:sz w:val="22"/>
          <w:szCs w:val="22"/>
          <w:lang w:eastAsia="pl-PL"/>
        </w:rPr>
        <w:t>IRiESD</w:t>
      </w:r>
      <w:proofErr w:type="spellEnd"/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 (dostępnej w dniu publikacji ogłoszenia w strefie publicznej pod adresem: https://www.tauron-dystrybucja.pl/uslugi-dystrybucyjne/instrukcja-iriesd) oraz zasad planowania i zgłaszania prac do właściwej Jednostki Terenowej TAURON Dystrybucja S.A. Na wyłączenia zasilania i dopuszczenia do bezpiecznego wykonywania prac Wykonawca zobowiązany jest podpisać umowę/zlecenia z TAURON Dystrybucja S.A</w:t>
      </w:r>
      <w:r w:rsidR="000A5364">
        <w:rPr>
          <w:rFonts w:eastAsia="Calibri" w:cs="Arial"/>
          <w:color w:val="auto"/>
          <w:sz w:val="22"/>
          <w:szCs w:val="22"/>
          <w:lang w:eastAsia="pl-PL"/>
        </w:rPr>
        <w:t>. Z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t xml:space="preserve">a w/w czynności Wykonawca </w:t>
      </w:r>
      <w:r w:rsidRPr="004249FA">
        <w:rPr>
          <w:rFonts w:eastAsia="Calibri" w:cs="Arial"/>
          <w:color w:val="auto"/>
          <w:sz w:val="22"/>
          <w:szCs w:val="22"/>
          <w:lang w:eastAsia="pl-PL"/>
        </w:rPr>
        <w:lastRenderedPageBreak/>
        <w:t>będzie obciążony opłatami zgodnie z Taryfą i cennikiem opłat dodatkowych obowiązującymi w TAURON Dystrybucja S.A.</w:t>
      </w:r>
    </w:p>
    <w:p w14:paraId="79B368E3" w14:textId="475105E9" w:rsidR="00036CA6" w:rsidRPr="00C15DBA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Materiał z demontażu należy zutylizować w własnym zakresie i dostarczyć oświadczenie o utylizacji w celu przeprowadzenia zmian majątkowych.</w:t>
      </w:r>
    </w:p>
    <w:p w14:paraId="794C9115" w14:textId="23BDE609" w:rsidR="00C15DBA" w:rsidRPr="00C15DBA" w:rsidRDefault="00C15DBA" w:rsidP="00C15DBA">
      <w:pPr>
        <w:pStyle w:val="Akapitzlist"/>
        <w:numPr>
          <w:ilvl w:val="1"/>
          <w:numId w:val="20"/>
        </w:numPr>
        <w:ind w:left="709" w:hanging="283"/>
        <w:jc w:val="both"/>
        <w:rPr>
          <w:rFonts w:cs="Arial"/>
          <w:sz w:val="22"/>
          <w:szCs w:val="22"/>
        </w:rPr>
      </w:pPr>
      <w:r w:rsidRPr="00C15DBA">
        <w:rPr>
          <w:rFonts w:cs="Arial"/>
          <w:sz w:val="22"/>
          <w:szCs w:val="22"/>
        </w:rPr>
        <w:t>W przypadku, gdy zaistnieje konieczność dodatkowej wymiany infrastruktury z uwagi na uszkodzenie</w:t>
      </w:r>
      <w:r w:rsidR="00F509C9">
        <w:rPr>
          <w:rFonts w:cs="Arial"/>
          <w:sz w:val="22"/>
          <w:szCs w:val="22"/>
        </w:rPr>
        <w:t xml:space="preserve"> </w:t>
      </w:r>
      <w:r w:rsidRPr="00C15DBA">
        <w:rPr>
          <w:rFonts w:cs="Arial"/>
          <w:sz w:val="22"/>
          <w:szCs w:val="22"/>
        </w:rPr>
        <w:t>/ zły stan techniczny, Wykonawca musi dokonać wymiany na now</w:t>
      </w:r>
      <w:r>
        <w:rPr>
          <w:rFonts w:cs="Arial"/>
          <w:sz w:val="22"/>
          <w:szCs w:val="22"/>
        </w:rPr>
        <w:t>ą</w:t>
      </w:r>
      <w:r w:rsidRPr="00C15DBA">
        <w:rPr>
          <w:rFonts w:cs="Arial"/>
          <w:sz w:val="22"/>
          <w:szCs w:val="22"/>
        </w:rPr>
        <w:t xml:space="preserve"> na własny koszt,</w:t>
      </w:r>
    </w:p>
    <w:p w14:paraId="303078D7" w14:textId="63678C08" w:rsidR="00C15DBA" w:rsidRPr="00C15DBA" w:rsidRDefault="00C15DBA" w:rsidP="00C15DBA">
      <w:pPr>
        <w:pStyle w:val="Akapitzlist"/>
        <w:numPr>
          <w:ilvl w:val="1"/>
          <w:numId w:val="20"/>
        </w:numPr>
        <w:ind w:left="709" w:hanging="283"/>
        <w:jc w:val="both"/>
        <w:rPr>
          <w:rFonts w:cs="Arial"/>
          <w:sz w:val="22"/>
          <w:szCs w:val="22"/>
        </w:rPr>
      </w:pPr>
      <w:r w:rsidRPr="00C15DBA">
        <w:rPr>
          <w:rFonts w:cs="Arial"/>
          <w:sz w:val="22"/>
          <w:szCs w:val="22"/>
        </w:rPr>
        <w:t>Niedoszacowanie, pominięcie lub brak należytego rozpoznania zakresu zlecenia nie może być podstawą do żądania zmiany wynagrodzenia</w:t>
      </w:r>
      <w:r>
        <w:rPr>
          <w:rFonts w:cs="Arial"/>
          <w:sz w:val="22"/>
          <w:szCs w:val="22"/>
        </w:rPr>
        <w:t>,</w:t>
      </w:r>
    </w:p>
    <w:p w14:paraId="2AC6BFDB" w14:textId="50492373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Uwaga: Przed realizacją szczegóły techniczne należy uzgodnić w Biurze Obsługi Oświetlenia Kraków</w:t>
      </w:r>
      <w:r w:rsidR="00C53839">
        <w:rPr>
          <w:rFonts w:cs="Arial"/>
          <w:sz w:val="22"/>
          <w:szCs w:val="22"/>
        </w:rPr>
        <w:t>, ul. Kościuszki 92, 42-500 Będzin</w:t>
      </w:r>
      <w:r w:rsidRPr="00036CA6">
        <w:rPr>
          <w:rFonts w:cs="Arial"/>
          <w:sz w:val="22"/>
          <w:szCs w:val="22"/>
        </w:rPr>
        <w:t>.</w:t>
      </w:r>
    </w:p>
    <w:p w14:paraId="6BBA8EEB" w14:textId="489984B9" w:rsidR="009A74E2" w:rsidRPr="00ED4B15" w:rsidRDefault="009A74E2" w:rsidP="00220836">
      <w:pPr>
        <w:pStyle w:val="Akapitzlist"/>
        <w:ind w:left="567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5A31F9B" w14:textId="7DD6845B" w:rsidR="00220836" w:rsidRPr="00ED4B15" w:rsidRDefault="00220836" w:rsidP="00036CA6">
      <w:pPr>
        <w:ind w:left="426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UWAGA! Przed złożeniem oferty Zamawiający zaleca wykonanie wizji w terenie</w:t>
      </w:r>
      <w:r w:rsidR="0021400B" w:rsidRPr="00ED4B15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.</w:t>
      </w:r>
    </w:p>
    <w:p w14:paraId="6490E4B7" w14:textId="77777777" w:rsidR="00220836" w:rsidRPr="00ED4B15" w:rsidRDefault="00220836" w:rsidP="00220836">
      <w:pPr>
        <w:pStyle w:val="Akapitzlist"/>
        <w:ind w:left="567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647CBECE" w14:textId="74A0FB51" w:rsidR="004514DA" w:rsidRPr="00ED4B15" w:rsidRDefault="004514DA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>Miejsce realizacji zamówienia:</w:t>
      </w:r>
      <w:r w:rsidR="00B2387E" w:rsidRPr="00ED4B15">
        <w:rPr>
          <w:rFonts w:cs="Arial"/>
          <w:sz w:val="22"/>
          <w:szCs w:val="22"/>
        </w:rPr>
        <w:t xml:space="preserve"> </w:t>
      </w:r>
      <w:r w:rsidR="00AD4EC3">
        <w:rPr>
          <w:rFonts w:cs="Arial"/>
          <w:sz w:val="22"/>
          <w:szCs w:val="22"/>
        </w:rPr>
        <w:t>Dąbrowa Górnicza</w:t>
      </w:r>
    </w:p>
    <w:p w14:paraId="0C63B53E" w14:textId="77777777" w:rsidR="00EE36C2" w:rsidRPr="00ED4B15" w:rsidRDefault="00EE36C2" w:rsidP="000F6C37">
      <w:pPr>
        <w:pStyle w:val="Akapitzlist"/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65D68430" w14:textId="3843EDDC" w:rsidR="004514DA" w:rsidRPr="00ED4B15" w:rsidRDefault="00730683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 xml:space="preserve">Termin </w:t>
      </w:r>
      <w:r w:rsidR="00E17448" w:rsidRPr="00ED4B15">
        <w:rPr>
          <w:rFonts w:cs="Arial"/>
          <w:b/>
          <w:sz w:val="22"/>
          <w:szCs w:val="22"/>
        </w:rPr>
        <w:t>realizacji:</w:t>
      </w:r>
      <w:r w:rsidR="004514DA" w:rsidRPr="00ED4B15">
        <w:rPr>
          <w:rFonts w:cs="Arial"/>
          <w:b/>
          <w:sz w:val="22"/>
          <w:szCs w:val="22"/>
        </w:rPr>
        <w:t xml:space="preserve"> </w:t>
      </w:r>
      <w:r w:rsidR="000F6C37">
        <w:rPr>
          <w:rFonts w:cs="Arial"/>
          <w:bCs/>
          <w:sz w:val="22"/>
          <w:szCs w:val="22"/>
        </w:rPr>
        <w:t xml:space="preserve">do </w:t>
      </w:r>
      <w:r w:rsidR="00AD4EC3">
        <w:rPr>
          <w:rFonts w:cs="Arial"/>
          <w:sz w:val="22"/>
          <w:szCs w:val="22"/>
        </w:rPr>
        <w:t>2</w:t>
      </w:r>
      <w:r w:rsidR="00B2387E" w:rsidRPr="00ED4B15">
        <w:rPr>
          <w:rFonts w:cs="Arial"/>
          <w:sz w:val="22"/>
          <w:szCs w:val="22"/>
        </w:rPr>
        <w:t xml:space="preserve"> </w:t>
      </w:r>
      <w:r w:rsidR="00B04CA8">
        <w:rPr>
          <w:rFonts w:cs="Arial"/>
          <w:sz w:val="22"/>
          <w:szCs w:val="22"/>
        </w:rPr>
        <w:t>tygodni</w:t>
      </w:r>
      <w:r w:rsidR="00B2387E" w:rsidRPr="00ED4B15">
        <w:rPr>
          <w:rFonts w:cs="Arial"/>
          <w:sz w:val="22"/>
          <w:szCs w:val="22"/>
        </w:rPr>
        <w:t xml:space="preserve"> od daty zamówienia</w:t>
      </w:r>
    </w:p>
    <w:p w14:paraId="4E254A1D" w14:textId="77777777" w:rsidR="00DA6EA6" w:rsidRPr="00ED4B15" w:rsidRDefault="00DA6EA6" w:rsidP="000F6C37">
      <w:pPr>
        <w:pStyle w:val="Akapitzlist"/>
        <w:ind w:left="426" w:hanging="284"/>
        <w:rPr>
          <w:rFonts w:eastAsia="Calibri" w:cs="Arial"/>
          <w:color w:val="auto"/>
          <w:sz w:val="22"/>
          <w:szCs w:val="22"/>
          <w:lang w:eastAsia="pl-PL"/>
        </w:rPr>
      </w:pPr>
    </w:p>
    <w:p w14:paraId="75ABE33D" w14:textId="07617A40" w:rsidR="0059649D" w:rsidRPr="00ED4B15" w:rsidRDefault="00DA6EA6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Rodzaj zamówienia:</w:t>
      </w:r>
      <w:r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0F6C37">
        <w:rPr>
          <w:rFonts w:eastAsia="Calibri" w:cs="Arial"/>
          <w:color w:val="auto"/>
          <w:sz w:val="22"/>
          <w:szCs w:val="22"/>
          <w:lang w:eastAsia="pl-PL"/>
        </w:rPr>
        <w:t>R</w:t>
      </w:r>
      <w:r w:rsidRPr="00ED4B15">
        <w:rPr>
          <w:rFonts w:eastAsia="Calibri" w:cs="Arial"/>
          <w:color w:val="auto"/>
          <w:sz w:val="22"/>
          <w:szCs w:val="22"/>
          <w:lang w:eastAsia="pl-PL"/>
        </w:rPr>
        <w:t>oboty budowlane</w:t>
      </w:r>
    </w:p>
    <w:p w14:paraId="00D581E1" w14:textId="77777777" w:rsidR="00220836" w:rsidRPr="00ED4B15" w:rsidRDefault="00220836" w:rsidP="000F6C37">
      <w:pPr>
        <w:pStyle w:val="Akapitzlist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</w:p>
    <w:p w14:paraId="1A09A866" w14:textId="3BBF8665" w:rsidR="000F6C37" w:rsidRPr="000F6C37" w:rsidRDefault="0059649D" w:rsidP="000F6C37">
      <w:pPr>
        <w:pStyle w:val="Akapitzlist"/>
        <w:numPr>
          <w:ilvl w:val="0"/>
          <w:numId w:val="20"/>
        </w:numPr>
        <w:spacing w:after="120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Wymagane dokumenty</w:t>
      </w:r>
      <w:r w:rsidR="009A74E2" w:rsidRPr="00ED4B15">
        <w:rPr>
          <w:rFonts w:eastAsia="Calibri" w:cs="Arial"/>
          <w:b/>
          <w:color w:val="auto"/>
          <w:sz w:val="22"/>
          <w:szCs w:val="22"/>
          <w:lang w:eastAsia="pl-PL"/>
        </w:rPr>
        <w:t xml:space="preserve"> do złożenia oferty</w:t>
      </w: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:</w:t>
      </w:r>
    </w:p>
    <w:p w14:paraId="558DCEF7" w14:textId="3FEDE38C" w:rsidR="000F6C37" w:rsidRPr="000F6C37" w:rsidRDefault="000F6C37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Cs/>
          <w:color w:val="auto"/>
          <w:sz w:val="22"/>
          <w:szCs w:val="22"/>
          <w:lang w:eastAsia="pl-PL"/>
        </w:rPr>
        <w:t>w</w:t>
      </w:r>
      <w:r w:rsidRPr="000F6C37">
        <w:rPr>
          <w:rFonts w:eastAsia="Calibri" w:cs="Arial"/>
          <w:bCs/>
          <w:color w:val="auto"/>
          <w:sz w:val="22"/>
          <w:szCs w:val="22"/>
          <w:lang w:eastAsia="pl-PL"/>
        </w:rPr>
        <w:t>ypełniony Formularz Ofertowy,</w:t>
      </w:r>
    </w:p>
    <w:p w14:paraId="2404D5DA" w14:textId="47F0CBAC" w:rsidR="0059649D" w:rsidRPr="000A5364" w:rsidRDefault="007B4F21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0F6C37">
        <w:rPr>
          <w:rFonts w:eastAsia="Calibri" w:cs="Arial"/>
          <w:color w:val="auto"/>
          <w:sz w:val="22"/>
          <w:szCs w:val="22"/>
          <w:lang w:eastAsia="pl-PL"/>
        </w:rPr>
        <w:t xml:space="preserve">karty katalogowe 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oferowanych </w:t>
      </w:r>
      <w:r w:rsidRPr="000F6C37">
        <w:rPr>
          <w:rFonts w:eastAsia="Calibri" w:cs="Arial"/>
          <w:color w:val="auto"/>
          <w:sz w:val="22"/>
          <w:szCs w:val="22"/>
          <w:lang w:eastAsia="pl-PL"/>
        </w:rPr>
        <w:t>opraw</w:t>
      </w:r>
      <w:r w:rsidR="00305B61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54355A">
        <w:rPr>
          <w:rFonts w:eastAsia="Calibri" w:cs="Arial"/>
          <w:color w:val="auto"/>
          <w:sz w:val="22"/>
          <w:szCs w:val="22"/>
          <w:lang w:eastAsia="pl-PL"/>
        </w:rPr>
        <w:t>w język</w:t>
      </w:r>
      <w:r w:rsidR="00F509C9">
        <w:rPr>
          <w:rFonts w:eastAsia="Calibri" w:cs="Arial"/>
          <w:color w:val="auto"/>
          <w:sz w:val="22"/>
          <w:szCs w:val="22"/>
          <w:lang w:eastAsia="pl-PL"/>
        </w:rPr>
        <w:t>u</w:t>
      </w:r>
      <w:r w:rsidR="0054355A">
        <w:rPr>
          <w:rFonts w:eastAsia="Calibri" w:cs="Arial"/>
          <w:color w:val="auto"/>
          <w:sz w:val="22"/>
          <w:szCs w:val="22"/>
          <w:lang w:eastAsia="pl-PL"/>
        </w:rPr>
        <w:t xml:space="preserve"> polskim</w:t>
      </w:r>
      <w:r w:rsidRPr="000F6C37"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133CD4CD" w14:textId="7BC25D4C" w:rsidR="000A5364" w:rsidRPr="000F6C37" w:rsidRDefault="000A5364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0F6C37">
        <w:rPr>
          <w:rFonts w:eastAsia="Calibri" w:cs="Arial"/>
          <w:color w:val="auto"/>
          <w:sz w:val="22"/>
          <w:szCs w:val="22"/>
          <w:lang w:eastAsia="pl-PL"/>
        </w:rPr>
        <w:t xml:space="preserve">karty katalogowe oferowanych </w:t>
      </w:r>
      <w:r>
        <w:rPr>
          <w:rFonts w:eastAsia="Calibri" w:cs="Arial"/>
          <w:color w:val="auto"/>
          <w:sz w:val="22"/>
          <w:szCs w:val="22"/>
          <w:lang w:eastAsia="pl-PL"/>
        </w:rPr>
        <w:t>wysięgników w języku polskim</w:t>
      </w:r>
      <w:r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05675900" w14:textId="6DC7729E" w:rsidR="0059649D" w:rsidRPr="000F6C37" w:rsidRDefault="007B4F21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0F6C37">
        <w:rPr>
          <w:rFonts w:eastAsia="Calibri" w:cs="Arial"/>
          <w:color w:val="auto"/>
          <w:sz w:val="22"/>
          <w:szCs w:val="22"/>
          <w:lang w:eastAsia="pl-PL"/>
        </w:rPr>
        <w:t>certyfikaty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B04CA8">
        <w:rPr>
          <w:rFonts w:eastAsia="Calibri" w:cs="Arial"/>
          <w:color w:val="auto"/>
          <w:sz w:val="22"/>
          <w:szCs w:val="22"/>
          <w:lang w:eastAsia="pl-PL"/>
        </w:rPr>
        <w:t>lub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 deklaracje zgodności oferowanych opraw</w:t>
      </w:r>
      <w:r w:rsidR="0054355A">
        <w:rPr>
          <w:rFonts w:eastAsia="Calibri" w:cs="Arial"/>
          <w:color w:val="auto"/>
          <w:sz w:val="22"/>
          <w:szCs w:val="22"/>
          <w:lang w:eastAsia="pl-PL"/>
        </w:rPr>
        <w:t xml:space="preserve"> w języku polskim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56BB0B04" w14:textId="77777777" w:rsidR="0059649D" w:rsidRPr="00ED4B15" w:rsidRDefault="0059649D" w:rsidP="00220836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3253F8E0" w14:textId="341E7A49" w:rsidR="004514DA" w:rsidRPr="00ED4B15" w:rsidRDefault="004514DA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>Okres gwarancji wynosi:</w:t>
      </w:r>
    </w:p>
    <w:p w14:paraId="0B1F87D9" w14:textId="4C815731" w:rsidR="00EE36C2" w:rsidRPr="00ED4B15" w:rsidRDefault="007B4F21" w:rsidP="000F6C37">
      <w:pPr>
        <w:pStyle w:val="Akapitzlist"/>
        <w:numPr>
          <w:ilvl w:val="0"/>
          <w:numId w:val="25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color w:val="auto"/>
          <w:sz w:val="22"/>
          <w:szCs w:val="22"/>
          <w:lang w:eastAsia="pl-PL"/>
        </w:rPr>
        <w:t>36</w:t>
      </w:r>
      <w:r w:rsidR="004514DA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miesięcy w zakresie robót budowlano-montażowych,</w:t>
      </w:r>
    </w:p>
    <w:p w14:paraId="7BF7662E" w14:textId="23FB9A9F" w:rsidR="004514DA" w:rsidRDefault="007B4F21" w:rsidP="000F6C37">
      <w:pPr>
        <w:pStyle w:val="Akapitzlist"/>
        <w:numPr>
          <w:ilvl w:val="0"/>
          <w:numId w:val="25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color w:val="auto"/>
          <w:sz w:val="22"/>
          <w:szCs w:val="22"/>
          <w:lang w:eastAsia="pl-PL"/>
        </w:rPr>
        <w:t>60</w:t>
      </w:r>
      <w:r w:rsidR="00EE36C2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miesięcy</w:t>
      </w:r>
      <w:r w:rsidR="004514DA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w zakresie zastosowanych </w:t>
      </w:r>
      <w:r w:rsidR="00EE36C2" w:rsidRPr="00ED4B15">
        <w:rPr>
          <w:rFonts w:eastAsia="Calibri" w:cs="Arial"/>
          <w:color w:val="auto"/>
          <w:sz w:val="22"/>
          <w:szCs w:val="22"/>
          <w:lang w:eastAsia="pl-PL"/>
        </w:rPr>
        <w:t>materiałów</w:t>
      </w:r>
      <w:r w:rsidR="000F6C37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5C7C5D41" w14:textId="77777777" w:rsidR="009058D8" w:rsidRPr="00664C1E" w:rsidRDefault="009058D8" w:rsidP="00A865C4">
      <w:pPr>
        <w:jc w:val="both"/>
        <w:rPr>
          <w:rFonts w:cs="Arial"/>
          <w:sz w:val="22"/>
          <w:szCs w:val="22"/>
        </w:rPr>
      </w:pPr>
    </w:p>
    <w:p w14:paraId="748C3B62" w14:textId="4DC1628F" w:rsidR="00730683" w:rsidRPr="00ED4B15" w:rsidRDefault="00730683" w:rsidP="003062E7">
      <w:pPr>
        <w:numPr>
          <w:ilvl w:val="0"/>
          <w:numId w:val="20"/>
        </w:numPr>
        <w:ind w:left="567" w:hanging="425"/>
        <w:jc w:val="both"/>
        <w:rPr>
          <w:rFonts w:cs="Arial"/>
          <w:b/>
          <w:sz w:val="22"/>
          <w:szCs w:val="22"/>
        </w:rPr>
      </w:pPr>
      <w:r w:rsidRPr="00ED4B15">
        <w:rPr>
          <w:rFonts w:cs="Arial"/>
          <w:b/>
          <w:sz w:val="22"/>
          <w:szCs w:val="22"/>
        </w:rPr>
        <w:t>Forma składania oferty</w:t>
      </w:r>
    </w:p>
    <w:p w14:paraId="42CF03D4" w14:textId="01AC48EC" w:rsidR="00730683" w:rsidRDefault="00730683" w:rsidP="003062E7">
      <w:pPr>
        <w:spacing w:before="120"/>
        <w:ind w:left="567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Ofertę składa się w formie elektronicznej za pośrednictwem Platformy Zakupowej Grupy TAURON, za pomocą formularzy elektronicznych umieszczonych na stronie internetowej </w:t>
      </w:r>
      <w:hyperlink r:id="rId18" w:history="1">
        <w:r w:rsidRPr="00ED4B15">
          <w:rPr>
            <w:rStyle w:val="Hipercze"/>
            <w:rFonts w:cs="Arial"/>
            <w:sz w:val="22"/>
            <w:szCs w:val="22"/>
          </w:rPr>
          <w:t>https://swoz.tauron.pl</w:t>
        </w:r>
      </w:hyperlink>
      <w:r w:rsidRPr="00ED4B15">
        <w:rPr>
          <w:rFonts w:cs="Arial"/>
          <w:sz w:val="22"/>
          <w:szCs w:val="22"/>
        </w:rPr>
        <w:t xml:space="preserve">, dostępnych po zalogowaniu na konto użytkownika </w:t>
      </w:r>
      <w:r w:rsidR="00B00A05" w:rsidRPr="00ED4B15">
        <w:rPr>
          <w:rFonts w:cs="Arial"/>
          <w:sz w:val="22"/>
          <w:szCs w:val="22"/>
        </w:rPr>
        <w:br/>
      </w:r>
      <w:r w:rsidRPr="00ED4B15">
        <w:rPr>
          <w:rFonts w:cs="Arial"/>
          <w:sz w:val="22"/>
          <w:szCs w:val="22"/>
        </w:rPr>
        <w:t>i przystąpieniu Wykonawcy do postępowania.</w:t>
      </w:r>
    </w:p>
    <w:p w14:paraId="56164E75" w14:textId="77777777" w:rsidR="003062E7" w:rsidRPr="00ED4B15" w:rsidRDefault="003062E7" w:rsidP="003062E7">
      <w:pPr>
        <w:ind w:left="567"/>
        <w:jc w:val="both"/>
        <w:rPr>
          <w:rFonts w:cs="Arial"/>
          <w:sz w:val="22"/>
          <w:szCs w:val="22"/>
        </w:rPr>
      </w:pPr>
    </w:p>
    <w:p w14:paraId="776680C5" w14:textId="5AA60228" w:rsidR="004514DA" w:rsidRPr="000F6C37" w:rsidRDefault="005E4762" w:rsidP="003062E7">
      <w:pPr>
        <w:pStyle w:val="Akapitzlist"/>
        <w:numPr>
          <w:ilvl w:val="0"/>
          <w:numId w:val="20"/>
        </w:numPr>
        <w:spacing w:line="360" w:lineRule="auto"/>
        <w:ind w:left="567" w:hanging="425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Dane osób do kontaktu:</w:t>
      </w:r>
    </w:p>
    <w:p w14:paraId="67122EB5" w14:textId="0F6E70C6" w:rsidR="0054355A" w:rsidRPr="0054355A" w:rsidRDefault="00F509C9" w:rsidP="0054355A">
      <w:pPr>
        <w:spacing w:line="276" w:lineRule="auto"/>
        <w:ind w:left="709" w:hanging="14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Piotr Piesik</w:t>
      </w:r>
    </w:p>
    <w:p w14:paraId="3F96CB77" w14:textId="7474C081" w:rsidR="0054355A" w:rsidRPr="0054355A" w:rsidRDefault="0054355A" w:rsidP="0054355A">
      <w:pPr>
        <w:spacing w:line="276" w:lineRule="auto"/>
        <w:ind w:left="709" w:hanging="142"/>
        <w:jc w:val="both"/>
        <w:rPr>
          <w:rFonts w:cs="Arial"/>
          <w:sz w:val="22"/>
          <w:szCs w:val="22"/>
        </w:rPr>
      </w:pPr>
      <w:r w:rsidRPr="0054355A">
        <w:rPr>
          <w:rFonts w:cs="Arial"/>
          <w:sz w:val="22"/>
          <w:szCs w:val="22"/>
        </w:rPr>
        <w:t>tel. kom. 57</w:t>
      </w:r>
      <w:r w:rsidR="00F509C9">
        <w:rPr>
          <w:rFonts w:cs="Arial"/>
          <w:sz w:val="22"/>
          <w:szCs w:val="22"/>
        </w:rPr>
        <w:t>2 889 195</w:t>
      </w:r>
    </w:p>
    <w:p w14:paraId="41472669" w14:textId="4BDB494D" w:rsidR="00EA2D6E" w:rsidRDefault="0054355A" w:rsidP="00923C51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  <w:r w:rsidRPr="0054355A">
        <w:rPr>
          <w:rFonts w:cs="Arial"/>
          <w:sz w:val="22"/>
          <w:szCs w:val="22"/>
        </w:rPr>
        <w:t xml:space="preserve">e-mail: </w:t>
      </w:r>
      <w:hyperlink r:id="rId19" w:history="1">
        <w:r w:rsidR="00F509C9" w:rsidRPr="00651584">
          <w:rPr>
            <w:rStyle w:val="Hipercze"/>
            <w:rFonts w:cs="Arial"/>
            <w:sz w:val="22"/>
            <w:szCs w:val="22"/>
          </w:rPr>
          <w:t>piotr.piesik@tauron.pl</w:t>
        </w:r>
      </w:hyperlink>
    </w:p>
    <w:p w14:paraId="11534A4D" w14:textId="77777777" w:rsidR="00011715" w:rsidRPr="00ED4B15" w:rsidRDefault="00011715" w:rsidP="00923C51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</w:p>
    <w:p w14:paraId="35F44AF6" w14:textId="77777777" w:rsidR="00B2387E" w:rsidRPr="00ED4B15" w:rsidRDefault="00B2387E" w:rsidP="001F5222">
      <w:pPr>
        <w:ind w:left="284"/>
        <w:rPr>
          <w:rFonts w:cs="Arial"/>
          <w:sz w:val="22"/>
          <w:szCs w:val="22"/>
          <w:u w:val="single"/>
        </w:rPr>
      </w:pPr>
      <w:r w:rsidRPr="00ED4B15">
        <w:rPr>
          <w:rFonts w:cs="Arial"/>
          <w:sz w:val="22"/>
          <w:szCs w:val="22"/>
          <w:u w:val="single"/>
        </w:rPr>
        <w:t>Załączniki:</w:t>
      </w:r>
    </w:p>
    <w:p w14:paraId="77EC9276" w14:textId="27CBC8F1" w:rsidR="00B2387E" w:rsidRPr="00ED4B15" w:rsidRDefault="00B2387E" w:rsidP="001F5222">
      <w:pPr>
        <w:ind w:left="284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- </w:t>
      </w:r>
      <w:r w:rsidR="0054355A">
        <w:rPr>
          <w:rFonts w:cs="Arial"/>
          <w:sz w:val="22"/>
          <w:szCs w:val="22"/>
        </w:rPr>
        <w:t xml:space="preserve">Załącznik nr 1 - </w:t>
      </w:r>
      <w:r w:rsidRPr="00ED4B15">
        <w:rPr>
          <w:rFonts w:cs="Arial"/>
          <w:sz w:val="22"/>
          <w:szCs w:val="22"/>
        </w:rPr>
        <w:t>Map</w:t>
      </w:r>
      <w:r w:rsidR="0056010F">
        <w:rPr>
          <w:rFonts w:cs="Arial"/>
          <w:sz w:val="22"/>
          <w:szCs w:val="22"/>
        </w:rPr>
        <w:t>y</w:t>
      </w:r>
      <w:r w:rsidRPr="00ED4B15">
        <w:rPr>
          <w:rFonts w:cs="Arial"/>
          <w:sz w:val="22"/>
          <w:szCs w:val="22"/>
        </w:rPr>
        <w:t xml:space="preserve"> z lokalizacjami wymiany opraw</w:t>
      </w:r>
    </w:p>
    <w:p w14:paraId="7E58F678" w14:textId="7ABD2ABE" w:rsidR="00B2387E" w:rsidRPr="00ED4B15" w:rsidRDefault="00B2387E" w:rsidP="001F5222">
      <w:pPr>
        <w:ind w:left="284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- </w:t>
      </w:r>
      <w:r w:rsidR="003062E7" w:rsidRPr="00ED4B15">
        <w:rPr>
          <w:rFonts w:cs="Arial"/>
          <w:sz w:val="22"/>
          <w:szCs w:val="22"/>
        </w:rPr>
        <w:t>Załącznik nr 2</w:t>
      </w:r>
      <w:r w:rsidR="0054355A">
        <w:rPr>
          <w:rFonts w:cs="Arial"/>
          <w:sz w:val="22"/>
          <w:szCs w:val="22"/>
        </w:rPr>
        <w:t xml:space="preserve"> -</w:t>
      </w:r>
      <w:r w:rsidR="003062E7" w:rsidRPr="00ED4B15">
        <w:rPr>
          <w:rFonts w:cs="Arial"/>
          <w:sz w:val="22"/>
          <w:szCs w:val="22"/>
        </w:rPr>
        <w:t xml:space="preserve"> </w:t>
      </w:r>
      <w:r w:rsidR="0054355A">
        <w:rPr>
          <w:rFonts w:cs="Arial"/>
          <w:sz w:val="22"/>
          <w:szCs w:val="22"/>
        </w:rPr>
        <w:t xml:space="preserve">Dokumenty wymagane do odbioru </w:t>
      </w:r>
    </w:p>
    <w:sectPr w:rsidR="00B2387E" w:rsidRPr="00ED4B15" w:rsidSect="0064320F">
      <w:headerReference w:type="default" r:id="rId20"/>
      <w:footerReference w:type="default" r:id="rId21"/>
      <w:type w:val="continuous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C603" w14:textId="77777777" w:rsidR="0080429C" w:rsidRDefault="0080429C" w:rsidP="00CA621F">
      <w:r>
        <w:separator/>
      </w:r>
    </w:p>
  </w:endnote>
  <w:endnote w:type="continuationSeparator" w:id="0">
    <w:p w14:paraId="341B88E7" w14:textId="77777777" w:rsidR="0080429C" w:rsidRDefault="0080429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D6F47" w14:textId="77777777" w:rsidR="00EE36C2" w:rsidRDefault="00EE3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A249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TAURON Nowe Technologie S.A.</w:t>
    </w:r>
    <w:r w:rsidRPr="00D14B95">
      <w:rPr>
        <w:rFonts w:ascii="Titillium" w:eastAsia="Calibri" w:hAnsi="Titillium"/>
        <w:color w:val="6E6E6D"/>
        <w:sz w:val="14"/>
      </w:rPr>
      <w:tab/>
      <w:t>NIP: 899 10 76 556, REGON: 930810615</w:t>
    </w:r>
  </w:p>
  <w:p w14:paraId="0B29EC67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pl. Powstańców Śląskich 20</w:t>
    </w:r>
    <w:r w:rsidRPr="00D14B95">
      <w:rPr>
        <w:rFonts w:ascii="Titillium" w:eastAsia="Calibri" w:hAnsi="Titillium"/>
        <w:color w:val="6E6E6D"/>
        <w:sz w:val="14"/>
      </w:rPr>
      <w:tab/>
      <w:t>Kapitał zakładowy (wpłacony): 9.535.649,00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z</w:t>
    </w:r>
    <w:r w:rsidRPr="00D14B95">
      <w:rPr>
        <w:rFonts w:ascii="Titillium" w:eastAsia="Calibri" w:hAnsi="Titillium" w:cs="Titillium"/>
        <w:color w:val="6E6E6D"/>
        <w:sz w:val="14"/>
      </w:rPr>
      <w:t>ł</w:t>
    </w:r>
  </w:p>
  <w:p w14:paraId="625EEC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53-314 Wrocław</w:t>
    </w:r>
    <w:r w:rsidRPr="00D14B95">
      <w:rPr>
        <w:rFonts w:ascii="Titillium" w:eastAsia="Calibri" w:hAnsi="Titillium"/>
        <w:color w:val="6E6E6D"/>
        <w:sz w:val="14"/>
      </w:rPr>
      <w:tab/>
      <w:t>Rejestracja: Sąd rejonowy dla Wrocławia Fabrycznej we Wrocławiu</w:t>
    </w:r>
  </w:p>
  <w:p w14:paraId="6EA211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tel.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303 80 01</w:t>
    </w:r>
    <w:r w:rsidRPr="00D14B95">
      <w:rPr>
        <w:rFonts w:ascii="Titillium" w:eastAsia="Calibri" w:hAnsi="Titillium"/>
        <w:color w:val="6E6E6D"/>
        <w:sz w:val="14"/>
      </w:rPr>
      <w:tab/>
      <w:t xml:space="preserve">Wydział VI Gospodarczy Krajowego Rejestru Sądowego </w:t>
    </w:r>
  </w:p>
  <w:p w14:paraId="5A847DE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D8117D"/>
        <w:sz w:val="14"/>
      </w:rPr>
    </w:pPr>
    <w:r w:rsidRPr="00D14B95">
      <w:rPr>
        <w:rFonts w:ascii="Titillium" w:eastAsia="Calibri" w:hAnsi="Titillium"/>
        <w:color w:val="6E6E6D"/>
        <w:sz w:val="14"/>
      </w:rPr>
      <w:t>fax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303 80 02</w:t>
    </w:r>
    <w:r w:rsidRPr="00D14B95">
      <w:rPr>
        <w:rFonts w:ascii="Titillium" w:eastAsia="Calibri" w:hAnsi="Titillium"/>
        <w:color w:val="6E6E6D"/>
        <w:sz w:val="14"/>
      </w:rPr>
      <w:tab/>
      <w:t>pod numerem KRS: 0000141756</w:t>
    </w:r>
    <w:r w:rsidRPr="00D14B95">
      <w:rPr>
        <w:rFonts w:ascii="Titillium" w:eastAsia="Calibri" w:hAnsi="Titillium"/>
        <w:color w:val="000000"/>
        <w:sz w:val="14"/>
      </w:rPr>
      <w:tab/>
    </w:r>
    <w:r w:rsidRPr="00D14B95">
      <w:rPr>
        <w:rFonts w:ascii="Titillium" w:eastAsia="Calibri" w:hAnsi="Titillium"/>
        <w:color w:val="D8117D"/>
        <w:sz w:val="14"/>
      </w:rPr>
      <w:t>www.nowe-technologie.tauron.pl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BB727" w14:textId="77777777" w:rsidR="00EE36C2" w:rsidRDefault="00EE36C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070E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466B56AA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1EE8828A" w14:textId="7EEB9480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  <w:r>
      <w:rPr>
        <w:noProof/>
        <w:lang w:eastAsia="pl-PL"/>
      </w:rPr>
      <w:drawing>
        <wp:inline distT="0" distB="0" distL="0" distR="0" wp14:anchorId="01C00DC9" wp14:editId="01AA5781">
          <wp:extent cx="5772785" cy="6838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01D3" w14:textId="77777777" w:rsidR="0080429C" w:rsidRDefault="0080429C" w:rsidP="00CA621F">
      <w:r>
        <w:separator/>
      </w:r>
    </w:p>
  </w:footnote>
  <w:footnote w:type="continuationSeparator" w:id="0">
    <w:p w14:paraId="5BC08986" w14:textId="77777777" w:rsidR="0080429C" w:rsidRDefault="0080429C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AE329" w14:textId="77777777" w:rsidR="00EE36C2" w:rsidRDefault="00EE3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B0B8" w14:textId="6CCFD5C2" w:rsidR="00EE36C2" w:rsidRPr="001176DA" w:rsidRDefault="00EE36C2" w:rsidP="00EE36C2">
    <w:pPr>
      <w:pStyle w:val="Nagwek"/>
      <w:rPr>
        <w:sz w:val="6"/>
        <w:szCs w:val="6"/>
      </w:rPr>
    </w:pPr>
    <w:r>
      <w:rPr>
        <w:noProof/>
        <w:lang w:eastAsia="pl-PL"/>
      </w:rPr>
      <w:drawing>
        <wp:inline distT="0" distB="0" distL="0" distR="0" wp14:anchorId="7C48636B" wp14:editId="314E4B5D">
          <wp:extent cx="5760085" cy="123620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236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DA5C" w14:textId="77777777" w:rsidR="00EE36C2" w:rsidRDefault="00EE36C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3DBC" w14:textId="77777777" w:rsidR="00EE36C2" w:rsidRDefault="00EE36C2" w:rsidP="00EE36C2">
    <w:pPr>
      <w:pStyle w:val="Nagwek"/>
      <w:rPr>
        <w:sz w:val="6"/>
        <w:szCs w:val="6"/>
      </w:rPr>
    </w:pPr>
  </w:p>
  <w:p w14:paraId="60E83C06" w14:textId="77777777" w:rsidR="00EE36C2" w:rsidRDefault="00EE36C2" w:rsidP="00EE36C2">
    <w:pPr>
      <w:pStyle w:val="Nagwek"/>
      <w:rPr>
        <w:sz w:val="6"/>
        <w:szCs w:val="6"/>
      </w:rPr>
    </w:pPr>
  </w:p>
  <w:p w14:paraId="48538D24" w14:textId="77777777" w:rsidR="00EE36C2" w:rsidRDefault="00EE36C2" w:rsidP="00EE36C2">
    <w:pPr>
      <w:pStyle w:val="Nagwek"/>
      <w:rPr>
        <w:sz w:val="6"/>
        <w:szCs w:val="6"/>
      </w:rPr>
    </w:pPr>
  </w:p>
  <w:p w14:paraId="485A8B8C" w14:textId="77777777" w:rsidR="00EE36C2" w:rsidRDefault="00EE36C2" w:rsidP="00EE36C2">
    <w:pPr>
      <w:pStyle w:val="Nagwek"/>
      <w:rPr>
        <w:sz w:val="6"/>
        <w:szCs w:val="6"/>
      </w:rPr>
    </w:pPr>
  </w:p>
  <w:p w14:paraId="54A86229" w14:textId="77777777" w:rsidR="00EE36C2" w:rsidRPr="001176DA" w:rsidRDefault="00EE36C2" w:rsidP="00EE36C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91"/>
        </w:tabs>
        <w:ind w:left="109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51"/>
        </w:tabs>
        <w:ind w:left="145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71"/>
        </w:tabs>
        <w:ind w:left="217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31"/>
        </w:tabs>
        <w:ind w:left="253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51"/>
        </w:tabs>
        <w:ind w:left="325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11"/>
        </w:tabs>
        <w:ind w:left="3611" w:hanging="360"/>
      </w:pPr>
      <w:rPr>
        <w:rFonts w:ascii="OpenSymbol" w:hAnsi="OpenSymbol"/>
      </w:rPr>
    </w:lvl>
  </w:abstractNum>
  <w:abstractNum w:abstractNumId="1" w15:restartNumberingAfterBreak="0">
    <w:nsid w:val="030D337B"/>
    <w:multiLevelType w:val="hybridMultilevel"/>
    <w:tmpl w:val="55FAB8D2"/>
    <w:lvl w:ilvl="0" w:tplc="4F9449EE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71E16"/>
    <w:multiLevelType w:val="hybridMultilevel"/>
    <w:tmpl w:val="4442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B6B2D"/>
    <w:multiLevelType w:val="hybridMultilevel"/>
    <w:tmpl w:val="C29C7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1CEA7D07"/>
    <w:multiLevelType w:val="hybridMultilevel"/>
    <w:tmpl w:val="526E9952"/>
    <w:lvl w:ilvl="0" w:tplc="6A580B98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1E140CD7"/>
    <w:multiLevelType w:val="hybridMultilevel"/>
    <w:tmpl w:val="85080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AB1"/>
    <w:multiLevelType w:val="hybridMultilevel"/>
    <w:tmpl w:val="F404F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36C35"/>
    <w:multiLevelType w:val="hybridMultilevel"/>
    <w:tmpl w:val="01BA7EEE"/>
    <w:lvl w:ilvl="0" w:tplc="DE4824A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A4D7B"/>
    <w:multiLevelType w:val="hybridMultilevel"/>
    <w:tmpl w:val="D508169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B2259"/>
    <w:multiLevelType w:val="hybridMultilevel"/>
    <w:tmpl w:val="4B78CB30"/>
    <w:lvl w:ilvl="0" w:tplc="AD2287D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58792B"/>
    <w:multiLevelType w:val="hybridMultilevel"/>
    <w:tmpl w:val="8C728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4B4888"/>
    <w:multiLevelType w:val="hybridMultilevel"/>
    <w:tmpl w:val="89261ACE"/>
    <w:lvl w:ilvl="0" w:tplc="A67C5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AE44E1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C7213"/>
    <w:multiLevelType w:val="hybridMultilevel"/>
    <w:tmpl w:val="0CC682C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52E0F"/>
    <w:multiLevelType w:val="hybridMultilevel"/>
    <w:tmpl w:val="41CE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61DC0"/>
    <w:multiLevelType w:val="hybridMultilevel"/>
    <w:tmpl w:val="16DEA4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1F5948"/>
    <w:multiLevelType w:val="hybridMultilevel"/>
    <w:tmpl w:val="DE643C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B6A0D"/>
    <w:multiLevelType w:val="hybridMultilevel"/>
    <w:tmpl w:val="77D49F34"/>
    <w:lvl w:ilvl="0" w:tplc="8AFA2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4C14"/>
    <w:multiLevelType w:val="hybridMultilevel"/>
    <w:tmpl w:val="D1482D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6BC435B"/>
    <w:multiLevelType w:val="hybridMultilevel"/>
    <w:tmpl w:val="9CFCD7C0"/>
    <w:lvl w:ilvl="0" w:tplc="86B8BA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A181925"/>
    <w:multiLevelType w:val="hybridMultilevel"/>
    <w:tmpl w:val="10C25ECE"/>
    <w:lvl w:ilvl="0" w:tplc="BD620F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C5FE7"/>
    <w:multiLevelType w:val="hybridMultilevel"/>
    <w:tmpl w:val="B85C57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5902C9"/>
    <w:multiLevelType w:val="hybridMultilevel"/>
    <w:tmpl w:val="09345666"/>
    <w:lvl w:ilvl="0" w:tplc="4CB2AD66">
      <w:start w:val="6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4627D"/>
    <w:multiLevelType w:val="hybridMultilevel"/>
    <w:tmpl w:val="5734F18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60E4468E"/>
    <w:multiLevelType w:val="hybridMultilevel"/>
    <w:tmpl w:val="4ADAFC98"/>
    <w:lvl w:ilvl="0" w:tplc="63540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7297"/>
    <w:multiLevelType w:val="hybridMultilevel"/>
    <w:tmpl w:val="0AC2F7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354A3"/>
    <w:multiLevelType w:val="hybridMultilevel"/>
    <w:tmpl w:val="D50816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0714E"/>
    <w:multiLevelType w:val="multilevel"/>
    <w:tmpl w:val="CFC8E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3B0680F"/>
    <w:multiLevelType w:val="hybridMultilevel"/>
    <w:tmpl w:val="7A629D7A"/>
    <w:lvl w:ilvl="0" w:tplc="B54A7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146DA"/>
    <w:multiLevelType w:val="hybridMultilevel"/>
    <w:tmpl w:val="9B9A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867CA"/>
    <w:multiLevelType w:val="hybridMultilevel"/>
    <w:tmpl w:val="19F646D6"/>
    <w:lvl w:ilvl="0" w:tplc="D6CE23A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97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850328">
    <w:abstractNumId w:val="18"/>
  </w:num>
  <w:num w:numId="3" w16cid:durableId="575089875">
    <w:abstractNumId w:val="30"/>
  </w:num>
  <w:num w:numId="4" w16cid:durableId="1658268362">
    <w:abstractNumId w:val="23"/>
  </w:num>
  <w:num w:numId="5" w16cid:durableId="2101483711">
    <w:abstractNumId w:val="27"/>
  </w:num>
  <w:num w:numId="6" w16cid:durableId="1987587156">
    <w:abstractNumId w:val="25"/>
  </w:num>
  <w:num w:numId="7" w16cid:durableId="771826170">
    <w:abstractNumId w:val="3"/>
  </w:num>
  <w:num w:numId="8" w16cid:durableId="1907759036">
    <w:abstractNumId w:val="20"/>
  </w:num>
  <w:num w:numId="9" w16cid:durableId="578636718">
    <w:abstractNumId w:val="28"/>
  </w:num>
  <w:num w:numId="10" w16cid:durableId="1932272398">
    <w:abstractNumId w:val="1"/>
  </w:num>
  <w:num w:numId="11" w16cid:durableId="1096711423">
    <w:abstractNumId w:val="24"/>
  </w:num>
  <w:num w:numId="12" w16cid:durableId="1105423920">
    <w:abstractNumId w:val="17"/>
  </w:num>
  <w:num w:numId="13" w16cid:durableId="1979073023">
    <w:abstractNumId w:val="14"/>
  </w:num>
  <w:num w:numId="14" w16cid:durableId="200899471">
    <w:abstractNumId w:val="21"/>
  </w:num>
  <w:num w:numId="15" w16cid:durableId="61291153">
    <w:abstractNumId w:val="2"/>
  </w:num>
  <w:num w:numId="16" w16cid:durableId="1175919168">
    <w:abstractNumId w:val="11"/>
  </w:num>
  <w:num w:numId="17" w16cid:durableId="1379010439">
    <w:abstractNumId w:val="5"/>
  </w:num>
  <w:num w:numId="18" w16cid:durableId="675421438">
    <w:abstractNumId w:val="4"/>
  </w:num>
  <w:num w:numId="19" w16cid:durableId="2056539322">
    <w:abstractNumId w:val="6"/>
  </w:num>
  <w:num w:numId="20" w16cid:durableId="620116844">
    <w:abstractNumId w:val="12"/>
  </w:num>
  <w:num w:numId="21" w16cid:durableId="1681664220">
    <w:abstractNumId w:val="15"/>
  </w:num>
  <w:num w:numId="22" w16cid:durableId="743257935">
    <w:abstractNumId w:val="13"/>
  </w:num>
  <w:num w:numId="23" w16cid:durableId="1302231762">
    <w:abstractNumId w:val="22"/>
  </w:num>
  <w:num w:numId="24" w16cid:durableId="243884613">
    <w:abstractNumId w:val="10"/>
  </w:num>
  <w:num w:numId="25" w16cid:durableId="1221597393">
    <w:abstractNumId w:val="19"/>
  </w:num>
  <w:num w:numId="26" w16cid:durableId="1669402150">
    <w:abstractNumId w:val="26"/>
  </w:num>
  <w:num w:numId="27" w16cid:durableId="1127972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3774127">
    <w:abstractNumId w:val="9"/>
  </w:num>
  <w:num w:numId="29" w16cid:durableId="76021811">
    <w:abstractNumId w:val="0"/>
  </w:num>
  <w:num w:numId="30" w16cid:durableId="1368023188">
    <w:abstractNumId w:val="29"/>
  </w:num>
  <w:num w:numId="31" w16cid:durableId="14988871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1715"/>
    <w:rsid w:val="00013ECE"/>
    <w:rsid w:val="00014144"/>
    <w:rsid w:val="0003121B"/>
    <w:rsid w:val="00036CA6"/>
    <w:rsid w:val="00043AC5"/>
    <w:rsid w:val="000526F7"/>
    <w:rsid w:val="0007313B"/>
    <w:rsid w:val="00091392"/>
    <w:rsid w:val="00093319"/>
    <w:rsid w:val="00093733"/>
    <w:rsid w:val="000A5364"/>
    <w:rsid w:val="000D0E12"/>
    <w:rsid w:val="000E1965"/>
    <w:rsid w:val="000E27CF"/>
    <w:rsid w:val="000F5656"/>
    <w:rsid w:val="000F64E5"/>
    <w:rsid w:val="000F6C37"/>
    <w:rsid w:val="001153EE"/>
    <w:rsid w:val="001371E5"/>
    <w:rsid w:val="001456FC"/>
    <w:rsid w:val="00162229"/>
    <w:rsid w:val="00165948"/>
    <w:rsid w:val="0018275D"/>
    <w:rsid w:val="001B1092"/>
    <w:rsid w:val="001B3624"/>
    <w:rsid w:val="001B7AF1"/>
    <w:rsid w:val="001C7F21"/>
    <w:rsid w:val="001F4356"/>
    <w:rsid w:val="001F5222"/>
    <w:rsid w:val="00203AC5"/>
    <w:rsid w:val="0021057C"/>
    <w:rsid w:val="0021400B"/>
    <w:rsid w:val="0022012C"/>
    <w:rsid w:val="00220836"/>
    <w:rsid w:val="00222035"/>
    <w:rsid w:val="00233115"/>
    <w:rsid w:val="00240EF8"/>
    <w:rsid w:val="00246620"/>
    <w:rsid w:val="0026617D"/>
    <w:rsid w:val="00277A0B"/>
    <w:rsid w:val="002905B8"/>
    <w:rsid w:val="002936E9"/>
    <w:rsid w:val="00297EC7"/>
    <w:rsid w:val="002B2368"/>
    <w:rsid w:val="002B7352"/>
    <w:rsid w:val="002C13E4"/>
    <w:rsid w:val="002D5099"/>
    <w:rsid w:val="002E586F"/>
    <w:rsid w:val="00303F46"/>
    <w:rsid w:val="00305B61"/>
    <w:rsid w:val="003062E7"/>
    <w:rsid w:val="00306C36"/>
    <w:rsid w:val="00315DAC"/>
    <w:rsid w:val="00342666"/>
    <w:rsid w:val="00367B47"/>
    <w:rsid w:val="003768E3"/>
    <w:rsid w:val="00382181"/>
    <w:rsid w:val="003B1FA0"/>
    <w:rsid w:val="003B5928"/>
    <w:rsid w:val="003C6F05"/>
    <w:rsid w:val="003D2E47"/>
    <w:rsid w:val="003E0F69"/>
    <w:rsid w:val="003E5C9F"/>
    <w:rsid w:val="003F06A2"/>
    <w:rsid w:val="003F61E5"/>
    <w:rsid w:val="00416D0C"/>
    <w:rsid w:val="004249FA"/>
    <w:rsid w:val="00430D03"/>
    <w:rsid w:val="004514DA"/>
    <w:rsid w:val="0047718F"/>
    <w:rsid w:val="00480B43"/>
    <w:rsid w:val="004A33B9"/>
    <w:rsid w:val="004A5DA9"/>
    <w:rsid w:val="004C5CE7"/>
    <w:rsid w:val="004D1C3A"/>
    <w:rsid w:val="004D6AAD"/>
    <w:rsid w:val="004E0A1F"/>
    <w:rsid w:val="004F5E6F"/>
    <w:rsid w:val="00542738"/>
    <w:rsid w:val="0054355A"/>
    <w:rsid w:val="0054474A"/>
    <w:rsid w:val="0056010F"/>
    <w:rsid w:val="00567621"/>
    <w:rsid w:val="0057245B"/>
    <w:rsid w:val="00574817"/>
    <w:rsid w:val="00574912"/>
    <w:rsid w:val="00580E86"/>
    <w:rsid w:val="00590ECB"/>
    <w:rsid w:val="0059649D"/>
    <w:rsid w:val="005A2F68"/>
    <w:rsid w:val="005A5BC5"/>
    <w:rsid w:val="005B03CB"/>
    <w:rsid w:val="005B1D6A"/>
    <w:rsid w:val="005B39AE"/>
    <w:rsid w:val="005D76EA"/>
    <w:rsid w:val="005E4762"/>
    <w:rsid w:val="005E6E97"/>
    <w:rsid w:val="005E74F4"/>
    <w:rsid w:val="005F3943"/>
    <w:rsid w:val="005F400B"/>
    <w:rsid w:val="006115A4"/>
    <w:rsid w:val="00622D80"/>
    <w:rsid w:val="00625A12"/>
    <w:rsid w:val="006319C1"/>
    <w:rsid w:val="00634D7F"/>
    <w:rsid w:val="0063674B"/>
    <w:rsid w:val="0064320F"/>
    <w:rsid w:val="0064367F"/>
    <w:rsid w:val="00646832"/>
    <w:rsid w:val="00646EAC"/>
    <w:rsid w:val="0065614A"/>
    <w:rsid w:val="00664963"/>
    <w:rsid w:val="00664C1E"/>
    <w:rsid w:val="006968B4"/>
    <w:rsid w:val="006A02E7"/>
    <w:rsid w:val="006A7D03"/>
    <w:rsid w:val="006C2194"/>
    <w:rsid w:val="006C7D40"/>
    <w:rsid w:val="006D3321"/>
    <w:rsid w:val="006F06FB"/>
    <w:rsid w:val="006F4C80"/>
    <w:rsid w:val="00704ABE"/>
    <w:rsid w:val="00710192"/>
    <w:rsid w:val="00730683"/>
    <w:rsid w:val="00747553"/>
    <w:rsid w:val="0077392E"/>
    <w:rsid w:val="007874E7"/>
    <w:rsid w:val="007A0AE5"/>
    <w:rsid w:val="007A2322"/>
    <w:rsid w:val="007A6606"/>
    <w:rsid w:val="007B4F21"/>
    <w:rsid w:val="007B520F"/>
    <w:rsid w:val="007C4C44"/>
    <w:rsid w:val="007C7475"/>
    <w:rsid w:val="007E2481"/>
    <w:rsid w:val="0080429C"/>
    <w:rsid w:val="00812C44"/>
    <w:rsid w:val="00821DC6"/>
    <w:rsid w:val="008303AB"/>
    <w:rsid w:val="00837CE0"/>
    <w:rsid w:val="008401D4"/>
    <w:rsid w:val="00841B79"/>
    <w:rsid w:val="00841D99"/>
    <w:rsid w:val="0085773D"/>
    <w:rsid w:val="00864EF4"/>
    <w:rsid w:val="00873107"/>
    <w:rsid w:val="00887402"/>
    <w:rsid w:val="00895C12"/>
    <w:rsid w:val="008C5D26"/>
    <w:rsid w:val="008D3211"/>
    <w:rsid w:val="008E2AF0"/>
    <w:rsid w:val="009058D8"/>
    <w:rsid w:val="0092206A"/>
    <w:rsid w:val="009235CE"/>
    <w:rsid w:val="00923C51"/>
    <w:rsid w:val="00944B78"/>
    <w:rsid w:val="00946980"/>
    <w:rsid w:val="00947C82"/>
    <w:rsid w:val="00952DF0"/>
    <w:rsid w:val="00972B39"/>
    <w:rsid w:val="00977065"/>
    <w:rsid w:val="0098714C"/>
    <w:rsid w:val="00995C3B"/>
    <w:rsid w:val="009A74E2"/>
    <w:rsid w:val="009C2EBD"/>
    <w:rsid w:val="009C55C0"/>
    <w:rsid w:val="009E7664"/>
    <w:rsid w:val="009F3573"/>
    <w:rsid w:val="00A03AC6"/>
    <w:rsid w:val="00A2045F"/>
    <w:rsid w:val="00A43F0B"/>
    <w:rsid w:val="00A55A72"/>
    <w:rsid w:val="00A56082"/>
    <w:rsid w:val="00A865C4"/>
    <w:rsid w:val="00AA0E5C"/>
    <w:rsid w:val="00AA65B3"/>
    <w:rsid w:val="00AB24BB"/>
    <w:rsid w:val="00AB34DC"/>
    <w:rsid w:val="00AC3DFA"/>
    <w:rsid w:val="00AD344F"/>
    <w:rsid w:val="00AD4EC3"/>
    <w:rsid w:val="00AE1D51"/>
    <w:rsid w:val="00AF5944"/>
    <w:rsid w:val="00B00A05"/>
    <w:rsid w:val="00B04CA8"/>
    <w:rsid w:val="00B06DF9"/>
    <w:rsid w:val="00B15570"/>
    <w:rsid w:val="00B2387E"/>
    <w:rsid w:val="00B53E38"/>
    <w:rsid w:val="00B66F93"/>
    <w:rsid w:val="00B7598A"/>
    <w:rsid w:val="00B7785C"/>
    <w:rsid w:val="00B85D4D"/>
    <w:rsid w:val="00BA197D"/>
    <w:rsid w:val="00BB4F9E"/>
    <w:rsid w:val="00BF0A5B"/>
    <w:rsid w:val="00C0008F"/>
    <w:rsid w:val="00C1158E"/>
    <w:rsid w:val="00C15DBA"/>
    <w:rsid w:val="00C300D8"/>
    <w:rsid w:val="00C32878"/>
    <w:rsid w:val="00C50C6C"/>
    <w:rsid w:val="00C53839"/>
    <w:rsid w:val="00C75A19"/>
    <w:rsid w:val="00C90BBF"/>
    <w:rsid w:val="00CA621F"/>
    <w:rsid w:val="00CC1BE4"/>
    <w:rsid w:val="00CD71BE"/>
    <w:rsid w:val="00CF0B4A"/>
    <w:rsid w:val="00CF2A53"/>
    <w:rsid w:val="00CF525C"/>
    <w:rsid w:val="00CF57C1"/>
    <w:rsid w:val="00D05AC1"/>
    <w:rsid w:val="00D14B95"/>
    <w:rsid w:val="00D17EE9"/>
    <w:rsid w:val="00D30EE1"/>
    <w:rsid w:val="00D344BA"/>
    <w:rsid w:val="00D40AD3"/>
    <w:rsid w:val="00D4331B"/>
    <w:rsid w:val="00D551A3"/>
    <w:rsid w:val="00D6182B"/>
    <w:rsid w:val="00D70D6C"/>
    <w:rsid w:val="00DA6EA6"/>
    <w:rsid w:val="00DA78C3"/>
    <w:rsid w:val="00DC2EFE"/>
    <w:rsid w:val="00DD2A65"/>
    <w:rsid w:val="00DE064E"/>
    <w:rsid w:val="00DF6D5F"/>
    <w:rsid w:val="00E04114"/>
    <w:rsid w:val="00E069D0"/>
    <w:rsid w:val="00E07D89"/>
    <w:rsid w:val="00E17448"/>
    <w:rsid w:val="00E27F04"/>
    <w:rsid w:val="00E41849"/>
    <w:rsid w:val="00E45BEF"/>
    <w:rsid w:val="00E461B2"/>
    <w:rsid w:val="00E46C50"/>
    <w:rsid w:val="00E55A7D"/>
    <w:rsid w:val="00E57697"/>
    <w:rsid w:val="00E629CF"/>
    <w:rsid w:val="00E71450"/>
    <w:rsid w:val="00E84D88"/>
    <w:rsid w:val="00E871F0"/>
    <w:rsid w:val="00E8756A"/>
    <w:rsid w:val="00E90D09"/>
    <w:rsid w:val="00E953D5"/>
    <w:rsid w:val="00EA1040"/>
    <w:rsid w:val="00EA2D6E"/>
    <w:rsid w:val="00EA3E88"/>
    <w:rsid w:val="00EA402D"/>
    <w:rsid w:val="00EA6DF6"/>
    <w:rsid w:val="00EB3E85"/>
    <w:rsid w:val="00EB40CE"/>
    <w:rsid w:val="00EB487E"/>
    <w:rsid w:val="00ED4B15"/>
    <w:rsid w:val="00EE36C2"/>
    <w:rsid w:val="00EF7219"/>
    <w:rsid w:val="00F01799"/>
    <w:rsid w:val="00F148DC"/>
    <w:rsid w:val="00F26CBB"/>
    <w:rsid w:val="00F461F8"/>
    <w:rsid w:val="00F509C9"/>
    <w:rsid w:val="00F55986"/>
    <w:rsid w:val="00F71732"/>
    <w:rsid w:val="00F8021B"/>
    <w:rsid w:val="00F8106B"/>
    <w:rsid w:val="00F8232F"/>
    <w:rsid w:val="00FB113F"/>
    <w:rsid w:val="00FB1900"/>
    <w:rsid w:val="00FB30D4"/>
    <w:rsid w:val="00FB6679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rsid w:val="00BB4F9E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17D"/>
    <w:rPr>
      <w:rFonts w:ascii="Segoe UI" w:hAnsi="Segoe UI" w:cs="Segoe UI"/>
      <w:color w:val="000000" w:themeColor="text1"/>
      <w:sz w:val="18"/>
      <w:szCs w:val="18"/>
    </w:rPr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A2045F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6C2194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rsid w:val="001B7AF1"/>
    <w:rPr>
      <w:rFonts w:ascii="Arial" w:hAnsi="Arial" w:cs="Times New Roman (Tekst podstawo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21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21B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21B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1F4356"/>
    <w:rPr>
      <w:rFonts w:ascii="Arial" w:hAnsi="Arial" w:cs="Times New Roman (Tekst podstawo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664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11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woz.tauron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piotr.piesik@tauron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88E5E-B81F-4BA6-8E4A-9178AD42C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EC047F-D1D7-42EF-A36C-BA9E979C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5</Pages>
  <Words>1909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Piesik Piotr (TNT)</cp:lastModifiedBy>
  <cp:revision>34</cp:revision>
  <cp:lastPrinted>2021-05-10T07:25:00Z</cp:lastPrinted>
  <dcterms:created xsi:type="dcterms:W3CDTF">2024-04-16T05:13:00Z</dcterms:created>
  <dcterms:modified xsi:type="dcterms:W3CDTF">2024-11-26T10:56:00Z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