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08" w:rsidRPr="008936B0" w:rsidRDefault="00BE0A08" w:rsidP="008936B0">
      <w:pPr>
        <w:spacing w:after="0"/>
        <w:jc w:val="center"/>
        <w:rPr>
          <w:rFonts w:ascii="Titillium" w:hAnsi="Titillium" w:cs="Arial"/>
          <w:b/>
          <w:sz w:val="24"/>
          <w:szCs w:val="20"/>
        </w:rPr>
      </w:pPr>
      <w:r w:rsidRPr="008936B0">
        <w:rPr>
          <w:rFonts w:ascii="Titillium" w:hAnsi="Titillium" w:cs="Arial"/>
          <w:b/>
          <w:sz w:val="24"/>
          <w:szCs w:val="20"/>
        </w:rPr>
        <w:t xml:space="preserve">INFORMACJE DOTYCZĄCE </w:t>
      </w:r>
      <w:r w:rsidR="00AE6840" w:rsidRPr="008936B0">
        <w:rPr>
          <w:rFonts w:ascii="Titillium" w:hAnsi="Titillium" w:cs="Arial"/>
          <w:b/>
          <w:sz w:val="24"/>
          <w:szCs w:val="20"/>
        </w:rPr>
        <w:t>UDZIAŁU W POSTĘPOWANIU PROSTYM:</w:t>
      </w:r>
    </w:p>
    <w:p w:rsidR="008936B0" w:rsidRPr="008936B0" w:rsidRDefault="008936B0" w:rsidP="008936B0">
      <w:pPr>
        <w:spacing w:after="0"/>
        <w:jc w:val="center"/>
        <w:rPr>
          <w:rFonts w:ascii="Titillium" w:hAnsi="Titillium" w:cs="Arial"/>
          <w:b/>
          <w:sz w:val="24"/>
          <w:szCs w:val="20"/>
        </w:rPr>
      </w:pPr>
    </w:p>
    <w:p w:rsidR="00015362" w:rsidRDefault="00BE0A08" w:rsidP="008936B0">
      <w:pPr>
        <w:spacing w:after="0"/>
        <w:jc w:val="center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TAURON Wydobycie S.A. zaprasza Kontrahentów do składania ofert cenowych na:</w:t>
      </w:r>
    </w:p>
    <w:p w:rsidR="00F52687" w:rsidRPr="008936B0" w:rsidRDefault="00F52687" w:rsidP="008936B0">
      <w:pPr>
        <w:spacing w:after="0"/>
        <w:jc w:val="center"/>
        <w:rPr>
          <w:rFonts w:ascii="Titillium" w:hAnsi="Titillium" w:cs="Arial"/>
          <w:sz w:val="18"/>
          <w:szCs w:val="20"/>
        </w:rPr>
      </w:pPr>
    </w:p>
    <w:p w:rsidR="00015362" w:rsidRPr="008936B0" w:rsidRDefault="0000598B" w:rsidP="008936B0">
      <w:pPr>
        <w:spacing w:after="0"/>
        <w:jc w:val="center"/>
        <w:rPr>
          <w:rFonts w:ascii="Titillium" w:hAnsi="Titillium" w:cs="Arial"/>
          <w:sz w:val="18"/>
          <w:szCs w:val="20"/>
        </w:rPr>
      </w:pPr>
      <w:r>
        <w:rPr>
          <w:rFonts w:cstheme="minorHAnsi"/>
          <w:b/>
        </w:rPr>
        <w:t>Książki i druki użytkowe</w:t>
      </w:r>
    </w:p>
    <w:p w:rsidR="0000598B" w:rsidRPr="0056324D" w:rsidRDefault="0000598B" w:rsidP="00881A08">
      <w:pPr>
        <w:spacing w:after="0"/>
        <w:jc w:val="center"/>
        <w:rPr>
          <w:rFonts w:ascii="Calibri" w:hAnsi="Calibri" w:cs="Calibri"/>
          <w:b/>
          <w:sz w:val="20"/>
          <w:szCs w:val="20"/>
        </w:rPr>
      </w:pPr>
    </w:p>
    <w:p w:rsidR="00E31489" w:rsidRDefault="00C55CF7" w:rsidP="00B07DFA">
      <w:pPr>
        <w:spacing w:after="0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Dostawa:</w:t>
      </w:r>
      <w:r w:rsidR="00850692">
        <w:rPr>
          <w:rFonts w:ascii="Titillium" w:hAnsi="Titillium" w:cs="Arial"/>
          <w:sz w:val="18"/>
          <w:szCs w:val="20"/>
        </w:rPr>
        <w:t xml:space="preserve"> </w:t>
      </w:r>
    </w:p>
    <w:p w:rsidR="0000598B" w:rsidRDefault="00CA468D" w:rsidP="00B07DFA">
      <w:pPr>
        <w:spacing w:after="0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ZG Janina, 32-590 Libiąż, ul. Górnicza 23.</w:t>
      </w:r>
      <w:r w:rsidR="008C7466">
        <w:rPr>
          <w:rFonts w:ascii="Titillium" w:hAnsi="Titillium" w:cs="Arial"/>
          <w:sz w:val="18"/>
          <w:szCs w:val="20"/>
        </w:rPr>
        <w:t>.</w:t>
      </w:r>
    </w:p>
    <w:p w:rsidR="00BD01CA" w:rsidRDefault="00BD01CA" w:rsidP="00B07DFA">
      <w:pPr>
        <w:spacing w:after="0"/>
        <w:rPr>
          <w:rFonts w:ascii="Titillium" w:hAnsi="Titillium" w:cs="Arial"/>
          <w:sz w:val="18"/>
          <w:szCs w:val="20"/>
        </w:rPr>
      </w:pPr>
    </w:p>
    <w:p w:rsidR="00CA6EF1" w:rsidRPr="00CA6EF1" w:rsidRDefault="00CA468D" w:rsidP="00CA6EF1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Calibri" w:hAnsi="Calibri" w:cs="Calibri"/>
        </w:rPr>
      </w:pPr>
      <w:r w:rsidRPr="00CA6EF1">
        <w:rPr>
          <w:rFonts w:cstheme="minorHAnsi"/>
          <w:b/>
        </w:rPr>
        <w:t xml:space="preserve">Książka wykaz dniówek wzór </w:t>
      </w:r>
      <w:proofErr w:type="spellStart"/>
      <w:r w:rsidRPr="00CA6EF1">
        <w:rPr>
          <w:rFonts w:cstheme="minorHAnsi"/>
          <w:b/>
        </w:rPr>
        <w:t>MSz</w:t>
      </w:r>
      <w:proofErr w:type="spellEnd"/>
      <w:r w:rsidRPr="00CA6EF1">
        <w:rPr>
          <w:rFonts w:cstheme="minorHAnsi"/>
        </w:rPr>
        <w:t xml:space="preserve"> – A5</w:t>
      </w:r>
      <w:r w:rsidR="00CA6EF1" w:rsidRPr="00CA6EF1">
        <w:rPr>
          <w:rFonts w:cstheme="minorHAnsi"/>
        </w:rPr>
        <w:t xml:space="preserve"> dwustronny, 70</w:t>
      </w:r>
      <w:r w:rsidR="00AC6331" w:rsidRPr="00CA6EF1">
        <w:rPr>
          <w:rFonts w:cstheme="minorHAnsi"/>
        </w:rPr>
        <w:t xml:space="preserve"> stron</w:t>
      </w:r>
      <w:r w:rsidR="00CA6EF1" w:rsidRPr="00CA6EF1">
        <w:rPr>
          <w:rFonts w:cstheme="minorHAnsi"/>
        </w:rPr>
        <w:t xml:space="preserve"> (od strony 45 czyste</w:t>
      </w:r>
      <w:r w:rsidR="00AC6331" w:rsidRPr="00CA6EF1">
        <w:rPr>
          <w:rFonts w:cstheme="minorHAnsi"/>
        </w:rPr>
        <w:t>,</w:t>
      </w:r>
      <w:r w:rsidR="00CA6EF1" w:rsidRPr="00CA6EF1">
        <w:rPr>
          <w:rFonts w:cstheme="minorHAnsi"/>
        </w:rPr>
        <w:t xml:space="preserve"> wg wzoru strony 46),</w:t>
      </w:r>
      <w:r w:rsidR="00AC6331" w:rsidRPr="00CA6EF1">
        <w:rPr>
          <w:rFonts w:cstheme="minorHAnsi"/>
        </w:rPr>
        <w:t xml:space="preserve"> twarda oprawa, układ pionowy</w:t>
      </w:r>
      <w:r w:rsidR="00CA6EF1" w:rsidRPr="00CA6EF1">
        <w:rPr>
          <w:rFonts w:cstheme="minorHAnsi"/>
        </w:rPr>
        <w:t>, książka klejona</w:t>
      </w:r>
      <w:r w:rsidRPr="00CA6EF1">
        <w:rPr>
          <w:rFonts w:cstheme="minorHAnsi"/>
        </w:rPr>
        <w:t xml:space="preserve"> – </w:t>
      </w:r>
      <w:r w:rsidRPr="00CA6EF1">
        <w:rPr>
          <w:rFonts w:cstheme="minorHAnsi"/>
          <w:b/>
        </w:rPr>
        <w:t>10 sztuk</w:t>
      </w:r>
      <w:r w:rsidRPr="00CA6EF1">
        <w:rPr>
          <w:rFonts w:cstheme="minorHAnsi"/>
        </w:rPr>
        <w:t>.</w:t>
      </w:r>
    </w:p>
    <w:p w:rsidR="00CA468D" w:rsidRDefault="00CA468D" w:rsidP="00CA468D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Książka raportowa wzór nr 10</w:t>
      </w:r>
      <w:r>
        <w:rPr>
          <w:rFonts w:ascii="Calibri" w:hAnsi="Calibri" w:cs="Calibri"/>
        </w:rPr>
        <w:t xml:space="preserve"> - </w:t>
      </w:r>
      <w:r>
        <w:rPr>
          <w:rFonts w:cstheme="minorHAnsi"/>
        </w:rPr>
        <w:t>A4 dwustronny, offset 80, twarda oprawa, układ pionowy, klejona, zestawienie</w:t>
      </w:r>
      <w:r>
        <w:rPr>
          <w:rFonts w:ascii="Calibri" w:hAnsi="Calibri" w:cs="Calibri"/>
        </w:rPr>
        <w:t>. Ilość stron jest uzależniona od dni, czyli strony pt. „Raporty dzienne oddziału” + „Uwagi i polecenia dla następnych zmian” to jest 10 stron na dzień = 310 stron        + 20 stron na końcu książki „Objazd oddziału w dniu ……….</w:t>
      </w:r>
      <w:proofErr w:type="spellStart"/>
      <w:r>
        <w:rPr>
          <w:rFonts w:ascii="Calibri" w:hAnsi="Calibri" w:cs="Calibri"/>
        </w:rPr>
        <w:t>zm</w:t>
      </w:r>
      <w:proofErr w:type="spellEnd"/>
      <w:r>
        <w:rPr>
          <w:rFonts w:ascii="Calibri" w:hAnsi="Calibri" w:cs="Calibri"/>
        </w:rPr>
        <w:t xml:space="preserve">……..” + pierwsze strony książki – </w:t>
      </w:r>
      <w:r w:rsidRPr="00CA468D">
        <w:rPr>
          <w:rFonts w:ascii="Calibri" w:hAnsi="Calibri" w:cs="Calibri"/>
          <w:b/>
        </w:rPr>
        <w:t>8 sztuk</w:t>
      </w:r>
      <w:r>
        <w:rPr>
          <w:rFonts w:ascii="Calibri" w:hAnsi="Calibri" w:cs="Calibri"/>
        </w:rPr>
        <w:t>.</w:t>
      </w:r>
    </w:p>
    <w:p w:rsidR="00CA468D" w:rsidRDefault="00CA468D" w:rsidP="00CA468D">
      <w:pPr>
        <w:pStyle w:val="Akapitzlist"/>
        <w:numPr>
          <w:ilvl w:val="0"/>
          <w:numId w:val="14"/>
        </w:numPr>
        <w:spacing w:after="0" w:line="36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Druk – karta zasiłkowa</w:t>
      </w:r>
      <w:r>
        <w:rPr>
          <w:rFonts w:ascii="Calibri" w:hAnsi="Calibri" w:cs="Calibri"/>
        </w:rPr>
        <w:t xml:space="preserve">, A4, dwustronny </w:t>
      </w:r>
      <w:proofErr w:type="spellStart"/>
      <w:r>
        <w:rPr>
          <w:rFonts w:ascii="Calibri" w:hAnsi="Calibri" w:cs="Calibri"/>
        </w:rPr>
        <w:t>Edixion</w:t>
      </w:r>
      <w:proofErr w:type="spellEnd"/>
      <w:r>
        <w:rPr>
          <w:rFonts w:ascii="Calibri" w:hAnsi="Calibri" w:cs="Calibri"/>
        </w:rPr>
        <w:t xml:space="preserve"> 250, cena za sztukę – </w:t>
      </w:r>
      <w:r w:rsidRPr="00CA468D">
        <w:rPr>
          <w:rFonts w:ascii="Calibri" w:hAnsi="Calibri" w:cs="Calibri"/>
          <w:b/>
        </w:rPr>
        <w:t>300 sztuk</w:t>
      </w:r>
      <w:r>
        <w:rPr>
          <w:rFonts w:ascii="Calibri" w:hAnsi="Calibri" w:cs="Calibri"/>
        </w:rPr>
        <w:t>.</w:t>
      </w:r>
    </w:p>
    <w:p w:rsidR="00CA468D" w:rsidRDefault="00CA468D" w:rsidP="00CA468D">
      <w:pPr>
        <w:pStyle w:val="Akapitzlist"/>
        <w:spacing w:after="0" w:line="360" w:lineRule="auto"/>
        <w:contextualSpacing w:val="0"/>
        <w:jc w:val="both"/>
        <w:rPr>
          <w:rFonts w:ascii="Calibri" w:hAnsi="Calibri" w:cs="Calibri"/>
        </w:rPr>
      </w:pPr>
    </w:p>
    <w:p w:rsidR="00850692" w:rsidRDefault="00850692" w:rsidP="006D73DA">
      <w:pPr>
        <w:spacing w:after="0"/>
        <w:rPr>
          <w:rFonts w:ascii="Titillium" w:hAnsi="Titillium" w:cs="Arial"/>
          <w:sz w:val="18"/>
          <w:szCs w:val="20"/>
        </w:rPr>
      </w:pPr>
    </w:p>
    <w:p w:rsidR="006D73DA" w:rsidRDefault="006D73DA" w:rsidP="006D73DA">
      <w:pPr>
        <w:pStyle w:val="Akapitzlist"/>
        <w:numPr>
          <w:ilvl w:val="0"/>
          <w:numId w:val="10"/>
        </w:numPr>
        <w:spacing w:after="0" w:line="256" w:lineRule="auto"/>
        <w:ind w:left="360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Warunki ogólne zapytania:</w:t>
      </w:r>
    </w:p>
    <w:p w:rsidR="006D73DA" w:rsidRDefault="006D73DA" w:rsidP="006D73DA">
      <w:pPr>
        <w:pStyle w:val="Akapitzlist"/>
        <w:spacing w:after="0"/>
        <w:ind w:left="0"/>
        <w:rPr>
          <w:rFonts w:ascii="Titillium" w:hAnsi="Titillium" w:cs="Arial"/>
          <w:sz w:val="6"/>
          <w:szCs w:val="6"/>
        </w:rPr>
      </w:pPr>
    </w:p>
    <w:p w:rsidR="006D73DA" w:rsidRDefault="006D73DA" w:rsidP="006D73DA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Dostawa towaru na koszt Wykonawcy.</w:t>
      </w:r>
      <w:bookmarkStart w:id="0" w:name="_GoBack"/>
      <w:bookmarkEnd w:id="0"/>
    </w:p>
    <w:p w:rsidR="006D73DA" w:rsidRDefault="006D73DA" w:rsidP="006D73DA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Towar jest fabrycznie nowy.</w:t>
      </w:r>
    </w:p>
    <w:p w:rsidR="006D73DA" w:rsidRDefault="006D73DA" w:rsidP="006D73DA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Towar jest wolny od wad prawnych.</w:t>
      </w:r>
    </w:p>
    <w:p w:rsidR="006D73DA" w:rsidRDefault="006D73DA" w:rsidP="006D73DA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Termin ważności oferty wynosi minimum 30 dni.</w:t>
      </w:r>
    </w:p>
    <w:p w:rsidR="008C7466" w:rsidRPr="008C7466" w:rsidRDefault="008B0BCE" w:rsidP="008C7466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 xml:space="preserve">Termin realizacji </w:t>
      </w:r>
      <w:r w:rsidRPr="00CA468D">
        <w:rPr>
          <w:rFonts w:ascii="Titillium" w:hAnsi="Titillium" w:cs="Arial"/>
          <w:sz w:val="18"/>
          <w:szCs w:val="18"/>
        </w:rPr>
        <w:t xml:space="preserve">– </w:t>
      </w:r>
      <w:r w:rsidR="008C7466" w:rsidRPr="00CA468D">
        <w:rPr>
          <w:rFonts w:ascii="Titillium" w:hAnsi="Titillium" w:cstheme="minorHAnsi"/>
          <w:sz w:val="18"/>
          <w:szCs w:val="18"/>
          <w:lang w:eastAsia="pl-PL"/>
        </w:rPr>
        <w:t>do 14 dn</w:t>
      </w:r>
      <w:r w:rsidR="00CA468D" w:rsidRPr="00CA468D">
        <w:rPr>
          <w:rFonts w:ascii="Titillium" w:hAnsi="Titillium" w:cstheme="minorHAnsi"/>
          <w:sz w:val="18"/>
          <w:szCs w:val="18"/>
          <w:lang w:eastAsia="pl-PL"/>
        </w:rPr>
        <w:t>i od daty otrzymania zamówienia</w:t>
      </w:r>
      <w:r w:rsidR="00CA468D">
        <w:rPr>
          <w:rFonts w:cstheme="minorHAnsi"/>
          <w:lang w:eastAsia="pl-PL"/>
        </w:rPr>
        <w:t>.</w:t>
      </w:r>
    </w:p>
    <w:p w:rsidR="00234733" w:rsidRDefault="006D73DA" w:rsidP="00234733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>
        <w:rPr>
          <w:rFonts w:ascii="Titillium" w:hAnsi="Titillium" w:cs="Arial"/>
          <w:sz w:val="18"/>
          <w:szCs w:val="20"/>
        </w:rPr>
        <w:t>Warunki płatności przelew 60 dni od daty dostarczenia prawidłowo wystawionej faktury.</w:t>
      </w:r>
    </w:p>
    <w:p w:rsidR="006D73DA" w:rsidRPr="00F52687" w:rsidRDefault="006D73DA" w:rsidP="00F52687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tillium" w:hAnsi="Titillium" w:cs="Arial"/>
          <w:sz w:val="18"/>
          <w:szCs w:val="20"/>
        </w:rPr>
      </w:pPr>
      <w:r w:rsidRPr="00F52687">
        <w:rPr>
          <w:rFonts w:ascii="Titillium" w:hAnsi="Titillium" w:cs="Arial"/>
          <w:sz w:val="18"/>
          <w:szCs w:val="18"/>
        </w:rPr>
        <w:t>Wraz z pierwszą dostawą wymagane jest dost</w:t>
      </w:r>
      <w:r w:rsidR="001336BC">
        <w:rPr>
          <w:rFonts w:ascii="Titillium" w:hAnsi="Titillium" w:cs="Arial"/>
          <w:sz w:val="18"/>
          <w:szCs w:val="18"/>
        </w:rPr>
        <w:t>arczenie:</w:t>
      </w:r>
      <w:r w:rsidR="00C55CF7">
        <w:rPr>
          <w:rFonts w:ascii="Titillium" w:hAnsi="Titillium" w:cstheme="minorHAnsi"/>
          <w:sz w:val="18"/>
          <w:szCs w:val="18"/>
        </w:rPr>
        <w:t xml:space="preserve"> </w:t>
      </w:r>
      <w:r w:rsidR="0000598B">
        <w:rPr>
          <w:rFonts w:ascii="Titillium" w:hAnsi="Titillium" w:cstheme="minorHAnsi"/>
          <w:sz w:val="18"/>
          <w:szCs w:val="18"/>
        </w:rPr>
        <w:t>dowód dostawy.</w:t>
      </w:r>
    </w:p>
    <w:p w:rsidR="000B6430" w:rsidRPr="008936B0" w:rsidRDefault="000B6430" w:rsidP="00D0034C">
      <w:pPr>
        <w:pStyle w:val="Akapitzlist"/>
        <w:spacing w:after="0"/>
        <w:jc w:val="both"/>
        <w:rPr>
          <w:rFonts w:ascii="Titillium" w:hAnsi="Titillium" w:cs="Arial"/>
          <w:sz w:val="18"/>
          <w:szCs w:val="20"/>
        </w:rPr>
      </w:pPr>
    </w:p>
    <w:p w:rsidR="005560E5" w:rsidRDefault="005560E5" w:rsidP="00D0034C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Złożenie oferty przez Wykonawcę jest równoznaczne z akceptacją warunków określonych przez Zamawiającego </w:t>
      </w:r>
      <w:r w:rsidR="00D0034C">
        <w:rPr>
          <w:rFonts w:ascii="Titillium" w:hAnsi="Titillium" w:cs="Arial"/>
          <w:sz w:val="18"/>
          <w:szCs w:val="20"/>
        </w:rPr>
        <w:br/>
      </w:r>
      <w:r w:rsidRPr="008936B0">
        <w:rPr>
          <w:rFonts w:ascii="Titillium" w:hAnsi="Titillium" w:cs="Arial"/>
          <w:sz w:val="18"/>
          <w:szCs w:val="20"/>
        </w:rPr>
        <w:t>w opisie przedmiotu zamówienia oraz z ogólnymi warunkami zapytania</w:t>
      </w:r>
      <w:r w:rsidR="00D0034C">
        <w:rPr>
          <w:rFonts w:ascii="Titillium" w:hAnsi="Titillium" w:cs="Arial"/>
          <w:sz w:val="18"/>
          <w:szCs w:val="20"/>
        </w:rPr>
        <w:t xml:space="preserve"> </w:t>
      </w:r>
      <w:r w:rsidRPr="008936B0">
        <w:rPr>
          <w:rFonts w:ascii="Titillium" w:hAnsi="Titillium" w:cs="Arial"/>
          <w:sz w:val="18"/>
          <w:szCs w:val="20"/>
        </w:rPr>
        <w:t>i wymaganiami Zamawiającego.</w:t>
      </w:r>
    </w:p>
    <w:p w:rsidR="008936B0" w:rsidRPr="008936B0" w:rsidRDefault="008936B0" w:rsidP="00D0034C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5560E5" w:rsidRPr="008936B0" w:rsidRDefault="005560E5" w:rsidP="00D0034C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Na platformie zakupowej należy złożyć ofertę na cenę jednostkową netto towaru. </w:t>
      </w:r>
      <w:r w:rsidR="00D0034C">
        <w:rPr>
          <w:rFonts w:ascii="Titillium" w:hAnsi="Titillium" w:cs="Arial"/>
          <w:sz w:val="18"/>
          <w:szCs w:val="20"/>
        </w:rPr>
        <w:br/>
      </w:r>
      <w:r w:rsidRPr="008936B0">
        <w:rPr>
          <w:rFonts w:ascii="Titillium" w:hAnsi="Titillium" w:cs="Arial"/>
          <w:sz w:val="18"/>
          <w:szCs w:val="20"/>
        </w:rPr>
        <w:t>Oferta najkorzystniejsza zostanie wybrana na podstawie kryterium</w:t>
      </w:r>
      <w:r w:rsidR="00F8674E" w:rsidRPr="008936B0">
        <w:rPr>
          <w:rFonts w:ascii="Titillium" w:hAnsi="Titillium" w:cs="Arial"/>
          <w:sz w:val="18"/>
          <w:szCs w:val="20"/>
        </w:rPr>
        <w:t>:</w:t>
      </w:r>
      <w:r w:rsidRPr="008936B0">
        <w:rPr>
          <w:rFonts w:ascii="Titillium" w:hAnsi="Titillium" w:cs="Arial"/>
          <w:sz w:val="18"/>
          <w:szCs w:val="20"/>
        </w:rPr>
        <w:t xml:space="preserve"> 100% - cena.</w:t>
      </w:r>
    </w:p>
    <w:p w:rsidR="008B0FC8" w:rsidRPr="008936B0" w:rsidRDefault="008B0FC8" w:rsidP="00D0034C">
      <w:pPr>
        <w:pStyle w:val="Akapitzlist"/>
        <w:spacing w:after="0"/>
        <w:ind w:left="360"/>
        <w:rPr>
          <w:rFonts w:ascii="Titillium" w:hAnsi="Titillium" w:cs="Arial"/>
          <w:sz w:val="6"/>
          <w:szCs w:val="6"/>
        </w:rPr>
      </w:pPr>
    </w:p>
    <w:p w:rsidR="008B0FC8" w:rsidRPr="00E6467D" w:rsidRDefault="008B0FC8" w:rsidP="00D0034C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tillium" w:hAnsi="Titillium" w:cs="Arial"/>
          <w:sz w:val="18"/>
          <w:szCs w:val="20"/>
          <w:u w:val="single"/>
        </w:rPr>
      </w:pPr>
      <w:r w:rsidRPr="00E6467D">
        <w:rPr>
          <w:rFonts w:ascii="Titillium" w:hAnsi="Titillium" w:cs="Arial"/>
          <w:sz w:val="18"/>
          <w:szCs w:val="20"/>
          <w:u w:val="single"/>
        </w:rPr>
        <w:t xml:space="preserve">Ilości szacowane </w:t>
      </w:r>
      <w:r w:rsidR="005E3B17" w:rsidRPr="00E6467D">
        <w:rPr>
          <w:rFonts w:ascii="Titillium" w:hAnsi="Titillium" w:cs="Arial"/>
          <w:sz w:val="18"/>
          <w:szCs w:val="20"/>
          <w:u w:val="single"/>
        </w:rPr>
        <w:t xml:space="preserve">podane w zapytaniu </w:t>
      </w:r>
      <w:r w:rsidRPr="00E6467D">
        <w:rPr>
          <w:rFonts w:ascii="Titillium" w:hAnsi="Titillium" w:cs="Arial"/>
          <w:sz w:val="18"/>
          <w:szCs w:val="20"/>
          <w:u w:val="single"/>
        </w:rPr>
        <w:t>mogą ulec zmianie</w:t>
      </w:r>
      <w:r w:rsidR="005E3B17" w:rsidRPr="00E6467D">
        <w:rPr>
          <w:rFonts w:ascii="Titillium" w:hAnsi="Titillium" w:cs="Arial"/>
          <w:sz w:val="18"/>
          <w:szCs w:val="20"/>
          <w:u w:val="single"/>
        </w:rPr>
        <w:t>.</w:t>
      </w:r>
    </w:p>
    <w:p w:rsidR="005560E5" w:rsidRPr="008936B0" w:rsidRDefault="005560E5" w:rsidP="00D0034C">
      <w:pPr>
        <w:pStyle w:val="Akapitzlist"/>
        <w:spacing w:after="0"/>
        <w:ind w:left="360"/>
        <w:rPr>
          <w:rFonts w:ascii="Titillium" w:hAnsi="Titillium" w:cs="Arial"/>
          <w:sz w:val="6"/>
          <w:szCs w:val="6"/>
        </w:rPr>
      </w:pPr>
    </w:p>
    <w:p w:rsidR="005560E5" w:rsidRDefault="005560E5" w:rsidP="00D0034C">
      <w:pPr>
        <w:pStyle w:val="Akapitzlist"/>
        <w:numPr>
          <w:ilvl w:val="0"/>
          <w:numId w:val="8"/>
        </w:numPr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  <w:r w:rsidRPr="00875302">
        <w:rPr>
          <w:rFonts w:ascii="Titillium" w:hAnsi="Titillium" w:cs="Arial"/>
          <w:b/>
          <w:sz w:val="18"/>
          <w:szCs w:val="20"/>
        </w:rPr>
        <w:t>Zamawiający</w:t>
      </w:r>
      <w:r w:rsidR="0011028C" w:rsidRPr="00875302">
        <w:rPr>
          <w:rFonts w:ascii="Titillium" w:hAnsi="Titillium" w:cs="Arial"/>
          <w:b/>
          <w:sz w:val="18"/>
          <w:szCs w:val="20"/>
        </w:rPr>
        <w:t xml:space="preserve"> po zakończonym etapie ofertowania</w:t>
      </w:r>
      <w:r w:rsidRPr="00875302">
        <w:rPr>
          <w:rFonts w:ascii="Titillium" w:hAnsi="Titillium" w:cs="Arial"/>
          <w:b/>
          <w:sz w:val="18"/>
          <w:szCs w:val="20"/>
        </w:rPr>
        <w:t xml:space="preserve"> planuje przeprowadzenie aukcji elektronicznej </w:t>
      </w:r>
      <w:r w:rsidR="00EF584D" w:rsidRPr="00875302">
        <w:rPr>
          <w:rFonts w:ascii="Titillium" w:hAnsi="Titillium" w:cs="Arial"/>
          <w:b/>
          <w:sz w:val="18"/>
          <w:szCs w:val="20"/>
        </w:rPr>
        <w:t>około</w:t>
      </w:r>
      <w:r w:rsidR="006D73DA" w:rsidRPr="00875302">
        <w:rPr>
          <w:rFonts w:ascii="Titillium" w:hAnsi="Titillium" w:cs="Arial"/>
          <w:b/>
          <w:sz w:val="18"/>
          <w:szCs w:val="20"/>
        </w:rPr>
        <w:t xml:space="preserve"> 6</w:t>
      </w:r>
      <w:r w:rsidR="003049D6" w:rsidRPr="00875302">
        <w:rPr>
          <w:rFonts w:ascii="Titillium" w:hAnsi="Titillium" w:cs="Arial"/>
          <w:b/>
          <w:sz w:val="18"/>
          <w:szCs w:val="20"/>
        </w:rPr>
        <w:t xml:space="preserve">0 </w:t>
      </w:r>
      <w:r w:rsidRPr="00875302">
        <w:rPr>
          <w:rFonts w:ascii="Titillium" w:hAnsi="Titillium" w:cs="Arial"/>
          <w:b/>
          <w:sz w:val="18"/>
          <w:szCs w:val="20"/>
        </w:rPr>
        <w:t>minut po zakończeniu ofertowania lub prze</w:t>
      </w:r>
      <w:r w:rsidR="00DC7266" w:rsidRPr="00875302">
        <w:rPr>
          <w:rFonts w:ascii="Titillium" w:hAnsi="Titillium" w:cs="Arial"/>
          <w:b/>
          <w:sz w:val="18"/>
          <w:szCs w:val="20"/>
        </w:rPr>
        <w:t xml:space="preserve">prowadzenie rundy negocjacyjnej na </w:t>
      </w:r>
      <w:r w:rsidR="001D2FDB" w:rsidRPr="00875302">
        <w:rPr>
          <w:rFonts w:ascii="Titillium" w:hAnsi="Titillium" w:cs="Arial"/>
          <w:b/>
          <w:sz w:val="18"/>
          <w:szCs w:val="20"/>
        </w:rPr>
        <w:t>P</w:t>
      </w:r>
      <w:r w:rsidR="00DC7266" w:rsidRPr="00875302">
        <w:rPr>
          <w:rFonts w:ascii="Titillium" w:hAnsi="Titillium" w:cs="Arial"/>
          <w:b/>
          <w:sz w:val="18"/>
          <w:szCs w:val="20"/>
        </w:rPr>
        <w:t xml:space="preserve">latformie </w:t>
      </w:r>
      <w:r w:rsidR="001D2FDB" w:rsidRPr="00875302">
        <w:rPr>
          <w:rFonts w:ascii="Titillium" w:hAnsi="Titillium" w:cs="Arial"/>
          <w:b/>
          <w:sz w:val="18"/>
          <w:szCs w:val="20"/>
        </w:rPr>
        <w:t xml:space="preserve">Zakupowej </w:t>
      </w:r>
      <w:r w:rsidR="00DC7266" w:rsidRPr="00875302">
        <w:rPr>
          <w:rFonts w:ascii="Titillium" w:hAnsi="Titillium" w:cs="Arial"/>
          <w:b/>
          <w:sz w:val="18"/>
          <w:szCs w:val="20"/>
        </w:rPr>
        <w:t>SWOZ.</w:t>
      </w:r>
      <w:r w:rsidR="003049D6" w:rsidRPr="00875302">
        <w:rPr>
          <w:rFonts w:ascii="Titillium" w:hAnsi="Titillium" w:cs="Arial"/>
          <w:b/>
          <w:sz w:val="18"/>
          <w:szCs w:val="20"/>
        </w:rPr>
        <w:t xml:space="preserve"> Planowana aukcja lub runda negocjacyjna odbywać się będzie na </w:t>
      </w:r>
      <w:r w:rsidR="001D2FDB" w:rsidRPr="00875302">
        <w:rPr>
          <w:rFonts w:ascii="Titillium" w:hAnsi="Titillium" w:cs="Arial"/>
          <w:b/>
          <w:sz w:val="18"/>
          <w:szCs w:val="20"/>
        </w:rPr>
        <w:t>30 minut (plus ewentualne dogrywki w przypadku aukcji)</w:t>
      </w:r>
      <w:r w:rsidR="003049D6" w:rsidRPr="00875302">
        <w:rPr>
          <w:rFonts w:ascii="Titillium" w:hAnsi="Titillium" w:cs="Arial"/>
          <w:b/>
          <w:sz w:val="18"/>
          <w:szCs w:val="20"/>
        </w:rPr>
        <w:t>.</w:t>
      </w:r>
    </w:p>
    <w:p w:rsidR="00CA468D" w:rsidRPr="00CA468D" w:rsidRDefault="00CA468D" w:rsidP="00CA468D">
      <w:pPr>
        <w:pStyle w:val="Akapitzlist"/>
        <w:rPr>
          <w:rFonts w:ascii="Titillium" w:hAnsi="Titillium" w:cs="Arial"/>
          <w:b/>
          <w:sz w:val="18"/>
          <w:szCs w:val="20"/>
        </w:rPr>
      </w:pPr>
    </w:p>
    <w:p w:rsidR="00CA468D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CA468D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CA468D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CA468D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CA468D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CA468D" w:rsidRPr="00875302" w:rsidRDefault="00CA468D" w:rsidP="00CA468D">
      <w:pPr>
        <w:pStyle w:val="Akapitzlist"/>
        <w:spacing w:after="0"/>
        <w:ind w:left="360"/>
        <w:jc w:val="both"/>
        <w:rPr>
          <w:rFonts w:ascii="Titillium" w:hAnsi="Titillium" w:cs="Arial"/>
          <w:b/>
          <w:sz w:val="18"/>
          <w:szCs w:val="20"/>
        </w:rPr>
      </w:pPr>
    </w:p>
    <w:p w:rsidR="008936B0" w:rsidRPr="008936B0" w:rsidRDefault="008936B0" w:rsidP="008936B0">
      <w:pPr>
        <w:pStyle w:val="Akapitzlist"/>
        <w:spacing w:after="0"/>
        <w:jc w:val="both"/>
        <w:rPr>
          <w:rFonts w:ascii="Titillium" w:hAnsi="Titillium" w:cs="Arial"/>
          <w:sz w:val="16"/>
          <w:szCs w:val="20"/>
        </w:rPr>
      </w:pPr>
    </w:p>
    <w:p w:rsidR="00AE6840" w:rsidRPr="008936B0" w:rsidRDefault="00AE6840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24"/>
        </w:rPr>
      </w:pPr>
      <w:r w:rsidRPr="008936B0">
        <w:rPr>
          <w:rFonts w:ascii="Titillium" w:hAnsi="Titillium" w:cs="Arial"/>
          <w:b/>
          <w:sz w:val="20"/>
          <w:szCs w:val="24"/>
        </w:rPr>
        <w:t>WARUNKI DOSTAWY I ODBIORU TOWARU</w:t>
      </w:r>
      <w:r w:rsidR="00415E04" w:rsidRPr="008936B0">
        <w:rPr>
          <w:rFonts w:ascii="Titillium" w:hAnsi="Titillium" w:cs="Arial"/>
          <w:b/>
          <w:sz w:val="20"/>
          <w:szCs w:val="24"/>
        </w:rPr>
        <w:t>:</w:t>
      </w:r>
    </w:p>
    <w:p w:rsidR="00415E04" w:rsidRPr="008936B0" w:rsidRDefault="00415E04" w:rsidP="008936B0">
      <w:pPr>
        <w:spacing w:after="0"/>
        <w:jc w:val="both"/>
        <w:rPr>
          <w:rFonts w:ascii="Titillium" w:hAnsi="Titillium" w:cs="Arial"/>
          <w:b/>
          <w:sz w:val="18"/>
          <w:szCs w:val="20"/>
        </w:rPr>
      </w:pPr>
    </w:p>
    <w:p w:rsidR="00AE6840" w:rsidRPr="008936B0" w:rsidRDefault="00AE6840" w:rsidP="00D0034C">
      <w:pPr>
        <w:pStyle w:val="Akapitzlist"/>
        <w:numPr>
          <w:ilvl w:val="0"/>
          <w:numId w:val="3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Dostawy przyjmowane są na magazyn</w:t>
      </w:r>
      <w:r w:rsidR="003049D6" w:rsidRPr="008936B0">
        <w:rPr>
          <w:rFonts w:ascii="Titillium" w:hAnsi="Titillium" w:cs="Arial"/>
          <w:sz w:val="18"/>
          <w:szCs w:val="20"/>
        </w:rPr>
        <w:t xml:space="preserve">y Zamawiającego </w:t>
      </w:r>
      <w:r w:rsidRPr="008936B0">
        <w:rPr>
          <w:rFonts w:ascii="Titillium" w:hAnsi="Titillium" w:cs="Arial"/>
          <w:sz w:val="18"/>
          <w:szCs w:val="20"/>
        </w:rPr>
        <w:t>od poniedziałku do piątku,</w:t>
      </w:r>
      <w:r w:rsidR="00F8674E" w:rsidRPr="008936B0">
        <w:rPr>
          <w:rFonts w:ascii="Titillium" w:hAnsi="Titillium" w:cs="Arial"/>
          <w:sz w:val="18"/>
          <w:szCs w:val="20"/>
        </w:rPr>
        <w:t xml:space="preserve"> w godzinach od 6:00 do 13:00 </w:t>
      </w:r>
      <w:r w:rsidRPr="008936B0">
        <w:rPr>
          <w:rFonts w:ascii="Titillium" w:hAnsi="Titillium" w:cs="Arial"/>
          <w:sz w:val="18"/>
          <w:szCs w:val="20"/>
        </w:rPr>
        <w:t>z wyłączeniem dni ustawowo wolnych od pracy,.</w:t>
      </w:r>
    </w:p>
    <w:p w:rsidR="005E3B17" w:rsidRPr="008936B0" w:rsidRDefault="005E3B17" w:rsidP="00D0034C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AE6840" w:rsidRPr="008936B0" w:rsidRDefault="00AE6840" w:rsidP="00D0034C">
      <w:pPr>
        <w:pStyle w:val="Akapitzlist"/>
        <w:numPr>
          <w:ilvl w:val="0"/>
          <w:numId w:val="3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Dostawa powinna być udokumentowana dowodem dostawy, zawierającym numer realizowanego zamówienia, wystawionym w sposób umożliwiający jednoznacz</w:t>
      </w:r>
      <w:r w:rsidR="001036B0" w:rsidRPr="008936B0">
        <w:rPr>
          <w:rFonts w:ascii="Titillium" w:hAnsi="Titillium" w:cs="Arial"/>
          <w:sz w:val="18"/>
          <w:szCs w:val="20"/>
        </w:rPr>
        <w:t>ną identyfikację dostarczonego t</w:t>
      </w:r>
      <w:r w:rsidRPr="008936B0">
        <w:rPr>
          <w:rFonts w:ascii="Titillium" w:hAnsi="Titillium" w:cs="Arial"/>
          <w:sz w:val="18"/>
          <w:szCs w:val="20"/>
        </w:rPr>
        <w:t>owaru.</w:t>
      </w:r>
    </w:p>
    <w:p w:rsidR="008936B0" w:rsidRPr="008936B0" w:rsidRDefault="008936B0" w:rsidP="008936B0">
      <w:pPr>
        <w:pStyle w:val="Akapitzlist"/>
        <w:spacing w:after="0"/>
        <w:jc w:val="both"/>
        <w:rPr>
          <w:rFonts w:ascii="Titillium" w:hAnsi="Titillium" w:cs="Arial"/>
          <w:b/>
          <w:sz w:val="18"/>
          <w:szCs w:val="20"/>
        </w:rPr>
      </w:pPr>
    </w:p>
    <w:p w:rsidR="00BB4232" w:rsidRDefault="00BB4232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24"/>
        </w:rPr>
      </w:pPr>
    </w:p>
    <w:p w:rsidR="00AE6840" w:rsidRPr="008936B0" w:rsidRDefault="00AE6840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24"/>
        </w:rPr>
      </w:pPr>
      <w:r w:rsidRPr="008936B0">
        <w:rPr>
          <w:rFonts w:ascii="Titillium" w:hAnsi="Titillium" w:cs="Arial"/>
          <w:b/>
          <w:sz w:val="20"/>
          <w:szCs w:val="24"/>
        </w:rPr>
        <w:t>ZASADY ROZLICZANIA</w:t>
      </w:r>
      <w:r w:rsidR="00415E04" w:rsidRPr="008936B0">
        <w:rPr>
          <w:rFonts w:ascii="Titillium" w:hAnsi="Titillium" w:cs="Arial"/>
          <w:b/>
          <w:sz w:val="20"/>
          <w:szCs w:val="24"/>
        </w:rPr>
        <w:t>:</w:t>
      </w:r>
    </w:p>
    <w:p w:rsidR="005E3B17" w:rsidRPr="008936B0" w:rsidRDefault="005E3B17" w:rsidP="008936B0">
      <w:pPr>
        <w:pStyle w:val="Akapitzlist"/>
        <w:spacing w:after="0"/>
        <w:jc w:val="both"/>
        <w:rPr>
          <w:rFonts w:ascii="Titillium" w:hAnsi="Titillium" w:cs="Arial"/>
          <w:b/>
          <w:sz w:val="18"/>
          <w:szCs w:val="20"/>
        </w:rPr>
      </w:pPr>
    </w:p>
    <w:p w:rsidR="00AE6840" w:rsidRPr="008936B0" w:rsidRDefault="00AE6840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Należność płatna będzie przelewem na rachunek bankowy Wykonawcy wskazany w fakturze, </w:t>
      </w:r>
      <w:r w:rsidR="00415E04" w:rsidRPr="008936B0">
        <w:rPr>
          <w:rFonts w:ascii="Titillium" w:hAnsi="Titillium" w:cs="Arial"/>
          <w:sz w:val="18"/>
          <w:szCs w:val="20"/>
        </w:rPr>
        <w:br/>
      </w:r>
      <w:r w:rsidRPr="008936B0">
        <w:rPr>
          <w:rFonts w:ascii="Titillium" w:hAnsi="Titillium" w:cs="Arial"/>
          <w:sz w:val="18"/>
          <w:szCs w:val="20"/>
        </w:rPr>
        <w:t>w terminie wskazanym w zamówieniu. Za dzień zapłaty uznaje się dzień obciążenia rachunku bankowego Zamawiającego.</w:t>
      </w:r>
    </w:p>
    <w:p w:rsidR="003049D6" w:rsidRPr="008936B0" w:rsidRDefault="003049D6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3049D6" w:rsidRPr="008936B0" w:rsidRDefault="003049D6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Na fakturach i dokumentach dostawy Wykonawca zobowiązany jest powołać się na numer zamówienia oraz </w:t>
      </w:r>
      <w:r w:rsidR="001036B0" w:rsidRPr="008936B0">
        <w:rPr>
          <w:rFonts w:ascii="Titillium" w:hAnsi="Titillium" w:cs="Arial"/>
          <w:sz w:val="18"/>
          <w:szCs w:val="20"/>
        </w:rPr>
        <w:t>winien jest wskazać</w:t>
      </w:r>
      <w:r w:rsidRPr="008936B0">
        <w:rPr>
          <w:rFonts w:ascii="Titillium" w:hAnsi="Titillium" w:cs="Arial"/>
          <w:sz w:val="18"/>
          <w:szCs w:val="20"/>
        </w:rPr>
        <w:t xml:space="preserve"> numer PKWiU</w:t>
      </w:r>
      <w:r w:rsidR="001036B0" w:rsidRPr="008936B0">
        <w:rPr>
          <w:rFonts w:ascii="Titillium" w:hAnsi="Titillium" w:cs="Arial"/>
          <w:sz w:val="18"/>
          <w:szCs w:val="20"/>
        </w:rPr>
        <w:t xml:space="preserve"> sprzedawanego towaru</w:t>
      </w:r>
      <w:r w:rsidRPr="008936B0">
        <w:rPr>
          <w:rFonts w:ascii="Titillium" w:hAnsi="Titillium" w:cs="Arial"/>
          <w:sz w:val="18"/>
          <w:szCs w:val="20"/>
        </w:rPr>
        <w:t>.</w:t>
      </w:r>
    </w:p>
    <w:p w:rsidR="00787D7E" w:rsidRPr="008936B0" w:rsidRDefault="00787D7E" w:rsidP="008936B0">
      <w:pPr>
        <w:pStyle w:val="Akapitzlist"/>
        <w:spacing w:after="0"/>
        <w:ind w:left="360"/>
        <w:rPr>
          <w:rFonts w:ascii="Titillium" w:hAnsi="Titillium" w:cs="Arial"/>
          <w:sz w:val="6"/>
          <w:szCs w:val="6"/>
        </w:rPr>
      </w:pPr>
    </w:p>
    <w:p w:rsidR="00787D7E" w:rsidRPr="008936B0" w:rsidRDefault="00787D7E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Prawidłowo wystawiona faktura stanowi podstawę zapłaty. </w:t>
      </w:r>
    </w:p>
    <w:p w:rsidR="003049D6" w:rsidRPr="008936B0" w:rsidRDefault="003049D6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3049D6" w:rsidRPr="008936B0" w:rsidRDefault="003049D6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Fakturę należy w</w:t>
      </w:r>
      <w:r w:rsidR="0064434E" w:rsidRPr="008936B0">
        <w:rPr>
          <w:rFonts w:ascii="Titillium" w:hAnsi="Titillium" w:cs="Arial"/>
          <w:sz w:val="18"/>
          <w:szCs w:val="20"/>
        </w:rPr>
        <w:t>y</w:t>
      </w:r>
      <w:r w:rsidRPr="008936B0">
        <w:rPr>
          <w:rFonts w:ascii="Titillium" w:hAnsi="Titillium" w:cs="Arial"/>
          <w:sz w:val="18"/>
          <w:szCs w:val="20"/>
        </w:rPr>
        <w:t>stawić na Zamawiającego oraz przesłać na adres</w:t>
      </w:r>
      <w:r w:rsidR="00415E04" w:rsidRPr="008936B0">
        <w:rPr>
          <w:rFonts w:ascii="Titillium" w:hAnsi="Titillium" w:cs="Arial"/>
          <w:sz w:val="18"/>
          <w:szCs w:val="20"/>
        </w:rPr>
        <w:t>:</w:t>
      </w:r>
      <w:r w:rsidR="00415E04" w:rsidRPr="008936B0">
        <w:rPr>
          <w:rFonts w:ascii="Titillium" w:hAnsi="Titillium" w:cs="Arial"/>
          <w:sz w:val="18"/>
          <w:szCs w:val="20"/>
        </w:rPr>
        <w:br/>
        <w:t>TA</w:t>
      </w:r>
      <w:r w:rsidRPr="008936B0">
        <w:rPr>
          <w:rFonts w:ascii="Titillium" w:hAnsi="Titillium" w:cs="Arial"/>
          <w:sz w:val="18"/>
          <w:szCs w:val="20"/>
        </w:rPr>
        <w:t>URON Obsługa Klienta Sp. z o.o.</w:t>
      </w:r>
      <w:r w:rsidR="00415E04" w:rsidRPr="008936B0">
        <w:rPr>
          <w:rFonts w:ascii="Titillium" w:hAnsi="Titillium" w:cs="Arial"/>
          <w:sz w:val="18"/>
          <w:szCs w:val="20"/>
        </w:rPr>
        <w:t>,</w:t>
      </w:r>
      <w:r w:rsidRPr="008936B0">
        <w:rPr>
          <w:rFonts w:ascii="Titillium" w:hAnsi="Titillium" w:cs="Arial"/>
          <w:sz w:val="18"/>
          <w:szCs w:val="20"/>
        </w:rPr>
        <w:t xml:space="preserve"> ul. Lwowska 23, 40-389 Katowice.</w:t>
      </w:r>
    </w:p>
    <w:p w:rsidR="005E3B17" w:rsidRPr="008936B0" w:rsidRDefault="005E3B17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AE6840" w:rsidRPr="008936B0" w:rsidRDefault="00AE6840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Zamawiający dokonuje zapłaty wynagrodzenia wynikającego z zamówienia z zachowaniem mechanizmu podzielonej płatności (z ang. </w:t>
      </w:r>
      <w:proofErr w:type="spellStart"/>
      <w:r w:rsidRPr="008936B0">
        <w:rPr>
          <w:rFonts w:ascii="Titillium" w:hAnsi="Titillium" w:cs="Arial"/>
          <w:sz w:val="18"/>
          <w:szCs w:val="20"/>
        </w:rPr>
        <w:t>split</w:t>
      </w:r>
      <w:proofErr w:type="spellEnd"/>
      <w:r w:rsidRPr="008936B0">
        <w:rPr>
          <w:rFonts w:ascii="Titillium" w:hAnsi="Titillium" w:cs="Arial"/>
          <w:sz w:val="18"/>
          <w:szCs w:val="20"/>
        </w:rPr>
        <w:t xml:space="preserve"> </w:t>
      </w:r>
      <w:proofErr w:type="spellStart"/>
      <w:r w:rsidRPr="008936B0">
        <w:rPr>
          <w:rFonts w:ascii="Titillium" w:hAnsi="Titillium" w:cs="Arial"/>
          <w:sz w:val="18"/>
          <w:szCs w:val="20"/>
        </w:rPr>
        <w:t>payment</w:t>
      </w:r>
      <w:proofErr w:type="spellEnd"/>
      <w:r w:rsidRPr="008936B0">
        <w:rPr>
          <w:rFonts w:ascii="Titillium" w:hAnsi="Titillium" w:cs="Arial"/>
          <w:sz w:val="18"/>
          <w:szCs w:val="20"/>
        </w:rPr>
        <w:t>), o którym mowa w rozdziale 1a ustawy</w:t>
      </w:r>
      <w:r w:rsidR="00D0034C">
        <w:rPr>
          <w:rFonts w:ascii="Titillium" w:hAnsi="Titillium" w:cs="Arial"/>
          <w:sz w:val="18"/>
          <w:szCs w:val="20"/>
        </w:rPr>
        <w:t xml:space="preserve"> </w:t>
      </w:r>
      <w:r w:rsidRPr="008936B0">
        <w:rPr>
          <w:rFonts w:ascii="Titillium" w:hAnsi="Titillium" w:cs="Arial"/>
          <w:sz w:val="18"/>
          <w:szCs w:val="20"/>
        </w:rPr>
        <w:t xml:space="preserve">z dnia 11 marca 2004 r. O podatku od towarów i usług (Dz.U. z 2004 r., nr 54, poz. 535 z </w:t>
      </w:r>
      <w:proofErr w:type="spellStart"/>
      <w:r w:rsidRPr="008936B0">
        <w:rPr>
          <w:rFonts w:ascii="Titillium" w:hAnsi="Titillium" w:cs="Arial"/>
          <w:sz w:val="18"/>
          <w:szCs w:val="20"/>
        </w:rPr>
        <w:t>późn</w:t>
      </w:r>
      <w:proofErr w:type="spellEnd"/>
      <w:r w:rsidRPr="008936B0">
        <w:rPr>
          <w:rFonts w:ascii="Titillium" w:hAnsi="Titillium" w:cs="Arial"/>
          <w:sz w:val="18"/>
          <w:szCs w:val="20"/>
        </w:rPr>
        <w:t>. zm.).</w:t>
      </w:r>
    </w:p>
    <w:p w:rsidR="003049D6" w:rsidRPr="008936B0" w:rsidRDefault="003049D6" w:rsidP="008936B0">
      <w:pPr>
        <w:pStyle w:val="Akapitzlist"/>
        <w:spacing w:after="0"/>
        <w:ind w:left="360"/>
        <w:rPr>
          <w:rFonts w:ascii="Titillium" w:hAnsi="Titillium" w:cs="Arial"/>
          <w:sz w:val="6"/>
          <w:szCs w:val="6"/>
        </w:rPr>
      </w:pPr>
    </w:p>
    <w:p w:rsidR="003049D6" w:rsidRPr="008936B0" w:rsidRDefault="003049D6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Zamawiający, realizuje płatności dla Wykonawcy będącego czynnym podatnikiem VAT, o ile wskazane na fakturze rachunki bankowe znajdują się na tzw. Białej Liście prowadzonej przez Szefa Krajowej Administracji Skarbowej.</w:t>
      </w:r>
    </w:p>
    <w:p w:rsidR="005E3B17" w:rsidRPr="008936B0" w:rsidRDefault="005E3B17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6"/>
          <w:szCs w:val="6"/>
        </w:rPr>
      </w:pPr>
    </w:p>
    <w:p w:rsidR="005E3B17" w:rsidRPr="008936B0" w:rsidRDefault="00AE6840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 xml:space="preserve">W przypadku, gdy którakolwiek ze Stron przestała być czynnym podatnikiem podatku od towarów </w:t>
      </w:r>
      <w:r w:rsidR="000C3F34" w:rsidRPr="008936B0">
        <w:rPr>
          <w:rFonts w:ascii="Titillium" w:hAnsi="Titillium" w:cs="Arial"/>
          <w:sz w:val="18"/>
          <w:szCs w:val="20"/>
        </w:rPr>
        <w:br/>
      </w:r>
      <w:r w:rsidRPr="008936B0">
        <w:rPr>
          <w:rFonts w:ascii="Titillium" w:hAnsi="Titillium" w:cs="Arial"/>
          <w:sz w:val="18"/>
          <w:szCs w:val="20"/>
        </w:rPr>
        <w:t>i usług (VAT), ma ona obowiązek niezwłocznego po</w:t>
      </w:r>
      <w:r w:rsidR="00390859" w:rsidRPr="008936B0">
        <w:rPr>
          <w:rFonts w:ascii="Titillium" w:hAnsi="Titillium" w:cs="Arial"/>
          <w:sz w:val="18"/>
          <w:szCs w:val="20"/>
        </w:rPr>
        <w:t>informowania o tym drugą Stronę.</w:t>
      </w:r>
    </w:p>
    <w:p w:rsidR="005E3B17" w:rsidRPr="008936B0" w:rsidRDefault="005E3B17" w:rsidP="008936B0">
      <w:pPr>
        <w:pStyle w:val="Akapitzlist"/>
        <w:spacing w:after="0"/>
        <w:ind w:left="360"/>
        <w:rPr>
          <w:rFonts w:ascii="Titillium" w:hAnsi="Titillium" w:cs="Arial"/>
          <w:sz w:val="6"/>
          <w:szCs w:val="6"/>
        </w:rPr>
      </w:pPr>
    </w:p>
    <w:p w:rsidR="00AE6840" w:rsidRPr="008936B0" w:rsidRDefault="00AE6840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Zamawiający zastrzega sobie możliwość weryfikacji statusu podatnika podatku VAT Wykonawcy na każdym etapie realizacji zamówienia.</w:t>
      </w:r>
    </w:p>
    <w:p w:rsidR="005E3B17" w:rsidRPr="008936B0" w:rsidRDefault="005E3B17" w:rsidP="008936B0">
      <w:pPr>
        <w:pStyle w:val="Akapitzlist"/>
        <w:spacing w:after="0"/>
        <w:ind w:left="360"/>
        <w:rPr>
          <w:rFonts w:ascii="Titillium" w:hAnsi="Titillium" w:cs="Arial"/>
          <w:sz w:val="6"/>
          <w:szCs w:val="20"/>
        </w:rPr>
      </w:pPr>
    </w:p>
    <w:p w:rsidR="00AE6840" w:rsidRDefault="00AE6840" w:rsidP="008936B0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Titillium" w:hAnsi="Titillium" w:cs="Arial"/>
          <w:sz w:val="18"/>
          <w:szCs w:val="20"/>
        </w:rPr>
      </w:pPr>
      <w:r w:rsidRPr="008936B0">
        <w:rPr>
          <w:rFonts w:ascii="Titillium" w:hAnsi="Titillium" w:cs="Arial"/>
          <w:sz w:val="18"/>
          <w:szCs w:val="20"/>
        </w:rPr>
        <w:t>Wierzytelność z tytułu niniejszego zamówienia nie może być przedmiotem przelewu bez pisemnej zgody Zamawiającego.</w:t>
      </w:r>
    </w:p>
    <w:p w:rsidR="008936B0" w:rsidRDefault="008936B0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16"/>
        </w:rPr>
      </w:pPr>
    </w:p>
    <w:p w:rsidR="00E66C85" w:rsidRDefault="00E66C85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16"/>
        </w:rPr>
      </w:pPr>
    </w:p>
    <w:p w:rsidR="00BC2C74" w:rsidRDefault="00BC2C74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16"/>
        </w:rPr>
      </w:pPr>
    </w:p>
    <w:p w:rsidR="008936B0" w:rsidRPr="008936B0" w:rsidRDefault="008936B0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16"/>
        </w:rPr>
      </w:pPr>
      <w:r w:rsidRPr="008936B0">
        <w:rPr>
          <w:rFonts w:ascii="Titillium" w:hAnsi="Titillium" w:cs="Arial"/>
          <w:b/>
          <w:sz w:val="20"/>
          <w:szCs w:val="16"/>
        </w:rPr>
        <w:t>KLAUZULA ANTYKORUPCYJNA:</w:t>
      </w:r>
    </w:p>
    <w:p w:rsidR="008936B0" w:rsidRPr="008936B0" w:rsidRDefault="008936B0" w:rsidP="008936B0">
      <w:pPr>
        <w:spacing w:after="0"/>
        <w:jc w:val="both"/>
        <w:rPr>
          <w:rFonts w:ascii="Titillium" w:hAnsi="Titillium" w:cs="Arial"/>
          <w:b/>
          <w:sz w:val="16"/>
          <w:szCs w:val="16"/>
        </w:rPr>
      </w:pPr>
    </w:p>
    <w:p w:rsidR="008936B0" w:rsidRPr="008936B0" w:rsidRDefault="008936B0" w:rsidP="008936B0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8936B0" w:rsidRPr="008936B0" w:rsidRDefault="008936B0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18"/>
          <w:szCs w:val="18"/>
        </w:rPr>
      </w:pPr>
    </w:p>
    <w:p w:rsidR="008936B0" w:rsidRPr="008936B0" w:rsidRDefault="008936B0" w:rsidP="008936B0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8936B0" w:rsidRPr="008936B0" w:rsidRDefault="008936B0" w:rsidP="008936B0">
      <w:pPr>
        <w:pStyle w:val="Akapitzlist"/>
        <w:spacing w:after="0"/>
        <w:ind w:left="360"/>
        <w:jc w:val="both"/>
        <w:rPr>
          <w:rFonts w:ascii="Titillium" w:hAnsi="Titillium" w:cs="Arial"/>
          <w:sz w:val="18"/>
          <w:szCs w:val="18"/>
        </w:rPr>
      </w:pPr>
    </w:p>
    <w:p w:rsidR="008936B0" w:rsidRPr="008936B0" w:rsidRDefault="008936B0" w:rsidP="008936B0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Wykonawca zobowiązuje się do zapobiegania zjawiskom korupcyjnym i innym nadużyciom przy wykonaniu niniejszego Zamówienia</w:t>
      </w:r>
    </w:p>
    <w:p w:rsidR="008936B0" w:rsidRDefault="008936B0" w:rsidP="008936B0">
      <w:pPr>
        <w:spacing w:after="0"/>
        <w:jc w:val="both"/>
        <w:rPr>
          <w:rFonts w:ascii="Titillium" w:hAnsi="Titillium" w:cs="Arial"/>
          <w:sz w:val="14"/>
          <w:szCs w:val="20"/>
        </w:rPr>
      </w:pPr>
    </w:p>
    <w:p w:rsidR="008936B0" w:rsidRPr="008936B0" w:rsidRDefault="001C4CC8" w:rsidP="008936B0">
      <w:pPr>
        <w:pBdr>
          <w:bottom w:val="single" w:sz="4" w:space="1" w:color="auto"/>
        </w:pBdr>
        <w:spacing w:after="0"/>
        <w:jc w:val="both"/>
        <w:rPr>
          <w:rFonts w:ascii="Titillium" w:hAnsi="Titillium" w:cs="Arial"/>
          <w:b/>
          <w:sz w:val="20"/>
          <w:szCs w:val="16"/>
        </w:rPr>
      </w:pPr>
      <w:r w:rsidRPr="008936B0">
        <w:rPr>
          <w:rFonts w:ascii="Titillium" w:hAnsi="Titillium" w:cs="Arial"/>
          <w:sz w:val="18"/>
          <w:szCs w:val="20"/>
        </w:rPr>
        <w:t xml:space="preserve"> </w:t>
      </w:r>
      <w:r w:rsidR="008936B0" w:rsidRPr="008936B0">
        <w:rPr>
          <w:rFonts w:ascii="Titillium" w:hAnsi="Titillium" w:cs="Arial"/>
          <w:b/>
          <w:sz w:val="20"/>
          <w:szCs w:val="16"/>
        </w:rPr>
        <w:t>KLAUZULA O OCHRONIE DANYCH OSOBOWYCH (RODO)</w:t>
      </w:r>
    </w:p>
    <w:p w:rsidR="008936B0" w:rsidRPr="008936B0" w:rsidRDefault="008936B0" w:rsidP="008936B0">
      <w:pPr>
        <w:spacing w:after="0"/>
        <w:jc w:val="both"/>
        <w:rPr>
          <w:rFonts w:ascii="Titillium" w:hAnsi="Titillium" w:cs="Arial"/>
          <w:b/>
          <w:sz w:val="20"/>
          <w:szCs w:val="16"/>
        </w:rPr>
      </w:pPr>
    </w:p>
    <w:p w:rsidR="008936B0" w:rsidRPr="008936B0" w:rsidRDefault="008936B0" w:rsidP="008936B0">
      <w:pPr>
        <w:pStyle w:val="Akapitzlist"/>
        <w:numPr>
          <w:ilvl w:val="0"/>
          <w:numId w:val="6"/>
        </w:numPr>
        <w:spacing w:after="0"/>
        <w:ind w:left="290" w:hanging="284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z dnia 27 kwietnia 2016 r. 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:rsidR="008936B0" w:rsidRPr="008936B0" w:rsidRDefault="008936B0" w:rsidP="008936B0">
      <w:pPr>
        <w:pStyle w:val="Akapitzlist"/>
        <w:spacing w:after="0"/>
        <w:ind w:left="290" w:hanging="284"/>
        <w:jc w:val="both"/>
        <w:rPr>
          <w:rFonts w:ascii="Titillium" w:hAnsi="Titillium" w:cs="Arial"/>
          <w:sz w:val="18"/>
          <w:szCs w:val="18"/>
        </w:rPr>
      </w:pPr>
    </w:p>
    <w:p w:rsidR="008936B0" w:rsidRPr="008936B0" w:rsidRDefault="008936B0" w:rsidP="008936B0">
      <w:pPr>
        <w:pStyle w:val="Akapitzlist"/>
        <w:numPr>
          <w:ilvl w:val="0"/>
          <w:numId w:val="6"/>
        </w:numPr>
        <w:spacing w:after="0"/>
        <w:ind w:left="290" w:hanging="284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 xml:space="preserve">Wykonawca zobowiązany jest, w celu wypełnienia obowiązku informacyjnego przewidzianego </w:t>
      </w:r>
      <w:r w:rsidRPr="008936B0">
        <w:rPr>
          <w:rFonts w:ascii="Titillium" w:hAnsi="Titillium" w:cs="Arial"/>
          <w:sz w:val="18"/>
          <w:szCs w:val="18"/>
        </w:rPr>
        <w:br/>
        <w:t xml:space="preserve">w art. 13 lub art. 14 RODO, poinformować osoby fizyczne, których dane przekazuje Zamawiającemu o zasadach przetwarzania danych osobowych przez Zamawiającego oraz o przysługujących </w:t>
      </w:r>
      <w:r w:rsidRPr="008936B0">
        <w:rPr>
          <w:rFonts w:ascii="Titillium" w:hAnsi="Titillium" w:cs="Arial"/>
          <w:sz w:val="18"/>
          <w:szCs w:val="18"/>
        </w:rPr>
        <w:br/>
        <w:t>w związku z przetwarzaniem danych osobowych prawach. Wykonawca może poinformować osoby, których dane dotyczą o miejscu udostępnienia informacji o których mowa w zdaniu poprzednim, bądź zapewnić przekazanie takiej informacji.</w:t>
      </w:r>
    </w:p>
    <w:p w:rsidR="008936B0" w:rsidRPr="008936B0" w:rsidRDefault="008936B0" w:rsidP="008936B0">
      <w:pPr>
        <w:pStyle w:val="Akapitzlist"/>
        <w:spacing w:after="0"/>
        <w:ind w:left="290" w:hanging="284"/>
        <w:jc w:val="both"/>
        <w:rPr>
          <w:rFonts w:ascii="Titillium" w:hAnsi="Titillium" w:cs="Arial"/>
          <w:sz w:val="18"/>
          <w:szCs w:val="18"/>
        </w:rPr>
      </w:pPr>
    </w:p>
    <w:p w:rsidR="009D6682" w:rsidRPr="00D0034C" w:rsidRDefault="008936B0" w:rsidP="00B71E7C">
      <w:pPr>
        <w:pStyle w:val="Akapitzlist"/>
        <w:numPr>
          <w:ilvl w:val="0"/>
          <w:numId w:val="6"/>
        </w:numPr>
        <w:spacing w:after="0"/>
        <w:ind w:left="290" w:hanging="284"/>
        <w:jc w:val="both"/>
        <w:rPr>
          <w:rFonts w:ascii="Titillium" w:hAnsi="Titillium"/>
          <w:sz w:val="18"/>
          <w:szCs w:val="18"/>
        </w:rPr>
      </w:pPr>
      <w:r w:rsidRPr="00D0034C">
        <w:rPr>
          <w:rFonts w:ascii="Titillium" w:hAnsi="Titillium" w:cs="Arial"/>
          <w:sz w:val="18"/>
          <w:szCs w:val="18"/>
        </w:rPr>
        <w:t xml:space="preserve">Informacje o których mowa w pkt. 2 dostępne są na stronie internetowej: </w:t>
      </w:r>
      <w:hyperlink r:id="rId7" w:history="1">
        <w:r w:rsidRPr="00D0034C">
          <w:rPr>
            <w:rStyle w:val="Hipercze"/>
            <w:rFonts w:ascii="Titillium" w:hAnsi="Titillium" w:cs="Arial"/>
            <w:sz w:val="18"/>
            <w:szCs w:val="18"/>
          </w:rPr>
          <w:t>www.tauron-wydobycie.pl/polityka-prywatnosci</w:t>
        </w:r>
      </w:hyperlink>
      <w:r w:rsidRPr="00D0034C">
        <w:rPr>
          <w:rFonts w:ascii="Titillium" w:hAnsi="Titillium" w:cs="Arial"/>
          <w:sz w:val="18"/>
          <w:szCs w:val="18"/>
        </w:rPr>
        <w:t xml:space="preserve">.  </w:t>
      </w:r>
    </w:p>
    <w:sectPr w:rsidR="009D6682" w:rsidRPr="00D0034C" w:rsidSect="008936B0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FAB" w:rsidRDefault="00221FAB" w:rsidP="008B0FC8">
      <w:pPr>
        <w:spacing w:after="0" w:line="240" w:lineRule="auto"/>
      </w:pPr>
      <w:r>
        <w:separator/>
      </w:r>
    </w:p>
  </w:endnote>
  <w:endnote w:type="continuationSeparator" w:id="0">
    <w:p w:rsidR="00221FAB" w:rsidRDefault="00221FAB" w:rsidP="008B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FAB" w:rsidRDefault="00221FAB" w:rsidP="008B0FC8">
      <w:pPr>
        <w:spacing w:after="0" w:line="240" w:lineRule="auto"/>
      </w:pPr>
      <w:r>
        <w:separator/>
      </w:r>
    </w:p>
  </w:footnote>
  <w:footnote w:type="continuationSeparator" w:id="0">
    <w:p w:rsidR="00221FAB" w:rsidRDefault="00221FAB" w:rsidP="008B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B17" w:rsidRDefault="005E3B17">
    <w:pPr>
      <w:pStyle w:val="Nagwek"/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7353720" wp14:editId="7F90B7C3">
          <wp:simplePos x="0" y="0"/>
          <wp:positionH relativeFrom="column">
            <wp:posOffset>5145405</wp:posOffset>
          </wp:positionH>
          <wp:positionV relativeFrom="paragraph">
            <wp:posOffset>-49530</wp:posOffset>
          </wp:positionV>
          <wp:extent cx="550545" cy="550545"/>
          <wp:effectExtent l="0" t="0" r="1905" b="1905"/>
          <wp:wrapSquare wrapText="left"/>
          <wp:docPr id="7" name="Obraz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5086C"/>
    <w:multiLevelType w:val="hybridMultilevel"/>
    <w:tmpl w:val="37B20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41BEE"/>
    <w:multiLevelType w:val="hybridMultilevel"/>
    <w:tmpl w:val="DF28C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D19F2"/>
    <w:multiLevelType w:val="hybridMultilevel"/>
    <w:tmpl w:val="C77A10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342CA"/>
    <w:multiLevelType w:val="hybridMultilevel"/>
    <w:tmpl w:val="FEF4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B3922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94C50"/>
    <w:multiLevelType w:val="hybridMultilevel"/>
    <w:tmpl w:val="C3C84D92"/>
    <w:lvl w:ilvl="0" w:tplc="1EE825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79726A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47F1E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3493F"/>
    <w:multiLevelType w:val="hybridMultilevel"/>
    <w:tmpl w:val="B846F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6A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716DB"/>
    <w:multiLevelType w:val="hybridMultilevel"/>
    <w:tmpl w:val="0F78DFC2"/>
    <w:lvl w:ilvl="0" w:tplc="041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08"/>
    <w:rsid w:val="0000598B"/>
    <w:rsid w:val="00015362"/>
    <w:rsid w:val="00023B96"/>
    <w:rsid w:val="000A2C46"/>
    <w:rsid w:val="000B6430"/>
    <w:rsid w:val="000C3F34"/>
    <w:rsid w:val="000E36C4"/>
    <w:rsid w:val="001036B0"/>
    <w:rsid w:val="0011028C"/>
    <w:rsid w:val="001336BC"/>
    <w:rsid w:val="00142160"/>
    <w:rsid w:val="001423E6"/>
    <w:rsid w:val="00156F74"/>
    <w:rsid w:val="001574CD"/>
    <w:rsid w:val="00177568"/>
    <w:rsid w:val="001C4CC8"/>
    <w:rsid w:val="001C7A24"/>
    <w:rsid w:val="001D2FDB"/>
    <w:rsid w:val="001E1E38"/>
    <w:rsid w:val="001E2E0A"/>
    <w:rsid w:val="00215270"/>
    <w:rsid w:val="00221FAB"/>
    <w:rsid w:val="00234733"/>
    <w:rsid w:val="002360FF"/>
    <w:rsid w:val="00237944"/>
    <w:rsid w:val="002606D3"/>
    <w:rsid w:val="002832CD"/>
    <w:rsid w:val="00286299"/>
    <w:rsid w:val="002D62A9"/>
    <w:rsid w:val="002E5FB3"/>
    <w:rsid w:val="002F18F4"/>
    <w:rsid w:val="003049D6"/>
    <w:rsid w:val="0031314B"/>
    <w:rsid w:val="003133D5"/>
    <w:rsid w:val="003208C5"/>
    <w:rsid w:val="00390859"/>
    <w:rsid w:val="003D4C76"/>
    <w:rsid w:val="00415E04"/>
    <w:rsid w:val="004344B7"/>
    <w:rsid w:val="00434693"/>
    <w:rsid w:val="004451C4"/>
    <w:rsid w:val="004872DA"/>
    <w:rsid w:val="00492229"/>
    <w:rsid w:val="004A709D"/>
    <w:rsid w:val="00527229"/>
    <w:rsid w:val="00552173"/>
    <w:rsid w:val="005560E5"/>
    <w:rsid w:val="00561279"/>
    <w:rsid w:val="0056324D"/>
    <w:rsid w:val="00591A8C"/>
    <w:rsid w:val="005B028F"/>
    <w:rsid w:val="005C59DA"/>
    <w:rsid w:val="005E3B17"/>
    <w:rsid w:val="00614ECB"/>
    <w:rsid w:val="006330C0"/>
    <w:rsid w:val="006378AF"/>
    <w:rsid w:val="0064434E"/>
    <w:rsid w:val="00661A7B"/>
    <w:rsid w:val="00671EE6"/>
    <w:rsid w:val="00673364"/>
    <w:rsid w:val="006B33CA"/>
    <w:rsid w:val="006B48EB"/>
    <w:rsid w:val="006C1208"/>
    <w:rsid w:val="006D73DA"/>
    <w:rsid w:val="006E7C05"/>
    <w:rsid w:val="00700225"/>
    <w:rsid w:val="0071399E"/>
    <w:rsid w:val="007264B1"/>
    <w:rsid w:val="007513D2"/>
    <w:rsid w:val="00787D7E"/>
    <w:rsid w:val="00793923"/>
    <w:rsid w:val="007D39A9"/>
    <w:rsid w:val="007E1022"/>
    <w:rsid w:val="007E5225"/>
    <w:rsid w:val="007F2549"/>
    <w:rsid w:val="00806905"/>
    <w:rsid w:val="008449FA"/>
    <w:rsid w:val="00850692"/>
    <w:rsid w:val="00865BA0"/>
    <w:rsid w:val="00875302"/>
    <w:rsid w:val="00881A08"/>
    <w:rsid w:val="008936B0"/>
    <w:rsid w:val="008A47B5"/>
    <w:rsid w:val="008B0BCE"/>
    <w:rsid w:val="008B0FC8"/>
    <w:rsid w:val="008C7466"/>
    <w:rsid w:val="00914721"/>
    <w:rsid w:val="0092535D"/>
    <w:rsid w:val="009778E3"/>
    <w:rsid w:val="00980608"/>
    <w:rsid w:val="00997C07"/>
    <w:rsid w:val="009D6682"/>
    <w:rsid w:val="00A473BA"/>
    <w:rsid w:val="00A544D7"/>
    <w:rsid w:val="00A85981"/>
    <w:rsid w:val="00AA1B35"/>
    <w:rsid w:val="00AB09F4"/>
    <w:rsid w:val="00AB4140"/>
    <w:rsid w:val="00AC6331"/>
    <w:rsid w:val="00AE1D7E"/>
    <w:rsid w:val="00AE6840"/>
    <w:rsid w:val="00B07DFA"/>
    <w:rsid w:val="00B620B8"/>
    <w:rsid w:val="00B73617"/>
    <w:rsid w:val="00B76AB4"/>
    <w:rsid w:val="00BB4232"/>
    <w:rsid w:val="00BC0098"/>
    <w:rsid w:val="00BC2C74"/>
    <w:rsid w:val="00BC3646"/>
    <w:rsid w:val="00BC5BAF"/>
    <w:rsid w:val="00BD01CA"/>
    <w:rsid w:val="00BD5AA6"/>
    <w:rsid w:val="00BE0A08"/>
    <w:rsid w:val="00BE17D9"/>
    <w:rsid w:val="00BE7772"/>
    <w:rsid w:val="00C03B7F"/>
    <w:rsid w:val="00C55CF7"/>
    <w:rsid w:val="00C800B3"/>
    <w:rsid w:val="00C84558"/>
    <w:rsid w:val="00CA468D"/>
    <w:rsid w:val="00CA6EF1"/>
    <w:rsid w:val="00CC155E"/>
    <w:rsid w:val="00CC195D"/>
    <w:rsid w:val="00D0034C"/>
    <w:rsid w:val="00D4095A"/>
    <w:rsid w:val="00D425A8"/>
    <w:rsid w:val="00D43147"/>
    <w:rsid w:val="00D60CE6"/>
    <w:rsid w:val="00D65F38"/>
    <w:rsid w:val="00D830D6"/>
    <w:rsid w:val="00DA00CC"/>
    <w:rsid w:val="00DB67A8"/>
    <w:rsid w:val="00DC7266"/>
    <w:rsid w:val="00DE30D6"/>
    <w:rsid w:val="00DE7834"/>
    <w:rsid w:val="00E271D7"/>
    <w:rsid w:val="00E31489"/>
    <w:rsid w:val="00E6467D"/>
    <w:rsid w:val="00E66C85"/>
    <w:rsid w:val="00E67A7B"/>
    <w:rsid w:val="00E81485"/>
    <w:rsid w:val="00EA47D5"/>
    <w:rsid w:val="00ED3298"/>
    <w:rsid w:val="00EE1243"/>
    <w:rsid w:val="00EE4FA1"/>
    <w:rsid w:val="00EF584D"/>
    <w:rsid w:val="00F03F35"/>
    <w:rsid w:val="00F06EBE"/>
    <w:rsid w:val="00F52687"/>
    <w:rsid w:val="00F8674E"/>
    <w:rsid w:val="00FB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B2FB5"/>
  <w15:chartTrackingRefBased/>
  <w15:docId w15:val="{A7F6FCD4-649E-414D-BCD2-0BEFD5D0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A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B17"/>
  </w:style>
  <w:style w:type="paragraph" w:styleId="Stopka">
    <w:name w:val="footer"/>
    <w:basedOn w:val="Normalny"/>
    <w:link w:val="StopkaZnak"/>
    <w:uiPriority w:val="99"/>
    <w:unhideWhenUsed/>
    <w:rsid w:val="005E3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B17"/>
  </w:style>
  <w:style w:type="character" w:styleId="Hipercze">
    <w:name w:val="Hyperlink"/>
    <w:basedOn w:val="Domylnaczcionkaakapitu"/>
    <w:uiPriority w:val="99"/>
    <w:unhideWhenUsed/>
    <w:rsid w:val="005E3B1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3B1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9D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3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01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uron-wydobycie.pl/polityka-prywat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Raczek Łucja</cp:lastModifiedBy>
  <cp:revision>50</cp:revision>
  <cp:lastPrinted>2022-05-23T06:11:00Z</cp:lastPrinted>
  <dcterms:created xsi:type="dcterms:W3CDTF">2022-05-18T05:07:00Z</dcterms:created>
  <dcterms:modified xsi:type="dcterms:W3CDTF">2022-06-29T08:46:00Z</dcterms:modified>
</cp:coreProperties>
</file>