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20223D18" w14:textId="17A19918" w:rsidR="00A151EC" w:rsidRPr="00CE3AF4" w:rsidRDefault="00A151EC" w:rsidP="00A151EC">
      <w:pPr>
        <w:pStyle w:val="Tekstpodstawowy"/>
        <w:pBdr>
          <w:bottom w:val="single" w:sz="4" w:space="1" w:color="auto"/>
        </w:pBdr>
        <w:jc w:val="center"/>
        <w:rPr>
          <w:rFonts w:asciiTheme="minorHAnsi" w:hAnsiTheme="minorHAnsi" w:cstheme="minorHAnsi"/>
          <w:b/>
        </w:rPr>
      </w:pPr>
      <w:r w:rsidRPr="00EA4CB3">
        <w:rPr>
          <w:rFonts w:asciiTheme="minorHAnsi" w:hAnsiTheme="minorHAnsi" w:cstheme="minorHAnsi"/>
          <w:b/>
        </w:rPr>
        <w:t>Dostawa</w:t>
      </w:r>
      <w:r>
        <w:rPr>
          <w:rFonts w:asciiTheme="minorHAnsi" w:hAnsiTheme="minorHAnsi" w:cstheme="minorHAnsi"/>
          <w:b/>
        </w:rPr>
        <w:t xml:space="preserve"> </w:t>
      </w:r>
      <w:r w:rsidR="0074408D">
        <w:rPr>
          <w:rFonts w:asciiTheme="minorHAnsi" w:hAnsiTheme="minorHAnsi" w:cstheme="minorHAnsi"/>
          <w:b/>
        </w:rPr>
        <w:t>tulei do kół linowych</w:t>
      </w:r>
      <w:r w:rsidR="00F05DB4">
        <w:rPr>
          <w:rFonts w:asciiTheme="minorHAnsi" w:hAnsiTheme="minorHAnsi" w:cstheme="minorHAnsi"/>
          <w:b/>
        </w:rPr>
        <w:t xml:space="preserve"> i napędowych urządzeń </w:t>
      </w:r>
      <w:r w:rsidR="00CE6C31">
        <w:rPr>
          <w:rFonts w:asciiTheme="minorHAnsi" w:hAnsiTheme="minorHAnsi" w:cstheme="minorHAnsi"/>
          <w:b/>
        </w:rPr>
        <w:t xml:space="preserve">przeznaczonych </w:t>
      </w:r>
      <w:r w:rsidR="000163CB">
        <w:rPr>
          <w:rFonts w:asciiTheme="minorHAnsi" w:hAnsiTheme="minorHAnsi" w:cstheme="minorHAnsi"/>
          <w:b/>
        </w:rPr>
        <w:t>do przetaczania wagonów dla</w:t>
      </w:r>
      <w:r w:rsidR="009849F3">
        <w:rPr>
          <w:rFonts w:asciiTheme="minorHAnsi" w:hAnsiTheme="minorHAnsi" w:cstheme="minorHAnsi"/>
          <w:b/>
        </w:rPr>
        <w:t>Południowego Koncernu Węglowego</w:t>
      </w:r>
      <w:r w:rsidRPr="00EA4CB3">
        <w:rPr>
          <w:rFonts w:asciiTheme="minorHAnsi" w:hAnsiTheme="minorHAnsi" w:cstheme="minorHAnsi"/>
          <w:b/>
        </w:rPr>
        <w:t xml:space="preserve"> S.A. - ZG </w:t>
      </w:r>
      <w:r w:rsidR="003A5755">
        <w:rPr>
          <w:rFonts w:asciiTheme="minorHAnsi" w:hAnsiTheme="minorHAnsi" w:cstheme="minorHAnsi"/>
          <w:b/>
        </w:rPr>
        <w:t>Janina</w:t>
      </w:r>
    </w:p>
    <w:p w14:paraId="61A88006" w14:textId="65B26F31" w:rsidR="00A151EC" w:rsidRDefault="00A151EC" w:rsidP="00A151EC">
      <w:pPr>
        <w:pStyle w:val="Tekstpodstawowy"/>
        <w:rPr>
          <w:rFonts w:asciiTheme="minorHAnsi" w:hAnsiTheme="minorHAnsi" w:cstheme="minorHAnsi"/>
          <w:b/>
        </w:rPr>
      </w:pPr>
    </w:p>
    <w:p w14:paraId="06DC7AC5" w14:textId="1617B394" w:rsidR="00D811A7" w:rsidRDefault="005D78BD" w:rsidP="00A151EC">
      <w:pPr>
        <w:pStyle w:val="Tekstpodstawowy"/>
        <w:rPr>
          <w:rFonts w:asciiTheme="minorHAnsi" w:hAnsiTheme="minorHAnsi" w:cstheme="minorHAnsi"/>
          <w:b/>
        </w:rPr>
      </w:pPr>
      <w:r>
        <w:rPr>
          <w:rFonts w:asciiTheme="minorHAnsi" w:hAnsiTheme="minorHAnsi" w:cstheme="minorHAnsi"/>
          <w:b/>
        </w:rPr>
        <w:t>Szczegółowy opis przedmiotu zamówienia:</w:t>
      </w:r>
    </w:p>
    <w:p w14:paraId="0E55974E" w14:textId="77777777" w:rsidR="001B235A" w:rsidRDefault="001B235A" w:rsidP="00A151EC">
      <w:pPr>
        <w:pStyle w:val="Tekstpodstawowy"/>
        <w:rPr>
          <w:rFonts w:asciiTheme="minorHAnsi" w:hAnsiTheme="minorHAnsi" w:cstheme="minorHAnsi"/>
          <w:b/>
        </w:rPr>
      </w:pPr>
    </w:p>
    <w:p w14:paraId="3F115652" w14:textId="77777777" w:rsidR="001B235A" w:rsidRPr="00C12282" w:rsidRDefault="001B235A" w:rsidP="001B235A">
      <w:pPr>
        <w:pStyle w:val="Akapitzlist"/>
        <w:adjustRightInd w:val="0"/>
        <w:spacing w:line="360" w:lineRule="auto"/>
        <w:rPr>
          <w:rFonts w:ascii="Times New Roman" w:hAnsi="Times New Roman"/>
        </w:rPr>
      </w:pPr>
      <w:r w:rsidRPr="00C12282">
        <w:rPr>
          <w:rFonts w:ascii="Times New Roman" w:hAnsi="Times New Roman"/>
          <w:color w:val="000000"/>
        </w:rPr>
        <w:t xml:space="preserve">Dostawa </w:t>
      </w:r>
      <w:r w:rsidRPr="00C12282">
        <w:rPr>
          <w:rStyle w:val="Styl3"/>
          <w:rFonts w:ascii="Times New Roman" w:hAnsi="Times New Roman"/>
        </w:rPr>
        <w:t>tulei do kół linowych i napędowych urządzeń przeznaczonych do przetaczania wagonów</w:t>
      </w:r>
      <w:r w:rsidRPr="00C12282">
        <w:rPr>
          <w:rFonts w:ascii="Times New Roman" w:hAnsi="Times New Roman"/>
        </w:rPr>
        <w:t>:</w:t>
      </w:r>
    </w:p>
    <w:p w14:paraId="17294BD4" w14:textId="77777777" w:rsidR="001B235A" w:rsidRPr="00C12282" w:rsidRDefault="001B235A" w:rsidP="001B235A">
      <w:pPr>
        <w:pStyle w:val="Akapitzlist"/>
        <w:numPr>
          <w:ilvl w:val="2"/>
          <w:numId w:val="7"/>
        </w:numPr>
        <w:adjustRightInd w:val="0"/>
        <w:spacing w:line="360" w:lineRule="auto"/>
        <w:rPr>
          <w:rFonts w:ascii="Times New Roman" w:hAnsi="Times New Roman"/>
        </w:rPr>
      </w:pPr>
      <w:r w:rsidRPr="00C12282">
        <w:rPr>
          <w:rFonts w:ascii="Times New Roman" w:hAnsi="Times New Roman"/>
        </w:rPr>
        <w:t>Tuleja z brązu B555 fi 115x85x165 mm  -   24 szt.</w:t>
      </w:r>
    </w:p>
    <w:p w14:paraId="264EB4CC" w14:textId="77777777" w:rsidR="001B235A" w:rsidRPr="00C12282" w:rsidRDefault="001B235A" w:rsidP="001B235A">
      <w:pPr>
        <w:pStyle w:val="Akapitzlist"/>
        <w:numPr>
          <w:ilvl w:val="2"/>
          <w:numId w:val="7"/>
        </w:numPr>
        <w:adjustRightInd w:val="0"/>
        <w:spacing w:line="360" w:lineRule="auto"/>
        <w:rPr>
          <w:rFonts w:ascii="Times New Roman" w:hAnsi="Times New Roman"/>
        </w:rPr>
      </w:pPr>
      <w:r w:rsidRPr="00C12282">
        <w:rPr>
          <w:rFonts w:ascii="Times New Roman" w:hAnsi="Times New Roman"/>
        </w:rPr>
        <w:t>Tuleja z brązu B555 fi 150x110x180 mm  -  6 szt.</w:t>
      </w:r>
    </w:p>
    <w:p w14:paraId="347AB31A" w14:textId="77777777" w:rsidR="001B235A" w:rsidRDefault="001B235A" w:rsidP="001B235A">
      <w:pPr>
        <w:pStyle w:val="Akapitzlist"/>
        <w:numPr>
          <w:ilvl w:val="2"/>
          <w:numId w:val="7"/>
        </w:numPr>
        <w:adjustRightInd w:val="0"/>
        <w:spacing w:line="360" w:lineRule="auto"/>
        <w:rPr>
          <w:rFonts w:ascii="Times New Roman" w:hAnsi="Times New Roman"/>
        </w:rPr>
      </w:pPr>
      <w:r w:rsidRPr="00C12282">
        <w:rPr>
          <w:rFonts w:ascii="Times New Roman" w:hAnsi="Times New Roman"/>
        </w:rPr>
        <w:t xml:space="preserve">Tuleja z brązu B555 fi 200x120x300 mm –  4 szt. </w:t>
      </w:r>
    </w:p>
    <w:p w14:paraId="3D805957" w14:textId="77777777" w:rsidR="00BF469F" w:rsidRDefault="00BF469F" w:rsidP="001B235A">
      <w:pPr>
        <w:adjustRightInd w:val="0"/>
        <w:spacing w:line="360" w:lineRule="auto"/>
        <w:rPr>
          <w:rFonts w:ascii="Times New Roman" w:hAnsi="Times New Roman"/>
        </w:rPr>
      </w:pPr>
    </w:p>
    <w:p w14:paraId="2E3A2E49" w14:textId="65B074DE" w:rsidR="001B235A" w:rsidRPr="001B235A" w:rsidRDefault="001B235A" w:rsidP="001B235A">
      <w:pPr>
        <w:adjustRightInd w:val="0"/>
        <w:spacing w:line="360" w:lineRule="auto"/>
        <w:rPr>
          <w:rFonts w:ascii="Times New Roman" w:hAnsi="Times New Roman"/>
        </w:rPr>
      </w:pPr>
      <w:r>
        <w:rPr>
          <w:rFonts w:ascii="Times New Roman" w:hAnsi="Times New Roman"/>
        </w:rPr>
        <w:t xml:space="preserve">Osoba do kontaktu: </w:t>
      </w:r>
      <w:r w:rsidR="00BF469F">
        <w:rPr>
          <w:rFonts w:ascii="Times New Roman" w:hAnsi="Times New Roman"/>
        </w:rPr>
        <w:t>0</w:t>
      </w:r>
      <w:r w:rsidR="00BF469F" w:rsidRPr="00C12282">
        <w:rPr>
          <w:rFonts w:ascii="Times New Roman" w:hAnsi="Times New Roman"/>
          <w:lang w:eastAsia="x-none"/>
        </w:rPr>
        <w:t>32</w:t>
      </w:r>
      <w:r w:rsidR="00BF469F">
        <w:rPr>
          <w:rFonts w:ascii="Times New Roman" w:hAnsi="Times New Roman"/>
          <w:lang w:eastAsia="x-none"/>
        </w:rPr>
        <w:t> </w:t>
      </w:r>
      <w:r w:rsidR="00BF469F" w:rsidRPr="00C12282">
        <w:rPr>
          <w:rFonts w:ascii="Times New Roman" w:hAnsi="Times New Roman"/>
          <w:lang w:eastAsia="x-none"/>
        </w:rPr>
        <w:t>627</w:t>
      </w:r>
      <w:r w:rsidR="00BF469F">
        <w:rPr>
          <w:rFonts w:ascii="Times New Roman" w:hAnsi="Times New Roman"/>
          <w:lang w:eastAsia="x-none"/>
        </w:rPr>
        <w:t>-</w:t>
      </w:r>
      <w:r w:rsidR="00BF469F" w:rsidRPr="00C12282">
        <w:rPr>
          <w:rFonts w:ascii="Times New Roman" w:hAnsi="Times New Roman"/>
          <w:lang w:eastAsia="x-none"/>
        </w:rPr>
        <w:t>05</w:t>
      </w:r>
      <w:r w:rsidR="00BF469F">
        <w:rPr>
          <w:rFonts w:ascii="Times New Roman" w:hAnsi="Times New Roman"/>
          <w:lang w:eastAsia="x-none"/>
        </w:rPr>
        <w:t>-</w:t>
      </w:r>
      <w:r w:rsidR="00BF469F" w:rsidRPr="00C12282">
        <w:rPr>
          <w:rFonts w:ascii="Times New Roman" w:hAnsi="Times New Roman"/>
          <w:lang w:eastAsia="x-none"/>
        </w:rPr>
        <w:t>83</w:t>
      </w:r>
    </w:p>
    <w:p w14:paraId="0A7CD218" w14:textId="77777777" w:rsidR="005D78BD" w:rsidRPr="00CE3AF4" w:rsidRDefault="005D78BD"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51374EB"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16F0FB7C" w:rsidR="00A151EC" w:rsidRDefault="00C10319"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Pr>
          <w:rFonts w:asciiTheme="minorHAnsi" w:hAnsiTheme="minorHAnsi" w:cstheme="minorHAnsi"/>
          <w:sz w:val="20"/>
          <w:szCs w:val="20"/>
        </w:rPr>
        <w:t>Gwarancja materiału 12</w:t>
      </w:r>
      <w:r w:rsidR="00A151EC" w:rsidRPr="00EA4CB3">
        <w:rPr>
          <w:rFonts w:asciiTheme="minorHAnsi" w:hAnsiTheme="minorHAnsi" w:cstheme="minorHAnsi"/>
          <w:sz w:val="20"/>
          <w:szCs w:val="20"/>
        </w:rPr>
        <w:t xml:space="preserve"> miesięcy</w:t>
      </w:r>
      <w:r w:rsidR="00A151EC">
        <w:rPr>
          <w:rFonts w:asciiTheme="minorHAnsi" w:hAnsiTheme="minorHAnsi" w:cstheme="minorHAnsi"/>
          <w:sz w:val="20"/>
          <w:szCs w:val="20"/>
        </w:rPr>
        <w:t>.</w:t>
      </w:r>
    </w:p>
    <w:p w14:paraId="6865EF50" w14:textId="5FBA9FD2" w:rsidR="00A151EC" w:rsidRPr="00EA4CB3" w:rsidRDefault="00F103D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t>
      </w:r>
      <w:r w:rsidR="00BF469F">
        <w:rPr>
          <w:rFonts w:asciiTheme="minorHAnsi" w:hAnsiTheme="minorHAnsi" w:cstheme="minorHAnsi"/>
          <w:sz w:val="20"/>
          <w:szCs w:val="20"/>
        </w:rPr>
        <w:t>do</w:t>
      </w:r>
      <w:r w:rsidR="001B11AA">
        <w:rPr>
          <w:rFonts w:asciiTheme="minorHAnsi" w:hAnsiTheme="minorHAnsi" w:cstheme="minorHAnsi"/>
          <w:sz w:val="20"/>
          <w:szCs w:val="20"/>
        </w:rPr>
        <w:t xml:space="preserve"> 30.04.2024r. </w:t>
      </w:r>
      <w:r w:rsidR="00C10319">
        <w:rPr>
          <w:rFonts w:asciiTheme="minorHAnsi" w:hAnsiTheme="minorHAnsi" w:cstheme="minorHAnsi"/>
          <w:sz w:val="20"/>
          <w:szCs w:val="20"/>
        </w:rPr>
        <w:t xml:space="preserve"> </w:t>
      </w:r>
      <w:r w:rsidR="00A151EC" w:rsidRPr="00EA4CB3">
        <w:rPr>
          <w:rFonts w:asciiTheme="minorHAnsi" w:hAnsiTheme="minorHAnsi" w:cstheme="minorHAnsi"/>
          <w:sz w:val="20"/>
          <w:szCs w:val="20"/>
        </w:rPr>
        <w:t>od daty otrzymania zamówienia.</w:t>
      </w:r>
    </w:p>
    <w:p w14:paraId="299ABA03" w14:textId="6F6FAE33"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00F103D5">
        <w:rPr>
          <w:rFonts w:asciiTheme="minorHAnsi" w:hAnsiTheme="minorHAnsi" w:cstheme="minorHAnsi"/>
          <w:sz w:val="20"/>
          <w:szCs w:val="20"/>
        </w:rPr>
        <w:t>WZ, Deklaracji zgodności, karty gwarancyjnej</w:t>
      </w:r>
      <w:r w:rsidRPr="00EA4CB3">
        <w:rPr>
          <w:rFonts w:asciiTheme="minorHAnsi" w:hAnsiTheme="minorHAnsi" w:cstheme="minorHAnsi"/>
          <w:sz w:val="20"/>
          <w:szCs w:val="20"/>
        </w:rPr>
        <w:t xml:space="preserve">, świadectwa </w:t>
      </w:r>
      <w:r w:rsidR="00F103D5">
        <w:rPr>
          <w:rFonts w:asciiTheme="minorHAnsi" w:hAnsiTheme="minorHAnsi" w:cstheme="minorHAnsi"/>
          <w:sz w:val="20"/>
          <w:szCs w:val="20"/>
        </w:rPr>
        <w:t>sprawdzenia producenta</w:t>
      </w:r>
      <w:r w:rsidR="001B11AA">
        <w:rPr>
          <w:rFonts w:asciiTheme="minorHAnsi" w:hAnsiTheme="minorHAnsi" w:cstheme="minorHAnsi"/>
          <w:sz w:val="20"/>
          <w:szCs w:val="20"/>
        </w:rPr>
        <w:t>, instrukcji obsługi.</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lastRenderedPageBreak/>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A6042D">
          <w:headerReference w:type="default" r:id="rId10"/>
          <w:footerReference w:type="default" r:id="rId11"/>
          <w:headerReference w:type="first" r:id="rId12"/>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A6042D">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3"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A6042D">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EF8DE" w14:textId="77777777" w:rsidR="00A6042D" w:rsidRDefault="00A6042D" w:rsidP="008E14BC">
      <w:r>
        <w:separator/>
      </w:r>
    </w:p>
  </w:endnote>
  <w:endnote w:type="continuationSeparator" w:id="0">
    <w:p w14:paraId="1F80E8C2" w14:textId="77777777" w:rsidR="00A6042D" w:rsidRDefault="00A6042D" w:rsidP="008E14BC">
      <w:r>
        <w:continuationSeparator/>
      </w:r>
    </w:p>
  </w:endnote>
  <w:endnote w:type="continuationNotice" w:id="1">
    <w:p w14:paraId="2C6A97B1" w14:textId="77777777" w:rsidR="00A6042D" w:rsidRDefault="00A60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58243"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58242"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58241"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58240"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07482" w14:textId="77777777" w:rsidR="00A6042D" w:rsidRDefault="00A6042D" w:rsidP="008E14BC">
      <w:r>
        <w:separator/>
      </w:r>
    </w:p>
  </w:footnote>
  <w:footnote w:type="continuationSeparator" w:id="0">
    <w:p w14:paraId="4D52E2FF" w14:textId="77777777" w:rsidR="00A6042D" w:rsidRDefault="00A6042D" w:rsidP="008E14BC">
      <w:r>
        <w:continuationSeparator/>
      </w:r>
    </w:p>
  </w:footnote>
  <w:footnote w:type="continuationNotice" w:id="1">
    <w:p w14:paraId="175DCBF5" w14:textId="77777777" w:rsidR="00A6042D" w:rsidRDefault="00A604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58245"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58244"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255E59"/>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1762986404">
    <w:abstractNumId w:val="4"/>
  </w:num>
  <w:num w:numId="2" w16cid:durableId="1968076812">
    <w:abstractNumId w:val="1"/>
  </w:num>
  <w:num w:numId="3" w16cid:durableId="1456827134">
    <w:abstractNumId w:val="0"/>
  </w:num>
  <w:num w:numId="4" w16cid:durableId="1525441099">
    <w:abstractNumId w:val="3"/>
  </w:num>
  <w:num w:numId="5" w16cid:durableId="359403792">
    <w:abstractNumId w:val="6"/>
  </w:num>
  <w:num w:numId="6" w16cid:durableId="640505121">
    <w:abstractNumId w:val="5"/>
  </w:num>
  <w:num w:numId="7" w16cid:durableId="2103990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163CB"/>
    <w:rsid w:val="00071C32"/>
    <w:rsid w:val="000C5544"/>
    <w:rsid w:val="001630EF"/>
    <w:rsid w:val="001B11AA"/>
    <w:rsid w:val="001B235A"/>
    <w:rsid w:val="001F02AC"/>
    <w:rsid w:val="00271B4B"/>
    <w:rsid w:val="00281B30"/>
    <w:rsid w:val="002C7DE4"/>
    <w:rsid w:val="0038112F"/>
    <w:rsid w:val="003A5755"/>
    <w:rsid w:val="004047AB"/>
    <w:rsid w:val="004157D6"/>
    <w:rsid w:val="004173CB"/>
    <w:rsid w:val="00422BAB"/>
    <w:rsid w:val="00430BE4"/>
    <w:rsid w:val="004506C4"/>
    <w:rsid w:val="00492641"/>
    <w:rsid w:val="005D78BD"/>
    <w:rsid w:val="005D7B89"/>
    <w:rsid w:val="00650828"/>
    <w:rsid w:val="006613C9"/>
    <w:rsid w:val="0074408D"/>
    <w:rsid w:val="007F7522"/>
    <w:rsid w:val="00874413"/>
    <w:rsid w:val="008E14BC"/>
    <w:rsid w:val="00933544"/>
    <w:rsid w:val="009849F3"/>
    <w:rsid w:val="00985671"/>
    <w:rsid w:val="00993A5B"/>
    <w:rsid w:val="00A151EC"/>
    <w:rsid w:val="00A6042D"/>
    <w:rsid w:val="00AC3267"/>
    <w:rsid w:val="00B142E2"/>
    <w:rsid w:val="00B60F44"/>
    <w:rsid w:val="00B64397"/>
    <w:rsid w:val="00BC3F44"/>
    <w:rsid w:val="00BE78DC"/>
    <w:rsid w:val="00BF469F"/>
    <w:rsid w:val="00C10319"/>
    <w:rsid w:val="00C13110"/>
    <w:rsid w:val="00CE6C31"/>
    <w:rsid w:val="00D0286F"/>
    <w:rsid w:val="00D811A7"/>
    <w:rsid w:val="00D83E9F"/>
    <w:rsid w:val="00DC52FF"/>
    <w:rsid w:val="00F05DB4"/>
    <w:rsid w:val="00F103D5"/>
    <w:rsid w:val="00F66663"/>
    <w:rsid w:val="00F6686F"/>
    <w:rsid w:val="00F93B2B"/>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aliases w:val="Normal,Akapit z listą3,Akapit z listą31"/>
    <w:basedOn w:val="Normalny"/>
    <w:link w:val="AkapitzlistZnak"/>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Styl3">
    <w:name w:val="Styl3"/>
    <w:uiPriority w:val="1"/>
    <w:rsid w:val="001B235A"/>
    <w:rPr>
      <w:rFonts w:ascii="Arial" w:hAnsi="Arial"/>
      <w:color w:val="000000"/>
      <w:sz w:val="20"/>
    </w:rPr>
  </w:style>
  <w:style w:type="character" w:customStyle="1" w:styleId="AkapitzlistZnak">
    <w:name w:val="Akapit z listą Znak"/>
    <w:aliases w:val="Normal Znak,Akapit z listą3 Znak,Akapit z listą31 Znak"/>
    <w:link w:val="Akapitzlist"/>
    <w:uiPriority w:val="34"/>
    <w:rsid w:val="001B235A"/>
    <w:rPr>
      <w:rFonts w:ascii="Arial" w:eastAsia="Arial" w:hAnsi="Arial" w:cs="Arial"/>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604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kw-sa.pl/polityka-prywatnosci"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2.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1171</Words>
  <Characters>7028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Dębiec Marlena (PKW)</cp:lastModifiedBy>
  <cp:revision>35</cp:revision>
  <cp:lastPrinted>2024-01-03T06:13:00Z</cp:lastPrinted>
  <dcterms:created xsi:type="dcterms:W3CDTF">2023-12-29T08:09:00Z</dcterms:created>
  <dcterms:modified xsi:type="dcterms:W3CDTF">2024-03-14T09:40:00Z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ies>
</file>