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81ABF" w14:textId="77777777" w:rsidR="00BA6F69" w:rsidRPr="00FC2127" w:rsidRDefault="00BA6F69" w:rsidP="002C25E6">
      <w:pPr>
        <w:spacing w:after="0" w:line="240" w:lineRule="auto"/>
        <w:jc w:val="center"/>
        <w:rPr>
          <w:rFonts w:ascii="Arial" w:hAnsi="Arial" w:cs="Arial"/>
          <w:b/>
        </w:rPr>
      </w:pPr>
    </w:p>
    <w:p w14:paraId="2D46F5A4" w14:textId="77777777" w:rsidR="00BA6F69" w:rsidRPr="00FC2127" w:rsidRDefault="00BA6F69" w:rsidP="002C25E6">
      <w:pPr>
        <w:spacing w:after="0" w:line="240" w:lineRule="auto"/>
        <w:jc w:val="center"/>
        <w:rPr>
          <w:rFonts w:ascii="Arial" w:hAnsi="Arial" w:cs="Arial"/>
          <w:b/>
        </w:rPr>
      </w:pPr>
    </w:p>
    <w:p w14:paraId="164A6FEB" w14:textId="6DCEBD93" w:rsidR="008816AF" w:rsidRPr="00FC2127" w:rsidRDefault="00DB0F95" w:rsidP="007B293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</w:t>
      </w:r>
      <w:r w:rsidR="00E51D3D" w:rsidRPr="00FC2127">
        <w:rPr>
          <w:rFonts w:ascii="Arial" w:hAnsi="Arial" w:cs="Arial"/>
          <w:b/>
        </w:rPr>
        <w:t xml:space="preserve"> przedmiotu zamówienia</w:t>
      </w:r>
    </w:p>
    <w:p w14:paraId="40B44DF5" w14:textId="77777777" w:rsidR="007B2936" w:rsidRPr="00FC2127" w:rsidRDefault="007B2936" w:rsidP="007B2936">
      <w:pPr>
        <w:spacing w:after="0" w:line="240" w:lineRule="auto"/>
        <w:jc w:val="center"/>
        <w:rPr>
          <w:rFonts w:ascii="Arial" w:hAnsi="Arial" w:cs="Arial"/>
          <w:b/>
        </w:rPr>
      </w:pPr>
    </w:p>
    <w:p w14:paraId="601F83B2" w14:textId="77777777" w:rsidR="002C25E6" w:rsidRPr="00FC2127" w:rsidRDefault="002C25E6" w:rsidP="007B2936">
      <w:pPr>
        <w:spacing w:after="0" w:line="240" w:lineRule="auto"/>
        <w:rPr>
          <w:rFonts w:ascii="Arial" w:hAnsi="Arial" w:cs="Arial"/>
          <w:b/>
        </w:rPr>
      </w:pPr>
    </w:p>
    <w:p w14:paraId="340C3FBF" w14:textId="77777777" w:rsidR="00BA6F69" w:rsidRPr="00EB5EF2" w:rsidRDefault="00BA6F69" w:rsidP="004910C4">
      <w:pPr>
        <w:pStyle w:val="Akapitzlist"/>
        <w:widowControl w:val="0"/>
        <w:numPr>
          <w:ilvl w:val="0"/>
          <w:numId w:val="1"/>
        </w:numPr>
        <w:spacing w:after="60" w:line="240" w:lineRule="auto"/>
        <w:ind w:left="0" w:firstLine="0"/>
        <w:contextualSpacing w:val="0"/>
        <w:rPr>
          <w:rFonts w:ascii="Arial" w:hAnsi="Arial" w:cs="Arial"/>
          <w:b/>
          <w:sz w:val="20"/>
          <w:szCs w:val="20"/>
        </w:rPr>
      </w:pPr>
      <w:r w:rsidRPr="00EB5EF2">
        <w:rPr>
          <w:rFonts w:ascii="Arial" w:hAnsi="Arial" w:cs="Arial"/>
          <w:b/>
          <w:sz w:val="20"/>
          <w:szCs w:val="20"/>
        </w:rPr>
        <w:t>Opis przedmiotu zamówienia:</w:t>
      </w:r>
    </w:p>
    <w:p w14:paraId="111A441F" w14:textId="457F8FED" w:rsidR="00FB60B8" w:rsidRPr="00EB5EF2" w:rsidRDefault="002A31A1" w:rsidP="000D385C">
      <w:pPr>
        <w:tabs>
          <w:tab w:val="left" w:pos="3402"/>
          <w:tab w:val="left" w:pos="3686"/>
        </w:tabs>
        <w:spacing w:after="12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B5EF2">
        <w:rPr>
          <w:rFonts w:ascii="Arial" w:hAnsi="Arial" w:cs="Arial"/>
          <w:sz w:val="20"/>
          <w:szCs w:val="20"/>
        </w:rPr>
        <w:t xml:space="preserve">Przedmiotem </w:t>
      </w:r>
      <w:r w:rsidR="00BE46CC" w:rsidRPr="00EB5EF2">
        <w:rPr>
          <w:rFonts w:ascii="Arial" w:hAnsi="Arial" w:cs="Arial"/>
          <w:sz w:val="20"/>
          <w:szCs w:val="20"/>
        </w:rPr>
        <w:t>zamówienia</w:t>
      </w:r>
      <w:r w:rsidR="004A5682" w:rsidRPr="00EB5EF2">
        <w:rPr>
          <w:rFonts w:ascii="Arial" w:hAnsi="Arial" w:cs="Arial"/>
          <w:sz w:val="20"/>
          <w:szCs w:val="20"/>
        </w:rPr>
        <w:t xml:space="preserve"> jest dostawa </w:t>
      </w:r>
      <w:r w:rsidR="006C50AD" w:rsidRPr="00EB5EF2">
        <w:rPr>
          <w:rFonts w:ascii="Arial" w:hAnsi="Arial" w:cs="Arial"/>
          <w:sz w:val="20"/>
          <w:szCs w:val="20"/>
        </w:rPr>
        <w:t>fabrycznie nowych</w:t>
      </w:r>
      <w:r w:rsidR="007D5E4A" w:rsidRPr="00EB5EF2">
        <w:rPr>
          <w:rFonts w:ascii="Arial" w:hAnsi="Arial" w:cs="Arial"/>
          <w:sz w:val="20"/>
          <w:szCs w:val="20"/>
        </w:rPr>
        <w:t>, nieregenerowanych</w:t>
      </w:r>
      <w:r w:rsidR="000D385C" w:rsidRPr="00EB5EF2">
        <w:rPr>
          <w:rFonts w:ascii="Arial" w:hAnsi="Arial" w:cs="Arial"/>
          <w:sz w:val="20"/>
          <w:szCs w:val="20"/>
        </w:rPr>
        <w:t xml:space="preserve">, </w:t>
      </w:r>
      <w:r w:rsidR="009A5405" w:rsidRPr="00EB5EF2">
        <w:rPr>
          <w:rFonts w:ascii="Arial" w:hAnsi="Arial" w:cs="Arial"/>
          <w:sz w:val="20"/>
          <w:szCs w:val="20"/>
        </w:rPr>
        <w:t xml:space="preserve">pomp typoszeregu  BN </w:t>
      </w:r>
      <w:r w:rsidR="00A36E53" w:rsidRPr="00EB5EF2">
        <w:rPr>
          <w:rFonts w:ascii="Arial" w:hAnsi="Arial" w:cs="Arial"/>
          <w:sz w:val="20"/>
          <w:szCs w:val="20"/>
        </w:rPr>
        <w:t xml:space="preserve">produkcji firmy SEEPEX, </w:t>
      </w:r>
      <w:r w:rsidR="000D385C" w:rsidRPr="00EB5EF2">
        <w:rPr>
          <w:rFonts w:ascii="Arial" w:hAnsi="Arial" w:cs="Arial"/>
          <w:sz w:val="20"/>
          <w:szCs w:val="20"/>
        </w:rPr>
        <w:t xml:space="preserve">dla TAURON Wytwarzanie S.A. – Oddział Elektrownia </w:t>
      </w:r>
      <w:r w:rsidR="00A36E53" w:rsidRPr="00EB5EF2">
        <w:rPr>
          <w:rFonts w:ascii="Arial" w:hAnsi="Arial" w:cs="Arial"/>
          <w:sz w:val="20"/>
          <w:szCs w:val="20"/>
        </w:rPr>
        <w:t>Nowe Jaworzno w Jaworznie</w:t>
      </w:r>
      <w:r w:rsidR="009A5405" w:rsidRPr="00EB5EF2">
        <w:rPr>
          <w:rFonts w:ascii="Arial" w:hAnsi="Arial" w:cs="Arial"/>
          <w:sz w:val="20"/>
          <w:szCs w:val="20"/>
        </w:rPr>
        <w:t xml:space="preserve"> zgodnie z wyszczególnieniem zawartym w poniższej tabeli:</w:t>
      </w:r>
      <w:r w:rsidRPr="00EB5EF2">
        <w:rPr>
          <w:rFonts w:ascii="Arial" w:hAnsi="Arial" w:cs="Arial"/>
          <w:sz w:val="20"/>
          <w:szCs w:val="20"/>
        </w:rPr>
        <w:t xml:space="preserve"> </w:t>
      </w:r>
    </w:p>
    <w:tbl>
      <w:tblPr>
        <w:tblW w:w="920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5386"/>
        <w:gridCol w:w="709"/>
        <w:gridCol w:w="702"/>
      </w:tblGrid>
      <w:tr w:rsidR="007B34EA" w:rsidRPr="00C2417F" w14:paraId="7539BED0" w14:textId="77777777" w:rsidTr="00007348">
        <w:trPr>
          <w:trHeight w:val="763"/>
        </w:trPr>
        <w:tc>
          <w:tcPr>
            <w:tcW w:w="567" w:type="dxa"/>
            <w:shd w:val="clear" w:color="auto" w:fill="D9E2F3" w:themeFill="accent5" w:themeFillTint="33"/>
            <w:vAlign w:val="center"/>
          </w:tcPr>
          <w:p w14:paraId="7439426C" w14:textId="77679F5A" w:rsidR="007B34EA" w:rsidRPr="00666BE4" w:rsidRDefault="007B34EA" w:rsidP="007B34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43" w:type="dxa"/>
            <w:shd w:val="clear" w:color="auto" w:fill="D9E2F3" w:themeFill="accent5" w:themeFillTint="33"/>
            <w:noWrap/>
            <w:vAlign w:val="center"/>
            <w:hideMark/>
          </w:tcPr>
          <w:p w14:paraId="73E50C2D" w14:textId="3B9F958E" w:rsidR="007B34EA" w:rsidRPr="00666BE4" w:rsidRDefault="007B34EA" w:rsidP="002F2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Nr pozycji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Zamawiającego</w:t>
            </w:r>
          </w:p>
        </w:tc>
        <w:tc>
          <w:tcPr>
            <w:tcW w:w="5386" w:type="dxa"/>
            <w:shd w:val="clear" w:color="auto" w:fill="D9E2F3" w:themeFill="accent5" w:themeFillTint="33"/>
            <w:noWrap/>
            <w:vAlign w:val="center"/>
            <w:hideMark/>
          </w:tcPr>
          <w:p w14:paraId="35111F32" w14:textId="1091802D" w:rsidR="007B34EA" w:rsidRPr="00666BE4" w:rsidRDefault="007B34EA" w:rsidP="002F2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Opis </w:t>
            </w:r>
            <w:r w:rsidRPr="00F3588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52115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roduktu oryginalnego</w:t>
            </w:r>
          </w:p>
        </w:tc>
        <w:tc>
          <w:tcPr>
            <w:tcW w:w="709" w:type="dxa"/>
            <w:shd w:val="clear" w:color="auto" w:fill="D9E2F3" w:themeFill="accent5" w:themeFillTint="33"/>
            <w:noWrap/>
            <w:vAlign w:val="center"/>
            <w:hideMark/>
          </w:tcPr>
          <w:p w14:paraId="6CE69CF3" w14:textId="77777777" w:rsidR="007B34EA" w:rsidRPr="00666BE4" w:rsidRDefault="007B34EA" w:rsidP="002F2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m.</w:t>
            </w:r>
          </w:p>
        </w:tc>
        <w:tc>
          <w:tcPr>
            <w:tcW w:w="702" w:type="dxa"/>
            <w:shd w:val="clear" w:color="auto" w:fill="D9E2F3" w:themeFill="accent5" w:themeFillTint="33"/>
            <w:noWrap/>
            <w:vAlign w:val="center"/>
            <w:hideMark/>
          </w:tcPr>
          <w:p w14:paraId="662003AC" w14:textId="77777777" w:rsidR="007B34EA" w:rsidRPr="00666BE4" w:rsidRDefault="007B34EA" w:rsidP="002F2A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6BE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007348" w:rsidRPr="00C2417F" w14:paraId="6374D12F" w14:textId="77777777" w:rsidTr="00007348">
        <w:trPr>
          <w:trHeight w:val="609"/>
        </w:trPr>
        <w:tc>
          <w:tcPr>
            <w:tcW w:w="567" w:type="dxa"/>
            <w:vAlign w:val="center"/>
          </w:tcPr>
          <w:p w14:paraId="0D272D9C" w14:textId="11BD77FB" w:rsidR="00007348" w:rsidRPr="00FB60B8" w:rsidRDefault="00007348" w:rsidP="0000734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5EC2141" w14:textId="63BD0F22" w:rsidR="00007348" w:rsidRPr="00007348" w:rsidRDefault="004658EB" w:rsidP="0000734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658EB">
              <w:rPr>
                <w:rFonts w:ascii="Arial" w:hAnsi="Arial" w:cs="Arial"/>
                <w:color w:val="000000"/>
                <w:sz w:val="20"/>
                <w:szCs w:val="20"/>
              </w:rPr>
              <w:t>540-610-380-0</w:t>
            </w:r>
          </w:p>
        </w:tc>
        <w:tc>
          <w:tcPr>
            <w:tcW w:w="5386" w:type="dxa"/>
            <w:shd w:val="clear" w:color="auto" w:fill="auto"/>
            <w:noWrap/>
            <w:vAlign w:val="center"/>
            <w:hideMark/>
          </w:tcPr>
          <w:p w14:paraId="3D58DF00" w14:textId="3B57B886" w:rsidR="00007348" w:rsidRPr="00030B10" w:rsidRDefault="004658EB" w:rsidP="004658EB">
            <w:pPr>
              <w:spacing w:before="120" w:after="0" w:line="240" w:lineRule="auto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658EB">
              <w:rPr>
                <w:rFonts w:ascii="Arial" w:hAnsi="Arial" w:cs="Arial"/>
                <w:color w:val="000000"/>
                <w:sz w:val="20"/>
                <w:szCs w:val="20"/>
              </w:rPr>
              <w:t>POMPA ŚRUBOWA SEEPEX TYP BN 17-6L</w:t>
            </w:r>
          </w:p>
          <w:p w14:paraId="7EC4BC3C" w14:textId="58186D1B" w:rsidR="00007348" w:rsidRPr="00007348" w:rsidRDefault="004658EB" w:rsidP="00007348">
            <w:pPr>
              <w:spacing w:before="120"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4658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Kompletna pompa wraz z napędem - z przekładnią i silnikiem.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 wykonaniu identycznym jak</w:t>
            </w:r>
            <w:r w:rsidRPr="004658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pompa o numerze </w:t>
            </w:r>
            <w:r w:rsidRPr="004658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komisyjnym/seryjnym 334363.</w:t>
            </w:r>
            <w:r w:rsidR="00007348" w:rsidRPr="0000734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C76534A" w14:textId="1DB14A0C" w:rsidR="00007348" w:rsidRPr="00007348" w:rsidRDefault="00E5605C" w:rsidP="0000734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14:paraId="426623B6" w14:textId="04C34B02" w:rsidR="00007348" w:rsidRPr="00007348" w:rsidRDefault="00E5605C" w:rsidP="0000734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E62B96" w:rsidRPr="00C2417F" w14:paraId="3100DE1D" w14:textId="77777777" w:rsidTr="00007348">
        <w:trPr>
          <w:trHeight w:val="609"/>
        </w:trPr>
        <w:tc>
          <w:tcPr>
            <w:tcW w:w="567" w:type="dxa"/>
            <w:vAlign w:val="center"/>
          </w:tcPr>
          <w:p w14:paraId="257A3878" w14:textId="16441214" w:rsidR="00E62B96" w:rsidRPr="00FB60B8" w:rsidRDefault="00E62B96" w:rsidP="00E62B9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F267EF2" w14:textId="51CD375A" w:rsidR="00E62B96" w:rsidRPr="00007348" w:rsidRDefault="00E62B96" w:rsidP="00E62B9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E5605C">
              <w:rPr>
                <w:rFonts w:ascii="Arial" w:hAnsi="Arial" w:cs="Arial"/>
                <w:color w:val="000000"/>
                <w:sz w:val="20"/>
                <w:szCs w:val="20"/>
              </w:rPr>
              <w:t>540-610-345-0</w:t>
            </w:r>
          </w:p>
        </w:tc>
        <w:tc>
          <w:tcPr>
            <w:tcW w:w="5386" w:type="dxa"/>
            <w:shd w:val="clear" w:color="auto" w:fill="auto"/>
            <w:noWrap/>
            <w:vAlign w:val="center"/>
          </w:tcPr>
          <w:p w14:paraId="76043ACD" w14:textId="77777777" w:rsidR="00E62B96" w:rsidRDefault="00E62B96" w:rsidP="00E62B96">
            <w:pPr>
              <w:spacing w:before="120"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62B96">
              <w:rPr>
                <w:rFonts w:ascii="Arial" w:hAnsi="Arial" w:cs="Arial"/>
                <w:color w:val="000000"/>
                <w:sz w:val="20"/>
                <w:szCs w:val="20"/>
              </w:rPr>
              <w:t>POMPA ŚRUBOWA SEEPEX TYP BN 10-6L</w:t>
            </w:r>
          </w:p>
          <w:p w14:paraId="12E0F271" w14:textId="19F51A6E" w:rsidR="00E62B96" w:rsidRPr="00007348" w:rsidRDefault="00E62B96" w:rsidP="00E62B96">
            <w:pPr>
              <w:spacing w:before="120" w:after="12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E62B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Kompletna pompa wraz z napędem - z przekładnią i silnikiem.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 wykonaniu identycznym jak</w:t>
            </w:r>
            <w:r w:rsidRPr="004658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pompa o numerze </w:t>
            </w:r>
            <w:r w:rsidRPr="004658E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komisyjnym/seryjnym </w:t>
            </w:r>
            <w:r w:rsidRPr="00E62B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334365.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AC19B70" w14:textId="0D1F6D5C" w:rsidR="00E62B96" w:rsidRPr="00007348" w:rsidRDefault="00E62B96" w:rsidP="00E62B9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2" w:type="dxa"/>
            <w:shd w:val="clear" w:color="auto" w:fill="auto"/>
            <w:noWrap/>
            <w:vAlign w:val="center"/>
          </w:tcPr>
          <w:p w14:paraId="5074EEFA" w14:textId="37110214" w:rsidR="00E62B96" w:rsidRPr="00007348" w:rsidRDefault="00E62B96" w:rsidP="00E62B9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</w:tbl>
    <w:p w14:paraId="40EC03EB" w14:textId="24EC7AD7" w:rsidR="00E66F48" w:rsidRPr="00EB5EF2" w:rsidRDefault="00E66F48" w:rsidP="00E66F48">
      <w:pPr>
        <w:spacing w:before="24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 xml:space="preserve">Zamawiający dopuszcza możliwość zaoferowania </w:t>
      </w:r>
      <w:r w:rsidR="00E62B96" w:rsidRPr="00EB5EF2">
        <w:rPr>
          <w:rFonts w:ascii="Arial" w:hAnsi="Arial" w:cs="Arial"/>
          <w:bCs/>
          <w:sz w:val="20"/>
          <w:szCs w:val="20"/>
        </w:rPr>
        <w:t>produktów równoważnych</w:t>
      </w:r>
      <w:r w:rsidR="009A5405" w:rsidRPr="00EB5EF2">
        <w:rPr>
          <w:rFonts w:ascii="Arial" w:hAnsi="Arial" w:cs="Arial"/>
          <w:bCs/>
          <w:sz w:val="20"/>
          <w:szCs w:val="20"/>
        </w:rPr>
        <w:t xml:space="preserve">. </w:t>
      </w:r>
    </w:p>
    <w:p w14:paraId="3A182D97" w14:textId="6BAE1094" w:rsidR="00007348" w:rsidRPr="00EB5EF2" w:rsidRDefault="009A5405" w:rsidP="00007348">
      <w:pPr>
        <w:spacing w:before="120" w:after="120" w:line="240" w:lineRule="auto"/>
        <w:ind w:left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EB5EF2">
        <w:rPr>
          <w:rFonts w:ascii="Arial" w:hAnsi="Arial" w:cs="Arial"/>
          <w:bCs/>
          <w:color w:val="000000"/>
          <w:sz w:val="20"/>
          <w:szCs w:val="20"/>
        </w:rPr>
        <w:t>Za produkt równoważny należy rozumieć produkt, który będzie posiadał identyczne wymiary gabarytowe przyłączy mechanicznych (podstawa, silnik) i hydraulicznych (króćce ssawny i</w:t>
      </w:r>
      <w:r w:rsidR="00C02579" w:rsidRPr="00EB5EF2">
        <w:rPr>
          <w:rFonts w:ascii="Arial" w:hAnsi="Arial" w:cs="Arial"/>
          <w:bCs/>
          <w:color w:val="000000"/>
          <w:sz w:val="20"/>
          <w:szCs w:val="20"/>
        </w:rPr>
        <w:t> </w:t>
      </w:r>
      <w:r w:rsidRPr="00EB5EF2">
        <w:rPr>
          <w:rFonts w:ascii="Arial" w:hAnsi="Arial" w:cs="Arial"/>
          <w:bCs/>
          <w:color w:val="000000"/>
          <w:sz w:val="20"/>
          <w:szCs w:val="20"/>
        </w:rPr>
        <w:t>tłoczny) jak produkt oryginalny, będzie spełniał takie same funkcje i zapewniał takie same lub lepsze parametry pracy jak produkt oryginalny, a jakość wykonania i zastosowane materiały będą nie gorsze niż wskazanego przez Zamawiającego produktu oryginalnego oraz będą zgodne z aktualną wiedzą techniczną. Ponadto jego montaż nie spowoduje konieczności dokonania zmian konstrukcyjnych w układach technologicznych Zamawiającego</w:t>
      </w:r>
      <w:r w:rsidR="00007348" w:rsidRPr="00EB5EF2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461011AE" w14:textId="75BFD3D4" w:rsidR="00007348" w:rsidRPr="00EB5EF2" w:rsidRDefault="00007348" w:rsidP="00007348">
      <w:pPr>
        <w:autoSpaceDE w:val="0"/>
        <w:autoSpaceDN w:val="0"/>
        <w:adjustRightInd w:val="0"/>
        <w:spacing w:before="120" w:line="240" w:lineRule="auto"/>
        <w:ind w:left="284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EB5EF2">
        <w:rPr>
          <w:rFonts w:ascii="Arial" w:hAnsi="Arial" w:cs="Arial"/>
          <w:bCs/>
          <w:color w:val="000000"/>
          <w:sz w:val="20"/>
          <w:szCs w:val="20"/>
        </w:rPr>
        <w:t xml:space="preserve">Składając ofertę na produkt równoważny Wykonawca jest zobowiązany dołączyć do oferty Oświadczenie Wykonawcy zawierające oznaczenie produktu równoważnego oraz dokumentację (np. karty </w:t>
      </w:r>
      <w:r w:rsidR="00A21422" w:rsidRPr="00EB5EF2">
        <w:rPr>
          <w:rFonts w:ascii="Arial" w:hAnsi="Arial" w:cs="Arial"/>
          <w:bCs/>
          <w:color w:val="000000"/>
          <w:sz w:val="20"/>
          <w:szCs w:val="20"/>
        </w:rPr>
        <w:t>materiałowe</w:t>
      </w:r>
      <w:r w:rsidRPr="00EB5EF2">
        <w:rPr>
          <w:rFonts w:ascii="Arial" w:hAnsi="Arial" w:cs="Arial"/>
          <w:bCs/>
          <w:color w:val="000000"/>
          <w:sz w:val="20"/>
          <w:szCs w:val="20"/>
        </w:rPr>
        <w:t xml:space="preserve">, opis techniczny, rysunki zawierające wymiary), potwierdzające, </w:t>
      </w:r>
      <w:r w:rsidR="00B417E6" w:rsidRPr="00EB5EF2">
        <w:rPr>
          <w:rFonts w:ascii="Arial" w:hAnsi="Arial" w:cs="Arial"/>
          <w:bCs/>
          <w:color w:val="000000"/>
          <w:sz w:val="20"/>
          <w:szCs w:val="20"/>
        </w:rPr>
        <w:t>zbieżność cech fizycznych, zastosowanych materiałów oraz parametrów przedmiotu oferty.</w:t>
      </w:r>
    </w:p>
    <w:p w14:paraId="4B3F93D6" w14:textId="272F02AB" w:rsidR="00AE51F5" w:rsidRPr="00EB5EF2" w:rsidRDefault="00AE51F5" w:rsidP="004910C4">
      <w:pPr>
        <w:pStyle w:val="Akapitzlist"/>
        <w:numPr>
          <w:ilvl w:val="0"/>
          <w:numId w:val="1"/>
        </w:numPr>
        <w:spacing w:before="240" w:after="0" w:line="240" w:lineRule="auto"/>
        <w:ind w:left="284"/>
        <w:contextualSpacing w:val="0"/>
        <w:rPr>
          <w:rFonts w:ascii="Arial" w:hAnsi="Arial" w:cs="Arial"/>
          <w:b/>
          <w:sz w:val="20"/>
          <w:szCs w:val="20"/>
        </w:rPr>
      </w:pPr>
      <w:r w:rsidRPr="00EB5EF2">
        <w:rPr>
          <w:rFonts w:ascii="Arial" w:hAnsi="Arial" w:cs="Arial"/>
          <w:b/>
          <w:sz w:val="20"/>
          <w:szCs w:val="20"/>
        </w:rPr>
        <w:t>Informacje uzupełniające:</w:t>
      </w:r>
    </w:p>
    <w:p w14:paraId="11FFB15D" w14:textId="1449E259" w:rsidR="00553406" w:rsidRPr="00EB5EF2" w:rsidRDefault="00553406" w:rsidP="00553406">
      <w:pPr>
        <w:spacing w:before="120" w:after="0" w:line="240" w:lineRule="auto"/>
        <w:ind w:firstLine="284"/>
        <w:rPr>
          <w:rFonts w:ascii="Arial" w:hAnsi="Arial" w:cs="Arial"/>
          <w:bCs/>
          <w:sz w:val="20"/>
          <w:szCs w:val="20"/>
          <w:u w:val="single"/>
        </w:rPr>
      </w:pPr>
      <w:r w:rsidRPr="00EB5EF2">
        <w:rPr>
          <w:rFonts w:ascii="Arial" w:hAnsi="Arial" w:cs="Arial"/>
          <w:bCs/>
          <w:sz w:val="20"/>
          <w:szCs w:val="20"/>
          <w:u w:val="single"/>
        </w:rPr>
        <w:t>Dane techniczne medium:</w:t>
      </w:r>
    </w:p>
    <w:p w14:paraId="5FBC5A64" w14:textId="77777777" w:rsidR="00553406" w:rsidRPr="00EB5EF2" w:rsidRDefault="00553406" w:rsidP="00553406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>Praca na osadach ściekowych z dużą zawartością części stałych z instalacji odsiarczania spalin</w:t>
      </w:r>
    </w:p>
    <w:p w14:paraId="1BDED933" w14:textId="48D60CB2" w:rsidR="00553406" w:rsidRPr="00EB5EF2" w:rsidRDefault="00553406" w:rsidP="00553406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 xml:space="preserve">Zakres </w:t>
      </w:r>
      <w:proofErr w:type="spellStart"/>
      <w:r w:rsidRPr="00EB5EF2">
        <w:rPr>
          <w:rFonts w:ascii="Arial" w:hAnsi="Arial" w:cs="Arial"/>
          <w:bCs/>
          <w:sz w:val="20"/>
          <w:szCs w:val="20"/>
        </w:rPr>
        <w:t>pH</w:t>
      </w:r>
      <w:proofErr w:type="spellEnd"/>
      <w:r w:rsidRPr="00EB5EF2">
        <w:rPr>
          <w:rFonts w:ascii="Arial" w:hAnsi="Arial" w:cs="Arial"/>
          <w:bCs/>
          <w:sz w:val="20"/>
          <w:szCs w:val="20"/>
        </w:rPr>
        <w:t xml:space="preserve"> ścieków 4,5 – 9</w:t>
      </w:r>
    </w:p>
    <w:p w14:paraId="68DEE432" w14:textId="77777777" w:rsidR="00553406" w:rsidRPr="00EB5EF2" w:rsidRDefault="00553406" w:rsidP="00553406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>Temperatura ścieków do 60 stopni Celsjusza</w:t>
      </w:r>
    </w:p>
    <w:p w14:paraId="1F0AEF80" w14:textId="77777777" w:rsidR="00553406" w:rsidRPr="00EB5EF2" w:rsidRDefault="00553406" w:rsidP="00553406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>Zawiesina 7 kg/m3</w:t>
      </w:r>
    </w:p>
    <w:p w14:paraId="1CFD9176" w14:textId="77777777" w:rsidR="00553406" w:rsidRPr="00EB5EF2" w:rsidRDefault="00553406" w:rsidP="00553406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>Chlorki 20 000 mg/dm3</w:t>
      </w:r>
    </w:p>
    <w:p w14:paraId="13977AF8" w14:textId="3C581212" w:rsidR="00553406" w:rsidRPr="00EB5EF2" w:rsidRDefault="00553406" w:rsidP="00553406">
      <w:pPr>
        <w:pStyle w:val="Akapitzlist"/>
        <w:numPr>
          <w:ilvl w:val="0"/>
          <w:numId w:val="11"/>
        </w:numPr>
        <w:spacing w:before="120" w:after="0" w:line="240" w:lineRule="auto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>Siarczany 2 000 mg/dm3</w:t>
      </w:r>
    </w:p>
    <w:p w14:paraId="7DA2C198" w14:textId="77777777" w:rsidR="00957678" w:rsidRPr="00EB5EF2" w:rsidRDefault="00957678" w:rsidP="00957678">
      <w:pPr>
        <w:pStyle w:val="Akapitzlist"/>
        <w:numPr>
          <w:ilvl w:val="0"/>
          <w:numId w:val="1"/>
        </w:numPr>
        <w:spacing w:before="240" w:after="0" w:line="240" w:lineRule="auto"/>
        <w:ind w:left="284" w:hanging="357"/>
        <w:contextualSpacing w:val="0"/>
        <w:rPr>
          <w:rFonts w:ascii="Arial" w:hAnsi="Arial" w:cs="Arial"/>
          <w:b/>
          <w:sz w:val="20"/>
          <w:szCs w:val="20"/>
        </w:rPr>
      </w:pPr>
      <w:r w:rsidRPr="00EB5EF2">
        <w:rPr>
          <w:rFonts w:ascii="Arial" w:hAnsi="Arial" w:cs="Arial"/>
          <w:b/>
          <w:sz w:val="20"/>
          <w:szCs w:val="20"/>
        </w:rPr>
        <w:t>Warunki ogólne zapytania</w:t>
      </w:r>
    </w:p>
    <w:p w14:paraId="62BB86C9" w14:textId="6C21B3A2" w:rsidR="00957678" w:rsidRPr="00EB5EF2" w:rsidRDefault="00957678" w:rsidP="00EB5EF2">
      <w:pPr>
        <w:pStyle w:val="Akapitzlist"/>
        <w:numPr>
          <w:ilvl w:val="0"/>
          <w:numId w:val="11"/>
        </w:numPr>
        <w:spacing w:before="60" w:after="0" w:line="240" w:lineRule="auto"/>
        <w:ind w:left="1003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>miejsce dostawy: magazyn</w:t>
      </w:r>
      <w:r w:rsidRPr="00EB5EF2">
        <w:rPr>
          <w:rFonts w:ascii="Arial" w:hAnsi="Arial" w:cs="Arial"/>
          <w:bCs/>
          <w:sz w:val="20"/>
          <w:szCs w:val="20"/>
        </w:rPr>
        <w:t xml:space="preserve"> </w:t>
      </w:r>
      <w:r w:rsidRPr="00EB5EF2">
        <w:rPr>
          <w:rFonts w:ascii="Arial" w:hAnsi="Arial" w:cs="Arial"/>
          <w:bCs/>
          <w:sz w:val="20"/>
          <w:szCs w:val="20"/>
        </w:rPr>
        <w:t xml:space="preserve"> TAURON Wytwarzanie S.A. – Oddział Elektrownia Jaworzno – Elektrownia II, ul. Energetyków 15, 43-603 Jaworzno.</w:t>
      </w:r>
    </w:p>
    <w:p w14:paraId="5C0B6351" w14:textId="77777777" w:rsidR="00957678" w:rsidRPr="00EB5EF2" w:rsidRDefault="00957678" w:rsidP="00EB5EF2">
      <w:pPr>
        <w:pStyle w:val="Akapitzlist"/>
        <w:numPr>
          <w:ilvl w:val="0"/>
          <w:numId w:val="11"/>
        </w:numPr>
        <w:spacing w:before="120" w:after="0" w:line="240" w:lineRule="auto"/>
        <w:ind w:left="1003" w:hanging="357"/>
        <w:contextualSpacing w:val="0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>wymagany termin realizacji zamówienia: możliwie najkrótszy termin,</w:t>
      </w:r>
    </w:p>
    <w:p w14:paraId="3BEE020D" w14:textId="77777777" w:rsidR="00957678" w:rsidRPr="00EB5EF2" w:rsidRDefault="00957678" w:rsidP="00EB5EF2">
      <w:pPr>
        <w:pStyle w:val="Akapitzlist"/>
        <w:numPr>
          <w:ilvl w:val="0"/>
          <w:numId w:val="11"/>
        </w:numPr>
        <w:spacing w:before="120" w:after="0" w:line="240" w:lineRule="auto"/>
        <w:ind w:left="1003" w:hanging="357"/>
        <w:contextualSpacing w:val="0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>warunki płatności: przelew 30 dni od daty otrzymania faktury,</w:t>
      </w:r>
    </w:p>
    <w:p w14:paraId="34D18E94" w14:textId="74CA32FD" w:rsidR="00957678" w:rsidRPr="00EB5EF2" w:rsidRDefault="00957678" w:rsidP="00EB5EF2">
      <w:pPr>
        <w:pStyle w:val="Akapitzlist"/>
        <w:numPr>
          <w:ilvl w:val="0"/>
          <w:numId w:val="11"/>
        </w:numPr>
        <w:spacing w:before="120" w:after="0" w:line="240" w:lineRule="auto"/>
        <w:ind w:left="1003" w:hanging="357"/>
        <w:contextualSpacing w:val="0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>warunki gwarancji: gwarancja na okres</w:t>
      </w:r>
      <w:r w:rsidRPr="00EB5EF2">
        <w:rPr>
          <w:rFonts w:ascii="Arial" w:hAnsi="Arial" w:cs="Arial"/>
          <w:bCs/>
          <w:sz w:val="20"/>
          <w:szCs w:val="20"/>
        </w:rPr>
        <w:t xml:space="preserve"> </w:t>
      </w:r>
      <w:r w:rsidRPr="00EB5EF2">
        <w:rPr>
          <w:rFonts w:ascii="Arial" w:hAnsi="Arial" w:cs="Arial"/>
          <w:bCs/>
          <w:sz w:val="20"/>
          <w:szCs w:val="20"/>
        </w:rPr>
        <w:t>12 miesięcy od daty uruchomienia, jednak nie dłużej niż 18 miesięcy od daty dostawy</w:t>
      </w:r>
    </w:p>
    <w:p w14:paraId="6657A625" w14:textId="77777777" w:rsidR="00957678" w:rsidRDefault="00957678" w:rsidP="00EB5EF2">
      <w:pPr>
        <w:pStyle w:val="Akapitzlist"/>
        <w:numPr>
          <w:ilvl w:val="0"/>
          <w:numId w:val="11"/>
        </w:numPr>
        <w:spacing w:before="120" w:after="0" w:line="240" w:lineRule="auto"/>
        <w:ind w:left="1003" w:hanging="357"/>
        <w:contextualSpacing w:val="0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 xml:space="preserve">cena musi zawierać wszystkie koszty i elementy związane z realizacją przedmiotu Zamówienia i zostać skalkulowana na bazie DDP TAURON Wytwarzanie S.A. </w:t>
      </w:r>
    </w:p>
    <w:p w14:paraId="3F74C32D" w14:textId="77777777" w:rsidR="00EB5EF2" w:rsidRDefault="00EB5EF2" w:rsidP="00EB5EF2">
      <w:pPr>
        <w:pStyle w:val="Akapitzlist"/>
        <w:spacing w:before="120" w:after="0" w:line="240" w:lineRule="auto"/>
        <w:ind w:left="1003"/>
        <w:contextualSpacing w:val="0"/>
        <w:rPr>
          <w:rFonts w:ascii="Arial" w:hAnsi="Arial" w:cs="Arial"/>
          <w:bCs/>
          <w:sz w:val="20"/>
          <w:szCs w:val="20"/>
        </w:rPr>
      </w:pPr>
    </w:p>
    <w:p w14:paraId="59FC7D6C" w14:textId="77777777" w:rsidR="00EB5EF2" w:rsidRPr="00EB5EF2" w:rsidRDefault="00EB5EF2" w:rsidP="00EB5EF2">
      <w:pPr>
        <w:pStyle w:val="Akapitzlist"/>
        <w:spacing w:before="120" w:after="0" w:line="240" w:lineRule="auto"/>
        <w:ind w:left="1003"/>
        <w:contextualSpacing w:val="0"/>
        <w:rPr>
          <w:rFonts w:ascii="Arial" w:hAnsi="Arial" w:cs="Arial"/>
          <w:bCs/>
          <w:sz w:val="20"/>
          <w:szCs w:val="20"/>
        </w:rPr>
      </w:pPr>
    </w:p>
    <w:p w14:paraId="37C806FE" w14:textId="27AFD93E" w:rsidR="00957678" w:rsidRDefault="00957678" w:rsidP="00EB5EF2">
      <w:pPr>
        <w:pStyle w:val="Akapitzlist"/>
        <w:numPr>
          <w:ilvl w:val="0"/>
          <w:numId w:val="11"/>
        </w:numPr>
        <w:spacing w:before="120" w:after="0" w:line="240" w:lineRule="auto"/>
        <w:ind w:left="1003" w:hanging="357"/>
        <w:contextualSpacing w:val="0"/>
        <w:jc w:val="both"/>
        <w:rPr>
          <w:rFonts w:ascii="Arial" w:hAnsi="Arial" w:cs="Arial"/>
          <w:bCs/>
        </w:rPr>
      </w:pPr>
      <w:r w:rsidRPr="00EB5EF2">
        <w:rPr>
          <w:rFonts w:ascii="Arial" w:hAnsi="Arial" w:cs="Arial"/>
          <w:bCs/>
          <w:sz w:val="20"/>
          <w:szCs w:val="20"/>
        </w:rPr>
        <w:lastRenderedPageBreak/>
        <w:t>Cena oferty powinna być wyrażona w złotych polskich: cyfrowo. Zamawiający dopuszcza możliwość złożenia oferty w walucie EUR, jednakże w takim wypadku w celu porównania</w:t>
      </w:r>
      <w:r w:rsidRPr="00957678">
        <w:rPr>
          <w:rFonts w:ascii="Arial" w:hAnsi="Arial" w:cs="Arial"/>
          <w:bCs/>
        </w:rPr>
        <w:t xml:space="preserve"> złożonych ofert Zamawiający dokona przeliczenia ich wartości na PLN wg średniego </w:t>
      </w:r>
      <w:r w:rsidRPr="00EB5EF2">
        <w:rPr>
          <w:rFonts w:ascii="Arial" w:hAnsi="Arial" w:cs="Arial"/>
          <w:bCs/>
          <w:sz w:val="20"/>
          <w:szCs w:val="20"/>
        </w:rPr>
        <w:t>kursu euro w NBP z dnia</w:t>
      </w:r>
      <w:r w:rsidR="00EB5EF2" w:rsidRPr="00EB5EF2">
        <w:rPr>
          <w:rFonts w:ascii="Arial" w:hAnsi="Arial" w:cs="Arial"/>
          <w:bCs/>
          <w:sz w:val="20"/>
          <w:szCs w:val="20"/>
        </w:rPr>
        <w:t xml:space="preserve"> 06.11.2024 r.  - Tabela A nr 216/A/NBP/2024.</w:t>
      </w:r>
    </w:p>
    <w:p w14:paraId="0FC1217B" w14:textId="77777777" w:rsidR="00957678" w:rsidRPr="00EB5EF2" w:rsidRDefault="00957678" w:rsidP="00EB5EF2">
      <w:pPr>
        <w:autoSpaceDE w:val="0"/>
        <w:autoSpaceDN w:val="0"/>
        <w:adjustRightInd w:val="0"/>
        <w:spacing w:before="120" w:after="120" w:line="240" w:lineRule="auto"/>
        <w:ind w:left="1004"/>
        <w:jc w:val="both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>W przypadku złożenia oferty w walucie EUR, Zamawiający dopuszcza następujące opcje rozliczenia dostawy:</w:t>
      </w:r>
    </w:p>
    <w:p w14:paraId="7F2E320A" w14:textId="5B500410" w:rsidR="00957678" w:rsidRPr="00EB5EF2" w:rsidRDefault="00EB5EF2" w:rsidP="00EB5E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1560" w:hanging="142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>r</w:t>
      </w:r>
      <w:r w:rsidR="00957678" w:rsidRPr="00EB5EF2">
        <w:rPr>
          <w:rFonts w:ascii="Arial" w:hAnsi="Arial" w:cs="Arial"/>
          <w:bCs/>
          <w:sz w:val="20"/>
          <w:szCs w:val="20"/>
        </w:rPr>
        <w:t>ozliczenie w PLN wg średniego kursu euro opublikowanego w Tabeli A NBP w ostatnim  dniu roboczym poprzedzającym dzień wystawienia faktury.</w:t>
      </w:r>
    </w:p>
    <w:p w14:paraId="2A4298FA" w14:textId="2C34AEA6" w:rsidR="00957678" w:rsidRPr="00EB5EF2" w:rsidRDefault="00957678" w:rsidP="00EB5E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before="120"/>
        <w:ind w:left="1560" w:hanging="142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B5EF2">
        <w:rPr>
          <w:rFonts w:ascii="Arial" w:hAnsi="Arial" w:cs="Arial"/>
          <w:bCs/>
          <w:sz w:val="20"/>
          <w:szCs w:val="20"/>
        </w:rPr>
        <w:t>Rozliczenie w EUR, zgodnie ze złożoną ofertą.</w:t>
      </w:r>
    </w:p>
    <w:p w14:paraId="2C1A7CE9" w14:textId="77777777" w:rsidR="00957678" w:rsidRPr="00EB5EF2" w:rsidRDefault="00957678" w:rsidP="00EB5EF2">
      <w:pPr>
        <w:pStyle w:val="Akapitzlist"/>
        <w:numPr>
          <w:ilvl w:val="0"/>
          <w:numId w:val="1"/>
        </w:numPr>
        <w:shd w:val="clear" w:color="auto" w:fill="FDFDFD"/>
        <w:spacing w:before="120" w:after="0" w:line="240" w:lineRule="auto"/>
        <w:contextualSpacing w:val="0"/>
        <w:jc w:val="both"/>
        <w:rPr>
          <w:rFonts w:ascii="Arial" w:hAnsi="Arial" w:cs="Arial"/>
          <w:b/>
        </w:rPr>
      </w:pPr>
      <w:r w:rsidRPr="00EB5EF2">
        <w:rPr>
          <w:rFonts w:ascii="Arial" w:hAnsi="Arial" w:cs="Arial"/>
          <w:b/>
        </w:rPr>
        <w:t>Zastrzeżenia, informacje dodatkowe:</w:t>
      </w:r>
    </w:p>
    <w:p w14:paraId="0833F60B" w14:textId="4C72B06E" w:rsidR="00957678" w:rsidRDefault="00957678" w:rsidP="00EB5EF2">
      <w:pPr>
        <w:pStyle w:val="Akapitzlist"/>
        <w:numPr>
          <w:ilvl w:val="1"/>
          <w:numId w:val="15"/>
        </w:numPr>
        <w:shd w:val="clear" w:color="auto" w:fill="FDFDFD"/>
        <w:spacing w:before="120" w:after="120" w:line="240" w:lineRule="auto"/>
        <w:ind w:left="993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4D4915">
        <w:rPr>
          <w:rFonts w:ascii="Arial" w:hAnsi="Arial" w:cs="Arial"/>
          <w:sz w:val="20"/>
          <w:szCs w:val="20"/>
        </w:rPr>
        <w:t>Warunki realizacji zamówienia zostały określone w dokumencie „Warunki realizacji</w:t>
      </w:r>
      <w:r w:rsidRPr="004D4915">
        <w:rPr>
          <w:rFonts w:ascii="Arial" w:hAnsi="Arial" w:cs="Arial"/>
          <w:color w:val="000000"/>
          <w:sz w:val="20"/>
          <w:szCs w:val="20"/>
        </w:rPr>
        <w:t xml:space="preserve"> Zamówienia”, który będzie stanowił załącznik nr 1 do Zamówienia. W przypadku złożenia oferty przez Wykonawcę nie będącego polskim rezydentem podatkowym, zapisy „Warunków realizacji zamówienia” w zakresie części WYNAGRODZENIE I ZASADY ROZLICZEŃ - </w:t>
      </w:r>
      <w:proofErr w:type="spellStart"/>
      <w:r w:rsidRPr="004D4915">
        <w:rPr>
          <w:rFonts w:ascii="Arial" w:hAnsi="Arial" w:cs="Arial"/>
          <w:color w:val="000000"/>
          <w:sz w:val="20"/>
          <w:szCs w:val="20"/>
        </w:rPr>
        <w:t>tiret</w:t>
      </w:r>
      <w:proofErr w:type="spellEnd"/>
      <w:r w:rsidRPr="004D4915">
        <w:rPr>
          <w:rFonts w:ascii="Arial" w:hAnsi="Arial" w:cs="Arial"/>
          <w:color w:val="000000"/>
          <w:sz w:val="20"/>
          <w:szCs w:val="20"/>
        </w:rPr>
        <w:t xml:space="preserve"> 2-6 nie będą miały zastosowania</w:t>
      </w:r>
    </w:p>
    <w:p w14:paraId="0F36CDF0" w14:textId="77E430E0" w:rsidR="00957678" w:rsidRPr="004D4915" w:rsidRDefault="00957678" w:rsidP="00EB5EF2">
      <w:pPr>
        <w:pStyle w:val="Akapitzlist"/>
        <w:numPr>
          <w:ilvl w:val="1"/>
          <w:numId w:val="15"/>
        </w:numPr>
        <w:shd w:val="clear" w:color="auto" w:fill="FDFDFD"/>
        <w:spacing w:before="120" w:after="120" w:line="240" w:lineRule="auto"/>
        <w:ind w:left="993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4D4915">
        <w:rPr>
          <w:rFonts w:ascii="Arial" w:hAnsi="Arial" w:cs="Arial"/>
          <w:color w:val="000000"/>
          <w:sz w:val="20"/>
          <w:szCs w:val="20"/>
        </w:rPr>
        <w:t>Nie dopuszcza się możliwości składania ofert częściowych. Oferta musi dotyczyć wszystkich pozycji wymienionych w postępowaniu.</w:t>
      </w:r>
    </w:p>
    <w:p w14:paraId="44873B1E" w14:textId="77777777" w:rsidR="00957678" w:rsidRPr="004D4915" w:rsidRDefault="00957678" w:rsidP="00EB5EF2">
      <w:pPr>
        <w:pStyle w:val="Akapitzlist"/>
        <w:numPr>
          <w:ilvl w:val="1"/>
          <w:numId w:val="15"/>
        </w:numPr>
        <w:shd w:val="clear" w:color="auto" w:fill="FDFDFD"/>
        <w:spacing w:before="120" w:after="120" w:line="240" w:lineRule="auto"/>
        <w:ind w:left="993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4D4915">
        <w:rPr>
          <w:rFonts w:ascii="Arial" w:hAnsi="Arial" w:cs="Arial"/>
          <w:color w:val="000000"/>
          <w:sz w:val="20"/>
          <w:szCs w:val="20"/>
        </w:rPr>
        <w:t>Złożenie oferty jest równoznaczne z akceptacją warunków udziału w postępowaniu, wskazanych w niniejszym zapytaniu oraz załącznikach do niego. Oferty niespełniające warunków udziału w postępowaniu zostaną odrzucone.</w:t>
      </w:r>
    </w:p>
    <w:p w14:paraId="12F3B9F4" w14:textId="77777777" w:rsidR="00957678" w:rsidRPr="004D4915" w:rsidRDefault="00957678" w:rsidP="00EB5EF2">
      <w:pPr>
        <w:pStyle w:val="Akapitzlist"/>
        <w:numPr>
          <w:ilvl w:val="1"/>
          <w:numId w:val="15"/>
        </w:numPr>
        <w:shd w:val="clear" w:color="auto" w:fill="FDFDFD"/>
        <w:spacing w:before="120" w:after="120" w:line="240" w:lineRule="auto"/>
        <w:ind w:left="993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4D4915">
        <w:rPr>
          <w:rFonts w:ascii="Arial" w:hAnsi="Arial" w:cs="Arial"/>
          <w:color w:val="000000"/>
          <w:sz w:val="20"/>
          <w:szCs w:val="20"/>
        </w:rPr>
        <w:t>Zamawiający zastrzega sobie prawo do przeprowadzenia negocjacji ceny złożonych ofert.</w:t>
      </w:r>
    </w:p>
    <w:p w14:paraId="2B318721" w14:textId="77777777" w:rsidR="00957678" w:rsidRPr="004D4915" w:rsidRDefault="00957678" w:rsidP="00EB5EF2">
      <w:pPr>
        <w:pStyle w:val="Akapitzlist"/>
        <w:numPr>
          <w:ilvl w:val="1"/>
          <w:numId w:val="15"/>
        </w:numPr>
        <w:shd w:val="clear" w:color="auto" w:fill="FDFDFD"/>
        <w:spacing w:before="120" w:after="120" w:line="240" w:lineRule="auto"/>
        <w:ind w:left="993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4D4915">
        <w:rPr>
          <w:rFonts w:ascii="Arial" w:hAnsi="Arial" w:cs="Arial"/>
          <w:color w:val="000000"/>
          <w:sz w:val="20"/>
          <w:szCs w:val="20"/>
        </w:rPr>
        <w:t>Zamawiający zastrzega sobie prawo do unieważnienia, odstąpienia lub powtórzenia zapytania ofertowego bez podania przyczyn. Z tego tytułu Wykonawcom nie przysługują żadne roszczenia wobec Zamawiającego.</w:t>
      </w:r>
    </w:p>
    <w:p w14:paraId="2619CD63" w14:textId="77777777" w:rsidR="00957678" w:rsidRPr="004D4915" w:rsidRDefault="00957678" w:rsidP="00957678">
      <w:pPr>
        <w:pStyle w:val="Akapitzlist"/>
        <w:numPr>
          <w:ilvl w:val="0"/>
          <w:numId w:val="1"/>
        </w:numPr>
        <w:shd w:val="clear" w:color="auto" w:fill="FDFDFD"/>
        <w:spacing w:before="120" w:after="0" w:line="240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4D4915">
        <w:rPr>
          <w:rFonts w:ascii="Arial" w:hAnsi="Arial" w:cs="Arial"/>
          <w:color w:val="000000"/>
          <w:sz w:val="20"/>
          <w:szCs w:val="20"/>
        </w:rPr>
        <w:t>W zakładce dokumenty znajdują się następujące załączniki:</w:t>
      </w:r>
    </w:p>
    <w:p w14:paraId="46E924FC" w14:textId="77777777" w:rsidR="00957678" w:rsidRPr="004D4915" w:rsidRDefault="00957678" w:rsidP="00957678">
      <w:pPr>
        <w:pStyle w:val="Akapitzlist"/>
        <w:numPr>
          <w:ilvl w:val="0"/>
          <w:numId w:val="16"/>
        </w:numPr>
        <w:shd w:val="clear" w:color="auto" w:fill="FDFDFD"/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D4915">
        <w:rPr>
          <w:rFonts w:ascii="Arial" w:hAnsi="Arial" w:cs="Arial"/>
          <w:color w:val="000000"/>
          <w:sz w:val="20"/>
          <w:szCs w:val="20"/>
        </w:rPr>
        <w:t>Załącznik nr 1 – Warunki realizacji Zamówienia</w:t>
      </w:r>
    </w:p>
    <w:p w14:paraId="793C9F1A" w14:textId="460712FB" w:rsidR="00957678" w:rsidRDefault="00957678" w:rsidP="00957678">
      <w:pPr>
        <w:pStyle w:val="Akapitzlist"/>
        <w:numPr>
          <w:ilvl w:val="0"/>
          <w:numId w:val="16"/>
        </w:numPr>
        <w:shd w:val="clear" w:color="auto" w:fill="FDFDFD"/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D4915">
        <w:rPr>
          <w:rFonts w:ascii="Arial" w:hAnsi="Arial" w:cs="Arial"/>
          <w:color w:val="000000"/>
          <w:sz w:val="20"/>
          <w:szCs w:val="20"/>
        </w:rPr>
        <w:t xml:space="preserve">Załącznik nr 2 – </w:t>
      </w:r>
      <w:r>
        <w:rPr>
          <w:rFonts w:ascii="Arial" w:hAnsi="Arial" w:cs="Arial"/>
          <w:color w:val="000000"/>
          <w:sz w:val="20"/>
          <w:szCs w:val="20"/>
        </w:rPr>
        <w:t xml:space="preserve">Opis przedmiotu zamówienia </w:t>
      </w:r>
    </w:p>
    <w:p w14:paraId="25B09432" w14:textId="77777777" w:rsidR="00957678" w:rsidRPr="004D4915" w:rsidRDefault="00957678" w:rsidP="00957678">
      <w:pPr>
        <w:pStyle w:val="Akapitzlist"/>
        <w:numPr>
          <w:ilvl w:val="0"/>
          <w:numId w:val="16"/>
        </w:numPr>
        <w:shd w:val="clear" w:color="auto" w:fill="FDFDFD"/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Załącznik nr 3 – </w:t>
      </w:r>
      <w:r w:rsidRPr="004D4915">
        <w:rPr>
          <w:rFonts w:ascii="Arial" w:hAnsi="Arial" w:cs="Arial"/>
          <w:color w:val="000000"/>
          <w:sz w:val="20"/>
          <w:szCs w:val="20"/>
        </w:rPr>
        <w:t>Oświadczenie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D4915">
        <w:rPr>
          <w:rFonts w:ascii="Arial" w:hAnsi="Arial" w:cs="Arial"/>
          <w:color w:val="000000"/>
          <w:sz w:val="20"/>
          <w:szCs w:val="20"/>
        </w:rPr>
        <w:t xml:space="preserve"> o produkcie równoważnym</w:t>
      </w:r>
    </w:p>
    <w:p w14:paraId="630C7B0B" w14:textId="77777777" w:rsidR="00C02579" w:rsidRDefault="00C02579" w:rsidP="00F3588B">
      <w:pPr>
        <w:pStyle w:val="Akapitzlist"/>
        <w:spacing w:before="60" w:after="0" w:line="240" w:lineRule="auto"/>
        <w:ind w:left="284"/>
        <w:contextualSpacing w:val="0"/>
        <w:jc w:val="both"/>
        <w:rPr>
          <w:rFonts w:ascii="Arial" w:hAnsi="Arial" w:cs="Arial"/>
          <w:bCs/>
        </w:rPr>
      </w:pPr>
    </w:p>
    <w:sectPr w:rsidR="00C02579" w:rsidSect="00A21422">
      <w:footerReference w:type="default" r:id="rId8"/>
      <w:pgSz w:w="11906" w:h="16838"/>
      <w:pgMar w:top="709" w:right="1274" w:bottom="284" w:left="993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026F" w14:textId="77777777" w:rsidR="00B170CD" w:rsidRDefault="00B170CD" w:rsidP="00252263">
      <w:pPr>
        <w:spacing w:after="0" w:line="240" w:lineRule="auto"/>
      </w:pPr>
      <w:r>
        <w:separator/>
      </w:r>
    </w:p>
  </w:endnote>
  <w:endnote w:type="continuationSeparator" w:id="0">
    <w:p w14:paraId="6DCB41B5" w14:textId="77777777" w:rsidR="00B170CD" w:rsidRDefault="00B170CD" w:rsidP="00252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eastAsiaTheme="majorEastAsia" w:hAnsi="Verdana" w:cs="Tahoma"/>
        <w:sz w:val="20"/>
        <w:szCs w:val="20"/>
      </w:rPr>
      <w:id w:val="-273097513"/>
      <w:docPartObj>
        <w:docPartGallery w:val="Page Numbers (Bottom of Page)"/>
        <w:docPartUnique/>
      </w:docPartObj>
    </w:sdtPr>
    <w:sdtEndPr>
      <w:rPr>
        <w:rFonts w:ascii="Tahoma" w:hAnsi="Tahoma"/>
        <w:sz w:val="16"/>
        <w:szCs w:val="16"/>
      </w:rPr>
    </w:sdtEndPr>
    <w:sdtContent>
      <w:p w14:paraId="27F11D0A" w14:textId="77777777" w:rsidR="00466211" w:rsidRDefault="00466211" w:rsidP="00466211">
        <w:pPr>
          <w:pStyle w:val="Stopka"/>
          <w:rPr>
            <w:rFonts w:ascii="Verdana" w:eastAsiaTheme="majorEastAsia" w:hAnsi="Verdana" w:cs="Tahoma"/>
            <w:sz w:val="20"/>
            <w:szCs w:val="20"/>
          </w:rPr>
        </w:pPr>
      </w:p>
      <w:p w14:paraId="2234570D" w14:textId="7D5B9F8F" w:rsidR="004C0E75" w:rsidRPr="00966794" w:rsidRDefault="00000000" w:rsidP="00966794">
        <w:pPr>
          <w:pStyle w:val="Stopka"/>
          <w:rPr>
            <w:rFonts w:ascii="Tahoma" w:eastAsiaTheme="majorEastAsia" w:hAnsi="Tahoma" w:cs="Tahoma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91D70" w14:textId="77777777" w:rsidR="00B170CD" w:rsidRDefault="00B170CD" w:rsidP="00252263">
      <w:pPr>
        <w:spacing w:after="0" w:line="240" w:lineRule="auto"/>
      </w:pPr>
      <w:r>
        <w:separator/>
      </w:r>
    </w:p>
  </w:footnote>
  <w:footnote w:type="continuationSeparator" w:id="0">
    <w:p w14:paraId="7EEFDB4E" w14:textId="77777777" w:rsidR="00B170CD" w:rsidRDefault="00B170CD" w:rsidP="002522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872D9"/>
    <w:multiLevelType w:val="hybridMultilevel"/>
    <w:tmpl w:val="1F02146C"/>
    <w:lvl w:ilvl="0" w:tplc="B3C2A56A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CE5A34"/>
    <w:multiLevelType w:val="hybridMultilevel"/>
    <w:tmpl w:val="67443586"/>
    <w:lvl w:ilvl="0" w:tplc="68E46BA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B872372"/>
    <w:multiLevelType w:val="hybridMultilevel"/>
    <w:tmpl w:val="3B76925E"/>
    <w:lvl w:ilvl="0" w:tplc="288002B6">
      <w:start w:val="2"/>
      <w:numFmt w:val="decimal"/>
      <w:lvlText w:val="%1."/>
      <w:lvlJc w:val="left"/>
      <w:pPr>
        <w:ind w:left="18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4" w15:restartNumberingAfterBreak="0">
    <w:nsid w:val="2CDE7E22"/>
    <w:multiLevelType w:val="hybridMultilevel"/>
    <w:tmpl w:val="85A22708"/>
    <w:lvl w:ilvl="0" w:tplc="A41EAB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E46E29"/>
    <w:multiLevelType w:val="hybridMultilevel"/>
    <w:tmpl w:val="F50ECF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9B877F0"/>
    <w:multiLevelType w:val="hybridMultilevel"/>
    <w:tmpl w:val="292E1060"/>
    <w:lvl w:ilvl="0" w:tplc="A41EA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F5BE7"/>
    <w:multiLevelType w:val="hybridMultilevel"/>
    <w:tmpl w:val="EBEA3652"/>
    <w:lvl w:ilvl="0" w:tplc="DFBA9A18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1101C"/>
    <w:multiLevelType w:val="hybridMultilevel"/>
    <w:tmpl w:val="81284E5A"/>
    <w:lvl w:ilvl="0" w:tplc="4636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27D1E"/>
    <w:multiLevelType w:val="hybridMultilevel"/>
    <w:tmpl w:val="104A3140"/>
    <w:lvl w:ilvl="0" w:tplc="D90653DE">
      <w:start w:val="1"/>
      <w:numFmt w:val="bullet"/>
      <w:lvlText w:val=""/>
      <w:lvlJc w:val="left"/>
      <w:pPr>
        <w:ind w:left="1029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0" w15:restartNumberingAfterBreak="0">
    <w:nsid w:val="48634112"/>
    <w:multiLevelType w:val="multilevel"/>
    <w:tmpl w:val="34749168"/>
    <w:lvl w:ilvl="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1" w15:restartNumberingAfterBreak="0">
    <w:nsid w:val="55CB0469"/>
    <w:multiLevelType w:val="hybridMultilevel"/>
    <w:tmpl w:val="F60269A6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1">
      <w:start w:val="1"/>
      <w:numFmt w:val="decimal"/>
      <w:lvlText w:val="%2)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2" w15:restartNumberingAfterBreak="0">
    <w:nsid w:val="64671D2A"/>
    <w:multiLevelType w:val="hybridMultilevel"/>
    <w:tmpl w:val="558088FA"/>
    <w:lvl w:ilvl="0" w:tplc="FA16CE4E">
      <w:start w:val="1"/>
      <w:numFmt w:val="decimal"/>
      <w:lvlText w:val="%1."/>
      <w:lvlJc w:val="left"/>
      <w:pPr>
        <w:ind w:left="708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3" w15:restartNumberingAfterBreak="0">
    <w:nsid w:val="651F2DDD"/>
    <w:multiLevelType w:val="hybridMultilevel"/>
    <w:tmpl w:val="DF06A4FA"/>
    <w:lvl w:ilvl="0" w:tplc="907A3BD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6A31333B"/>
    <w:multiLevelType w:val="hybridMultilevel"/>
    <w:tmpl w:val="BF8266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03164C"/>
    <w:multiLevelType w:val="hybridMultilevel"/>
    <w:tmpl w:val="65BAF6D2"/>
    <w:lvl w:ilvl="0" w:tplc="46361C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7735ADC"/>
    <w:multiLevelType w:val="hybridMultilevel"/>
    <w:tmpl w:val="F260D3F2"/>
    <w:lvl w:ilvl="0" w:tplc="43A2046E">
      <w:start w:val="1"/>
      <w:numFmt w:val="bullet"/>
      <w:lvlText w:val="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7" w15:restartNumberingAfterBreak="0">
    <w:nsid w:val="7EFD088C"/>
    <w:multiLevelType w:val="hybridMultilevel"/>
    <w:tmpl w:val="F6641CA4"/>
    <w:lvl w:ilvl="0" w:tplc="33EA0E26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A0255"/>
    <w:multiLevelType w:val="hybridMultilevel"/>
    <w:tmpl w:val="6C8E035A"/>
    <w:lvl w:ilvl="0" w:tplc="A41EAB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470248306">
    <w:abstractNumId w:val="12"/>
  </w:num>
  <w:num w:numId="2" w16cid:durableId="1380739720">
    <w:abstractNumId w:val="9"/>
  </w:num>
  <w:num w:numId="3" w16cid:durableId="1591891966">
    <w:abstractNumId w:val="17"/>
  </w:num>
  <w:num w:numId="4" w16cid:durableId="305353367">
    <w:abstractNumId w:val="7"/>
  </w:num>
  <w:num w:numId="5" w16cid:durableId="69812263">
    <w:abstractNumId w:val="2"/>
  </w:num>
  <w:num w:numId="6" w16cid:durableId="926965884">
    <w:abstractNumId w:val="1"/>
  </w:num>
  <w:num w:numId="7" w16cid:durableId="1202790204">
    <w:abstractNumId w:val="14"/>
  </w:num>
  <w:num w:numId="8" w16cid:durableId="2106150394">
    <w:abstractNumId w:val="8"/>
  </w:num>
  <w:num w:numId="9" w16cid:durableId="1617322700">
    <w:abstractNumId w:val="15"/>
  </w:num>
  <w:num w:numId="10" w16cid:durableId="1188131250">
    <w:abstractNumId w:val="18"/>
  </w:num>
  <w:num w:numId="11" w16cid:durableId="494957126">
    <w:abstractNumId w:val="4"/>
  </w:num>
  <w:num w:numId="12" w16cid:durableId="1569419040">
    <w:abstractNumId w:val="10"/>
  </w:num>
  <w:num w:numId="13" w16cid:durableId="1299990316">
    <w:abstractNumId w:val="13"/>
  </w:num>
  <w:num w:numId="14" w16cid:durableId="365103685">
    <w:abstractNumId w:val="6"/>
  </w:num>
  <w:num w:numId="15" w16cid:durableId="1422945073">
    <w:abstractNumId w:val="11"/>
  </w:num>
  <w:num w:numId="16" w16cid:durableId="1171719020">
    <w:abstractNumId w:val="16"/>
  </w:num>
  <w:num w:numId="17" w16cid:durableId="729810643">
    <w:abstractNumId w:val="0"/>
  </w:num>
  <w:num w:numId="18" w16cid:durableId="1441222902">
    <w:abstractNumId w:val="3"/>
  </w:num>
  <w:num w:numId="19" w16cid:durableId="96161359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A08"/>
    <w:rsid w:val="0000621D"/>
    <w:rsid w:val="00007348"/>
    <w:rsid w:val="00015475"/>
    <w:rsid w:val="00027A89"/>
    <w:rsid w:val="000324D2"/>
    <w:rsid w:val="00036657"/>
    <w:rsid w:val="00037C1D"/>
    <w:rsid w:val="00041D4D"/>
    <w:rsid w:val="0004411F"/>
    <w:rsid w:val="00053BC9"/>
    <w:rsid w:val="00056DD1"/>
    <w:rsid w:val="00061002"/>
    <w:rsid w:val="00072B4A"/>
    <w:rsid w:val="00072D41"/>
    <w:rsid w:val="0007396E"/>
    <w:rsid w:val="00073FB5"/>
    <w:rsid w:val="00077047"/>
    <w:rsid w:val="000A0D97"/>
    <w:rsid w:val="000A52DF"/>
    <w:rsid w:val="000D385C"/>
    <w:rsid w:val="0010439A"/>
    <w:rsid w:val="00121CF7"/>
    <w:rsid w:val="00122831"/>
    <w:rsid w:val="00130090"/>
    <w:rsid w:val="00135F4B"/>
    <w:rsid w:val="00150581"/>
    <w:rsid w:val="00150F68"/>
    <w:rsid w:val="00151795"/>
    <w:rsid w:val="00151FBB"/>
    <w:rsid w:val="0015302E"/>
    <w:rsid w:val="00162A93"/>
    <w:rsid w:val="00162A95"/>
    <w:rsid w:val="00164FFD"/>
    <w:rsid w:val="00184936"/>
    <w:rsid w:val="001938AE"/>
    <w:rsid w:val="001C5435"/>
    <w:rsid w:val="001C6C12"/>
    <w:rsid w:val="001E1CF1"/>
    <w:rsid w:val="001E583E"/>
    <w:rsid w:val="001E6AE6"/>
    <w:rsid w:val="001E78B1"/>
    <w:rsid w:val="00203382"/>
    <w:rsid w:val="002059C5"/>
    <w:rsid w:val="00210C57"/>
    <w:rsid w:val="002315A1"/>
    <w:rsid w:val="00232CC9"/>
    <w:rsid w:val="00233972"/>
    <w:rsid w:val="00235780"/>
    <w:rsid w:val="00236357"/>
    <w:rsid w:val="00242610"/>
    <w:rsid w:val="0024415E"/>
    <w:rsid w:val="00245000"/>
    <w:rsid w:val="00252263"/>
    <w:rsid w:val="002557DE"/>
    <w:rsid w:val="00263C8E"/>
    <w:rsid w:val="00264F47"/>
    <w:rsid w:val="00280B42"/>
    <w:rsid w:val="00283E60"/>
    <w:rsid w:val="00285F62"/>
    <w:rsid w:val="00286A5C"/>
    <w:rsid w:val="00293660"/>
    <w:rsid w:val="002A10B0"/>
    <w:rsid w:val="002A31A1"/>
    <w:rsid w:val="002C25E6"/>
    <w:rsid w:val="002C39B7"/>
    <w:rsid w:val="002C663B"/>
    <w:rsid w:val="002D0784"/>
    <w:rsid w:val="002E031A"/>
    <w:rsid w:val="002E0AA7"/>
    <w:rsid w:val="002E375F"/>
    <w:rsid w:val="002E69E3"/>
    <w:rsid w:val="002F2C62"/>
    <w:rsid w:val="003112C1"/>
    <w:rsid w:val="003228E2"/>
    <w:rsid w:val="00332137"/>
    <w:rsid w:val="003557A9"/>
    <w:rsid w:val="00360AAC"/>
    <w:rsid w:val="00361261"/>
    <w:rsid w:val="00362E6F"/>
    <w:rsid w:val="00375EDA"/>
    <w:rsid w:val="00376C9B"/>
    <w:rsid w:val="00382246"/>
    <w:rsid w:val="00385D07"/>
    <w:rsid w:val="00394710"/>
    <w:rsid w:val="003A05B9"/>
    <w:rsid w:val="003A4480"/>
    <w:rsid w:val="003B49DD"/>
    <w:rsid w:val="003C52B9"/>
    <w:rsid w:val="003D4550"/>
    <w:rsid w:val="003E4D44"/>
    <w:rsid w:val="003F2808"/>
    <w:rsid w:val="0040493C"/>
    <w:rsid w:val="004068A9"/>
    <w:rsid w:val="00411E8D"/>
    <w:rsid w:val="00415FA4"/>
    <w:rsid w:val="00417164"/>
    <w:rsid w:val="0043506D"/>
    <w:rsid w:val="00440402"/>
    <w:rsid w:val="00444625"/>
    <w:rsid w:val="0044468C"/>
    <w:rsid w:val="00446636"/>
    <w:rsid w:val="004506AA"/>
    <w:rsid w:val="0046086F"/>
    <w:rsid w:val="004658EB"/>
    <w:rsid w:val="00466211"/>
    <w:rsid w:val="00475FB6"/>
    <w:rsid w:val="004910C4"/>
    <w:rsid w:val="00495975"/>
    <w:rsid w:val="00497E44"/>
    <w:rsid w:val="004A1733"/>
    <w:rsid w:val="004A5682"/>
    <w:rsid w:val="004A6041"/>
    <w:rsid w:val="004A737D"/>
    <w:rsid w:val="004B2467"/>
    <w:rsid w:val="004C0E75"/>
    <w:rsid w:val="004C6F25"/>
    <w:rsid w:val="004F641D"/>
    <w:rsid w:val="004F656C"/>
    <w:rsid w:val="00502933"/>
    <w:rsid w:val="00521153"/>
    <w:rsid w:val="00523FE0"/>
    <w:rsid w:val="005249A7"/>
    <w:rsid w:val="00536907"/>
    <w:rsid w:val="00536E5C"/>
    <w:rsid w:val="00543BCC"/>
    <w:rsid w:val="005457AC"/>
    <w:rsid w:val="0054767C"/>
    <w:rsid w:val="00547DFB"/>
    <w:rsid w:val="00553406"/>
    <w:rsid w:val="00572E18"/>
    <w:rsid w:val="00573FB0"/>
    <w:rsid w:val="005768A0"/>
    <w:rsid w:val="00581397"/>
    <w:rsid w:val="005A02FF"/>
    <w:rsid w:val="005A192A"/>
    <w:rsid w:val="005A59F1"/>
    <w:rsid w:val="005B34A1"/>
    <w:rsid w:val="005C3CFD"/>
    <w:rsid w:val="005D60FF"/>
    <w:rsid w:val="005D6F97"/>
    <w:rsid w:val="005E186B"/>
    <w:rsid w:val="0061228E"/>
    <w:rsid w:val="0062602A"/>
    <w:rsid w:val="006369F5"/>
    <w:rsid w:val="00651ED0"/>
    <w:rsid w:val="00655AE7"/>
    <w:rsid w:val="00670997"/>
    <w:rsid w:val="00690A6D"/>
    <w:rsid w:val="006934AE"/>
    <w:rsid w:val="006965DB"/>
    <w:rsid w:val="006A1EBD"/>
    <w:rsid w:val="006A5315"/>
    <w:rsid w:val="006C4EDB"/>
    <w:rsid w:val="006C50AD"/>
    <w:rsid w:val="006E0235"/>
    <w:rsid w:val="006F11E4"/>
    <w:rsid w:val="00710B3F"/>
    <w:rsid w:val="007309DD"/>
    <w:rsid w:val="00730ED6"/>
    <w:rsid w:val="007401B0"/>
    <w:rsid w:val="00743E47"/>
    <w:rsid w:val="00751C42"/>
    <w:rsid w:val="00754C67"/>
    <w:rsid w:val="00762D46"/>
    <w:rsid w:val="0076365A"/>
    <w:rsid w:val="00763DB3"/>
    <w:rsid w:val="00766E0B"/>
    <w:rsid w:val="00770AC6"/>
    <w:rsid w:val="007B2936"/>
    <w:rsid w:val="007B34EA"/>
    <w:rsid w:val="007B4009"/>
    <w:rsid w:val="007B4436"/>
    <w:rsid w:val="007C0311"/>
    <w:rsid w:val="007C050B"/>
    <w:rsid w:val="007D5E4A"/>
    <w:rsid w:val="007D7CBC"/>
    <w:rsid w:val="008422EE"/>
    <w:rsid w:val="0084605E"/>
    <w:rsid w:val="00862A08"/>
    <w:rsid w:val="00866E5D"/>
    <w:rsid w:val="008816AF"/>
    <w:rsid w:val="00883CAF"/>
    <w:rsid w:val="00890351"/>
    <w:rsid w:val="008B236F"/>
    <w:rsid w:val="008D6911"/>
    <w:rsid w:val="008E5443"/>
    <w:rsid w:val="00932263"/>
    <w:rsid w:val="009526A3"/>
    <w:rsid w:val="00957678"/>
    <w:rsid w:val="00966794"/>
    <w:rsid w:val="00971A51"/>
    <w:rsid w:val="0097311E"/>
    <w:rsid w:val="00991F1A"/>
    <w:rsid w:val="009A42F2"/>
    <w:rsid w:val="009A5405"/>
    <w:rsid w:val="009B04AC"/>
    <w:rsid w:val="009D2E6E"/>
    <w:rsid w:val="009E0506"/>
    <w:rsid w:val="009E6465"/>
    <w:rsid w:val="009F0509"/>
    <w:rsid w:val="009F531B"/>
    <w:rsid w:val="00A03EC0"/>
    <w:rsid w:val="00A21422"/>
    <w:rsid w:val="00A247ED"/>
    <w:rsid w:val="00A3522D"/>
    <w:rsid w:val="00A35886"/>
    <w:rsid w:val="00A36E53"/>
    <w:rsid w:val="00A44098"/>
    <w:rsid w:val="00A4461D"/>
    <w:rsid w:val="00A6006C"/>
    <w:rsid w:val="00A60EFF"/>
    <w:rsid w:val="00A768B8"/>
    <w:rsid w:val="00A87F48"/>
    <w:rsid w:val="00A90965"/>
    <w:rsid w:val="00AA41E3"/>
    <w:rsid w:val="00AA5A36"/>
    <w:rsid w:val="00AB1217"/>
    <w:rsid w:val="00AB578D"/>
    <w:rsid w:val="00AB57D4"/>
    <w:rsid w:val="00AC47EB"/>
    <w:rsid w:val="00AC6B8C"/>
    <w:rsid w:val="00AE51F5"/>
    <w:rsid w:val="00AF1C0C"/>
    <w:rsid w:val="00B170CD"/>
    <w:rsid w:val="00B417E6"/>
    <w:rsid w:val="00B460EB"/>
    <w:rsid w:val="00B5089D"/>
    <w:rsid w:val="00B715E0"/>
    <w:rsid w:val="00B77A35"/>
    <w:rsid w:val="00B914EA"/>
    <w:rsid w:val="00BA6F69"/>
    <w:rsid w:val="00BB0037"/>
    <w:rsid w:val="00BC011E"/>
    <w:rsid w:val="00BE2537"/>
    <w:rsid w:val="00BE25E3"/>
    <w:rsid w:val="00BE3951"/>
    <w:rsid w:val="00BE46CC"/>
    <w:rsid w:val="00BE5B56"/>
    <w:rsid w:val="00BF3B2B"/>
    <w:rsid w:val="00C01B43"/>
    <w:rsid w:val="00C02579"/>
    <w:rsid w:val="00C03957"/>
    <w:rsid w:val="00C102C5"/>
    <w:rsid w:val="00C22AD3"/>
    <w:rsid w:val="00C30B52"/>
    <w:rsid w:val="00C330C5"/>
    <w:rsid w:val="00C346FF"/>
    <w:rsid w:val="00C40C90"/>
    <w:rsid w:val="00C57592"/>
    <w:rsid w:val="00C6061E"/>
    <w:rsid w:val="00C74387"/>
    <w:rsid w:val="00C93F3B"/>
    <w:rsid w:val="00CB45C4"/>
    <w:rsid w:val="00CD79B7"/>
    <w:rsid w:val="00CF11A2"/>
    <w:rsid w:val="00D02062"/>
    <w:rsid w:val="00D02A73"/>
    <w:rsid w:val="00D05D52"/>
    <w:rsid w:val="00D278C5"/>
    <w:rsid w:val="00D30AC6"/>
    <w:rsid w:val="00D43632"/>
    <w:rsid w:val="00D5756F"/>
    <w:rsid w:val="00D743F8"/>
    <w:rsid w:val="00D80F8C"/>
    <w:rsid w:val="00D87D1C"/>
    <w:rsid w:val="00D92B42"/>
    <w:rsid w:val="00D971D4"/>
    <w:rsid w:val="00DA50CD"/>
    <w:rsid w:val="00DA5950"/>
    <w:rsid w:val="00DB0F95"/>
    <w:rsid w:val="00DC04CB"/>
    <w:rsid w:val="00DD5DDD"/>
    <w:rsid w:val="00DD681C"/>
    <w:rsid w:val="00DE343C"/>
    <w:rsid w:val="00DE6FA0"/>
    <w:rsid w:val="00DF095F"/>
    <w:rsid w:val="00DF6ACA"/>
    <w:rsid w:val="00E03ADF"/>
    <w:rsid w:val="00E173D9"/>
    <w:rsid w:val="00E22101"/>
    <w:rsid w:val="00E30947"/>
    <w:rsid w:val="00E37592"/>
    <w:rsid w:val="00E4239F"/>
    <w:rsid w:val="00E50B5F"/>
    <w:rsid w:val="00E51D3D"/>
    <w:rsid w:val="00E5605C"/>
    <w:rsid w:val="00E62B96"/>
    <w:rsid w:val="00E65068"/>
    <w:rsid w:val="00E66F48"/>
    <w:rsid w:val="00E71664"/>
    <w:rsid w:val="00EA7485"/>
    <w:rsid w:val="00EA7C33"/>
    <w:rsid w:val="00EB441A"/>
    <w:rsid w:val="00EB5EF2"/>
    <w:rsid w:val="00EC3102"/>
    <w:rsid w:val="00ED6460"/>
    <w:rsid w:val="00EE05A6"/>
    <w:rsid w:val="00EE4B1C"/>
    <w:rsid w:val="00EF7680"/>
    <w:rsid w:val="00F00C09"/>
    <w:rsid w:val="00F00D73"/>
    <w:rsid w:val="00F05CF1"/>
    <w:rsid w:val="00F0661E"/>
    <w:rsid w:val="00F07359"/>
    <w:rsid w:val="00F11A4D"/>
    <w:rsid w:val="00F20A24"/>
    <w:rsid w:val="00F21555"/>
    <w:rsid w:val="00F2770F"/>
    <w:rsid w:val="00F33215"/>
    <w:rsid w:val="00F3588B"/>
    <w:rsid w:val="00F37822"/>
    <w:rsid w:val="00F628D9"/>
    <w:rsid w:val="00F66867"/>
    <w:rsid w:val="00F670F2"/>
    <w:rsid w:val="00F67A74"/>
    <w:rsid w:val="00F80723"/>
    <w:rsid w:val="00F8343F"/>
    <w:rsid w:val="00F83527"/>
    <w:rsid w:val="00F9665C"/>
    <w:rsid w:val="00FB33ED"/>
    <w:rsid w:val="00FB4714"/>
    <w:rsid w:val="00FB60B8"/>
    <w:rsid w:val="00FC2127"/>
    <w:rsid w:val="00FC3A09"/>
    <w:rsid w:val="00FC4BA2"/>
    <w:rsid w:val="00FC5D51"/>
    <w:rsid w:val="00FD0121"/>
    <w:rsid w:val="00FF2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9E6F2"/>
  <w15:chartTrackingRefBased/>
  <w15:docId w15:val="{DCBED085-FCE5-418B-B77B-631122E3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6A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Tytuły,Podsis rysunku,Normalny1,List Paragraph,Normalny2,Normalny3,Normalny4,Akapit z listą1,maz_wyliczenie,opis dzialania,K-P_odwolanie,A_wyliczenie,Akapit z listą5,Akapit z listą51,Normalny11,lp1"/>
    <w:basedOn w:val="Normalny"/>
    <w:link w:val="AkapitzlistZnak"/>
    <w:uiPriority w:val="34"/>
    <w:qFormat/>
    <w:rsid w:val="00162A93"/>
    <w:pPr>
      <w:ind w:left="720"/>
      <w:contextualSpacing/>
    </w:pPr>
  </w:style>
  <w:style w:type="paragraph" w:customStyle="1" w:styleId="Domylnie">
    <w:name w:val="Domyślnie"/>
    <w:rsid w:val="00162A93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maz_wyliczenie Znak,opis dzialania Znak"/>
    <w:link w:val="Akapitzlist"/>
    <w:uiPriority w:val="34"/>
    <w:qFormat/>
    <w:locked/>
    <w:rsid w:val="00164FF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4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FFD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22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5226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252263"/>
    <w:rPr>
      <w:vertAlign w:val="superscript"/>
    </w:rPr>
  </w:style>
  <w:style w:type="table" w:styleId="Tabela-Siatka">
    <w:name w:val="Table Grid"/>
    <w:basedOn w:val="Standardowy"/>
    <w:uiPriority w:val="59"/>
    <w:rsid w:val="002A31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E46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46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46C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6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46CC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96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667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6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794"/>
    <w:rPr>
      <w:rFonts w:ascii="Calibri" w:eastAsia="Calibri" w:hAnsi="Calibri" w:cs="Times New Roman"/>
    </w:rPr>
  </w:style>
  <w:style w:type="paragraph" w:styleId="Tekstpodstawowy">
    <w:name w:val="Body Text"/>
    <w:aliases w:val="body text,UNI-Tekst w tabeli"/>
    <w:basedOn w:val="Normalny"/>
    <w:link w:val="TekstpodstawowyZnak"/>
    <w:rsid w:val="00FC2127"/>
    <w:pPr>
      <w:spacing w:after="120" w:line="240" w:lineRule="auto"/>
    </w:pPr>
    <w:rPr>
      <w:rFonts w:ascii="Arial" w:eastAsia="Times New Roman" w:hAnsi="Arial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FC2127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A5682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4A5682"/>
    <w:pPr>
      <w:spacing w:after="0" w:line="240" w:lineRule="auto"/>
    </w:pPr>
    <w:rPr>
      <w:rFonts w:eastAsiaTheme="minorHAnsi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A5682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2F6B7-2E99-40FC-BEC8-DBEBB79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638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Knapczyk Rafał</dc:creator>
  <cp:keywords/>
  <dc:description/>
  <cp:lastModifiedBy>Ksiondz Dorota (TW)</cp:lastModifiedBy>
  <cp:revision>3</cp:revision>
  <cp:lastPrinted>2017-12-12T13:38:00Z</cp:lastPrinted>
  <dcterms:created xsi:type="dcterms:W3CDTF">2024-11-06T09:33:00Z</dcterms:created>
  <dcterms:modified xsi:type="dcterms:W3CDTF">2024-11-06T12:00:00Z</dcterms:modified>
</cp:coreProperties>
</file>