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428D585E"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2C2C823E" w:rsidR="00FE096E" w:rsidRPr="00754319" w:rsidRDefault="00307818"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eastAsia="en-GB"/>
        </w:rPr>
        <w:drawing>
          <wp:anchor distT="0" distB="0" distL="114300" distR="114300" simplePos="0" relativeHeight="251659264" behindDoc="0" locked="0" layoutInCell="1" allowOverlap="1" wp14:anchorId="6C861E6F" wp14:editId="7C0D6C63">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3A6B0E"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12B83A97" w:rsidR="00B37869" w:rsidRPr="00754319" w:rsidRDefault="00A474E6" w:rsidP="00B72A08">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782CD1" w:rsidRPr="00754319">
              <w:rPr>
                <w:rFonts w:ascii="Arial" w:eastAsia="Calibri" w:hAnsi="Arial" w:cs="Arial"/>
                <w:sz w:val="18"/>
                <w:szCs w:val="18"/>
                <w:lang w:eastAsia="zh-CN"/>
              </w:rPr>
              <w:t>, „C</w:t>
            </w:r>
            <w:r w:rsidR="00715642" w:rsidRPr="00754319">
              <w:rPr>
                <w:rFonts w:ascii="Arial" w:eastAsia="Calibri" w:hAnsi="Arial" w:cs="Arial"/>
                <w:sz w:val="18"/>
                <w:szCs w:val="18"/>
                <w:lang w:eastAsia="zh-CN"/>
              </w:rPr>
              <w:t>ustomer</w:t>
            </w:r>
            <w:r w:rsidR="00782CD1" w:rsidRPr="00754319">
              <w:rPr>
                <w:rFonts w:ascii="Arial" w:eastAsia="Calibri" w:hAnsi="Arial" w:cs="Arial"/>
                <w:sz w:val="18"/>
                <w:szCs w:val="18"/>
                <w:lang w:eastAsia="zh-CN"/>
              </w:rPr>
              <w:t>”</w:t>
            </w:r>
            <w:r w:rsidR="0092480C" w:rsidRPr="00754319">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271E81A7" w14:textId="77777777" w:rsidR="006405B2" w:rsidRPr="00754319" w:rsidRDefault="006405B2"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7B40FDD6" w14:textId="77777777" w:rsidR="006405B2" w:rsidRPr="00754319" w:rsidRDefault="006405B2"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7C507DB0" w14:textId="77777777" w:rsidR="006405B2" w:rsidRPr="00754319" w:rsidRDefault="006405B2"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1C135203" w14:textId="77777777" w:rsidR="006405B2" w:rsidRPr="00754319" w:rsidRDefault="006405B2"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1E941BA9" w:rsidR="00715642" w:rsidRPr="00754319" w:rsidRDefault="00715642" w:rsidP="00715642">
            <w:pPr>
              <w:rPr>
                <w:rFonts w:ascii="Arial" w:hAnsi="Arial" w:cs="Arial"/>
                <w:sz w:val="18"/>
                <w:szCs w:val="18"/>
              </w:rPr>
            </w:pPr>
            <w:r w:rsidRPr="00754319">
              <w:rPr>
                <w:rFonts w:ascii="Arial" w:hAnsi="Arial" w:cs="Arial"/>
                <w:sz w:val="18"/>
                <w:szCs w:val="18"/>
              </w:rPr>
              <w:t xml:space="preserve">   The state of registration</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7F6CCB0C" w:rsidR="00715642" w:rsidRPr="00754319" w:rsidRDefault="00715642" w:rsidP="00BB191D">
            <w:pPr>
              <w:rPr>
                <w:rFonts w:ascii="Arial" w:hAnsi="Arial" w:cs="Arial"/>
                <w:sz w:val="18"/>
                <w:szCs w:val="18"/>
              </w:rPr>
            </w:pPr>
            <w:r w:rsidRPr="00754319">
              <w:rPr>
                <w:rFonts w:ascii="Arial" w:hAnsi="Arial" w:cs="Arial"/>
                <w:sz w:val="18"/>
                <w:szCs w:val="18"/>
              </w:rPr>
              <w:t xml:space="preserve">   The name of relevant register</w:t>
            </w:r>
            <w:r w:rsidR="002705AC">
              <w:rPr>
                <w:rFonts w:ascii="Arial" w:hAnsi="Arial" w:cs="Arial"/>
                <w:sz w:val="18"/>
                <w:szCs w:val="18"/>
              </w:rPr>
              <w:t xml:space="preserve"> (</w:t>
            </w:r>
            <w:proofErr w:type="spellStart"/>
            <w:r w:rsidR="002705AC">
              <w:rPr>
                <w:rFonts w:ascii="Arial" w:hAnsi="Arial" w:cs="Arial"/>
                <w:sz w:val="18"/>
                <w:szCs w:val="18"/>
              </w:rPr>
              <w:t>eg</w:t>
            </w:r>
            <w:proofErr w:type="spellEnd"/>
            <w:r w:rsidR="002705AC">
              <w:rPr>
                <w:rFonts w:ascii="Arial" w:hAnsi="Arial" w:cs="Arial"/>
                <w:sz w:val="18"/>
                <w:szCs w:val="18"/>
              </w:rPr>
              <w:t>. commercial register)</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09A81743" w:rsidR="00715642" w:rsidRPr="00754319" w:rsidRDefault="00715642" w:rsidP="00715642">
            <w:pPr>
              <w:rPr>
                <w:sz w:val="18"/>
                <w:szCs w:val="18"/>
              </w:rPr>
            </w:pPr>
            <w:r w:rsidRPr="00754319">
              <w:rPr>
                <w:rFonts w:ascii="Arial" w:hAnsi="Arial" w:cs="Arial"/>
                <w:sz w:val="18"/>
                <w:szCs w:val="18"/>
              </w:rPr>
              <w:t xml:space="preserve">   The number and date of registration</w:t>
            </w:r>
          </w:p>
        </w:tc>
        <w:tc>
          <w:tcPr>
            <w:tcW w:w="4872" w:type="dxa"/>
            <w:vAlign w:val="center"/>
          </w:tcPr>
          <w:p w14:paraId="42A16B6D" w14:textId="77777777" w:rsidR="00715642" w:rsidRPr="00754319" w:rsidRDefault="00715642"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B757C2"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B757C2"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0C4BC402"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I, the undersigned, hereby represent that I have read the information clause included as Annex 1 on the processing of my personal data contained in this statement by ORLEN S.A. (hereinafter: ORLEN S.A.). I undertake to transfer on behalf of  ORLEN S.A.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754319" w:rsidRDefault="00E73D52" w:rsidP="00E72AC8">
      <w:pPr>
        <w:suppressAutoHyphens/>
        <w:spacing w:after="0" w:line="276" w:lineRule="auto"/>
        <w:rPr>
          <w:rFonts w:ascii="Arial" w:eastAsia="Calibri" w:hAnsi="Arial" w:cs="Arial"/>
          <w:sz w:val="18"/>
          <w:szCs w:val="18"/>
          <w:u w:val="single"/>
          <w:lang w:eastAsia="zh-CN"/>
        </w:rPr>
      </w:pPr>
      <w:r w:rsidRPr="00754319">
        <w:rPr>
          <w:rFonts w:ascii="Arial" w:eastAsia="Calibri" w:hAnsi="Arial" w:cs="Arial"/>
          <w:i/>
          <w:sz w:val="18"/>
          <w:szCs w:val="18"/>
          <w:lang w:eastAsia="zh-CN"/>
        </w:rPr>
        <w:t>*</w:t>
      </w:r>
      <w:r w:rsidRPr="00754319">
        <w:rPr>
          <w:sz w:val="18"/>
          <w:szCs w:val="18"/>
        </w:rPr>
        <w:t xml:space="preserve"> </w:t>
      </w:r>
      <w:r w:rsidRPr="00754319">
        <w:rPr>
          <w:rFonts w:ascii="Arial" w:eastAsia="Calibri" w:hAnsi="Arial" w:cs="Arial"/>
          <w:i/>
          <w:sz w:val="18"/>
          <w:szCs w:val="18"/>
          <w:lang w:eastAsia="zh-CN"/>
        </w:rPr>
        <w:t>Delete as necessary</w:t>
      </w:r>
      <w:r w:rsidRPr="00754319" w:rsidDel="00E73D52">
        <w:rPr>
          <w:rFonts w:ascii="Arial" w:eastAsia="Calibri" w:hAnsi="Arial" w:cs="Arial"/>
          <w:i/>
          <w:sz w:val="18"/>
          <w:szCs w:val="18"/>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375CF0B5" w14:textId="038B10CC" w:rsidR="00FA1C35" w:rsidRPr="00754319" w:rsidRDefault="00FA1C35" w:rsidP="00E72AC8">
      <w:pPr>
        <w:suppressAutoHyphens/>
        <w:spacing w:after="0" w:line="276" w:lineRule="auto"/>
        <w:rPr>
          <w:rFonts w:ascii="Arial" w:eastAsia="Calibri" w:hAnsi="Arial" w:cs="Arial"/>
          <w:sz w:val="18"/>
          <w:szCs w:val="18"/>
          <w:u w:val="single"/>
          <w:lang w:eastAsia="zh-CN"/>
        </w:rPr>
      </w:pPr>
    </w:p>
    <w:p w14:paraId="091008B3" w14:textId="77777777" w:rsidR="00FA1C35" w:rsidRPr="00754319" w:rsidRDefault="00FA1C35" w:rsidP="00E72AC8">
      <w:pPr>
        <w:suppressAutoHyphens/>
        <w:spacing w:after="0" w:line="276" w:lineRule="auto"/>
        <w:rPr>
          <w:rFonts w:ascii="Arial" w:eastAsia="Calibri" w:hAnsi="Arial" w:cs="Arial"/>
          <w:b/>
          <w:i/>
          <w:sz w:val="18"/>
          <w:szCs w:val="18"/>
          <w:u w:val="single"/>
          <w:lang w:eastAsia="zh-CN"/>
        </w:rPr>
      </w:pPr>
    </w:p>
    <w:p w14:paraId="19A577EA" w14:textId="77777777" w:rsidR="00602657" w:rsidRPr="00754319" w:rsidRDefault="00602657" w:rsidP="008B1F4B">
      <w:pPr>
        <w:ind w:left="4320"/>
        <w:rPr>
          <w:rFonts w:ascii="Arial" w:eastAsia="Calibri" w:hAnsi="Arial" w:cs="Arial"/>
          <w:b/>
          <w:i/>
          <w:sz w:val="18"/>
          <w:szCs w:val="18"/>
          <w:u w:val="single"/>
          <w:lang w:eastAsia="zh-CN"/>
        </w:rPr>
      </w:pP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754319">
        <w:rPr>
          <w:sz w:val="16"/>
          <w:szCs w:val="16"/>
        </w:rPr>
        <w:t xml:space="preserve">Information clause </w:t>
      </w:r>
    </w:p>
    <w:bookmarkEnd w:id="13"/>
    <w:bookmarkEnd w:id="14"/>
    <w:bookmarkEnd w:id="15"/>
    <w:p w14:paraId="7BCE0784" w14:textId="65775D0A"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ORLEN S.A. with its registered office in </w:t>
      </w:r>
      <w:proofErr w:type="spellStart"/>
      <w:r w:rsidRPr="00754319">
        <w:rPr>
          <w:rFonts w:ascii="Arial" w:hAnsi="Arial" w:cs="Arial"/>
          <w:sz w:val="16"/>
          <w:szCs w:val="16"/>
        </w:rPr>
        <w:t>Płock</w:t>
      </w:r>
      <w:proofErr w:type="spellEnd"/>
      <w:r w:rsidRPr="00754319">
        <w:rPr>
          <w:rFonts w:ascii="Arial" w:hAnsi="Arial" w:cs="Arial"/>
          <w:sz w:val="16"/>
          <w:szCs w:val="16"/>
        </w:rPr>
        <w:t xml:space="preserve">, </w:t>
      </w:r>
      <w:proofErr w:type="spellStart"/>
      <w:r w:rsidRPr="00754319">
        <w:rPr>
          <w:rFonts w:ascii="Arial" w:hAnsi="Arial" w:cs="Arial"/>
          <w:sz w:val="16"/>
          <w:szCs w:val="16"/>
        </w:rPr>
        <w:t>ul</w:t>
      </w:r>
      <w:proofErr w:type="spellEnd"/>
      <w:r w:rsidRPr="00754319">
        <w:rPr>
          <w:rFonts w:ascii="Arial" w:hAnsi="Arial" w:cs="Arial"/>
          <w:sz w:val="16"/>
          <w:szCs w:val="16"/>
        </w:rPr>
        <w:t xml:space="preserve">. </w:t>
      </w:r>
      <w:proofErr w:type="spellStart"/>
      <w:r w:rsidRPr="00754319">
        <w:rPr>
          <w:rFonts w:ascii="Arial" w:hAnsi="Arial" w:cs="Arial"/>
          <w:sz w:val="16"/>
          <w:szCs w:val="16"/>
        </w:rPr>
        <w:t>Chemików</w:t>
      </w:r>
      <w:proofErr w:type="spellEnd"/>
      <w:r w:rsidRPr="00754319">
        <w:rPr>
          <w:rFonts w:ascii="Arial" w:hAnsi="Arial" w:cs="Arial"/>
          <w:sz w:val="16"/>
          <w:szCs w:val="16"/>
        </w:rPr>
        <w:t xml:space="preserve"> 7 (“ORLEN S.A.”) hereby informs that </w:t>
      </w:r>
      <w:r w:rsidR="00397FF8" w:rsidRPr="00754319">
        <w:rPr>
          <w:rFonts w:ascii="Arial" w:hAnsi="Arial" w:cs="Arial"/>
          <w:sz w:val="16"/>
          <w:szCs w:val="16"/>
        </w:rPr>
        <w:t>is</w:t>
      </w:r>
      <w:r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256ECAF8"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w:t>
      </w:r>
      <w:r w:rsidR="00E43812">
        <w:rPr>
          <w:rFonts w:ascii="Arial" w:hAnsi="Arial" w:cs="Arial"/>
          <w:sz w:val="16"/>
          <w:szCs w:val="16"/>
        </w:rPr>
        <w:t xml:space="preserve"> the Data Protection Officer in</w:t>
      </w:r>
      <w:r w:rsidRPr="00754319">
        <w:rPr>
          <w:rFonts w:ascii="Arial" w:hAnsi="Arial" w:cs="Arial"/>
          <w:sz w:val="16"/>
          <w:szCs w:val="16"/>
        </w:rPr>
        <w:t xml:space="preserve"> ORLEN S.A.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of the registered office of ORLEN S.A.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04F45302"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of ORLEN S.A.,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5FC1FE1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verification of the correctness and timeliness of your data and your reliability in order to protect the </w:t>
      </w:r>
      <w:r w:rsidR="00E43812">
        <w:rPr>
          <w:rFonts w:ascii="Arial" w:hAnsi="Arial" w:cs="Arial"/>
          <w:sz w:val="16"/>
          <w:szCs w:val="16"/>
        </w:rPr>
        <w:t>economic and legal interests of</w:t>
      </w:r>
      <w:r w:rsidRPr="00754319">
        <w:rPr>
          <w:rFonts w:ascii="Arial" w:hAnsi="Arial" w:cs="Arial"/>
          <w:sz w:val="16"/>
          <w:szCs w:val="16"/>
        </w:rPr>
        <w:t xml:space="preserve"> ORLEN S.A.,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464DE59F"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w:t>
      </w:r>
      <w:r w:rsidR="00E43812">
        <w:rPr>
          <w:rFonts w:ascii="Arial" w:hAnsi="Arial" w:cs="Arial"/>
          <w:sz w:val="16"/>
          <w:szCs w:val="16"/>
        </w:rPr>
        <w:t xml:space="preserve">l grounds for the processing by </w:t>
      </w:r>
      <w:r w:rsidRPr="00754319">
        <w:rPr>
          <w:rFonts w:ascii="Arial" w:hAnsi="Arial" w:cs="Arial"/>
          <w:sz w:val="16"/>
          <w:szCs w:val="16"/>
        </w:rPr>
        <w:t>ORLEN S.A.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0259C35D"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S.A. for the purposes defined item 3 point b,</w:t>
      </w:r>
    </w:p>
    <w:p w14:paraId="10493F29" w14:textId="72D2E506"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legitimate interest of ORLEN S.A. (in compliance with Article 6(1)(f) of the GDPR) for the purposes defined item 3 point c </w:t>
      </w:r>
      <w:r w:rsidR="00E43812">
        <w:rPr>
          <w:rFonts w:ascii="Arial" w:hAnsi="Arial" w:cs="Arial"/>
          <w:sz w:val="16"/>
          <w:szCs w:val="16"/>
        </w:rPr>
        <w:t>and d i.e. ensuring security of</w:t>
      </w:r>
      <w:r w:rsidRPr="00754319">
        <w:rPr>
          <w:rFonts w:ascii="Arial" w:hAnsi="Arial" w:cs="Arial"/>
          <w:sz w:val="16"/>
          <w:szCs w:val="16"/>
        </w:rPr>
        <w:t xml:space="preserve"> ORLEN S.A.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33FD5412"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submitted to ORLEN S.A.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entity providing services to ORLEN S.A.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C5A06FD"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S.A.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w:t>
      </w:r>
      <w:r w:rsidR="00E43812">
        <w:rPr>
          <w:rFonts w:ascii="Arial" w:hAnsi="Arial" w:cs="Arial"/>
          <w:sz w:val="16"/>
          <w:szCs w:val="16"/>
        </w:rPr>
        <w:t xml:space="preserve"> point 3, to companies from the </w:t>
      </w:r>
      <w:r w:rsidRPr="00754319">
        <w:rPr>
          <w:rFonts w:ascii="Arial" w:hAnsi="Arial" w:cs="Arial"/>
          <w:sz w:val="16"/>
          <w:szCs w:val="16"/>
        </w:rPr>
        <w:t>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CB56F5"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the right to object, in the event your personal data are processed by</w:t>
      </w:r>
      <w:r w:rsidR="00E43812">
        <w:t xml:space="preserve"> </w:t>
      </w:r>
      <w:bookmarkStart w:id="16" w:name="_GoBack"/>
      <w:bookmarkEnd w:id="16"/>
      <w:r w:rsidRPr="00754319">
        <w:t xml:space="preserve">ORLEN S.A.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77777777" w:rsidR="00F37DA6" w:rsidRPr="00754319" w:rsidRDefault="00F37DA6"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39A6E751" w:rsidR="0029519F" w:rsidRPr="00754319" w:rsidRDefault="00B80BF6" w:rsidP="0029519F">
      <w:pPr>
        <w:suppressAutoHyphens/>
        <w:contextualSpacing/>
        <w:jc w:val="both"/>
        <w:rPr>
          <w:rFonts w:ascii="Arial" w:eastAsia="Calibri" w:hAnsi="Arial" w:cs="Arial"/>
          <w:sz w:val="16"/>
          <w:szCs w:val="16"/>
          <w:lang w:eastAsia="zh-CN"/>
        </w:rPr>
      </w:pPr>
      <w:r w:rsidRPr="00754319">
        <w:rPr>
          <w:rFonts w:ascii="Arial" w:eastAsia="Calibri" w:hAnsi="Arial" w:cs="Arial"/>
          <w:sz w:val="16"/>
          <w:szCs w:val="16"/>
          <w:lang w:eastAsia="zh-CN"/>
        </w:rPr>
        <w:t>Due t</w:t>
      </w:r>
      <w:r w:rsidR="008B1F4B" w:rsidRPr="00754319">
        <w:rPr>
          <w:rFonts w:ascii="Arial" w:eastAsia="Calibri" w:hAnsi="Arial" w:cs="Arial"/>
          <w:sz w:val="16"/>
          <w:szCs w:val="16"/>
          <w:lang w:eastAsia="zh-CN"/>
        </w:rPr>
        <w:t xml:space="preserve">o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money laundering and terrorist financing (</w:t>
      </w:r>
      <w:r w:rsidR="00A60D5E" w:rsidRPr="00754319">
        <w:rPr>
          <w:rFonts w:ascii="Arial" w:eastAsia="Calibri" w:hAnsi="Arial" w:cs="Arial"/>
          <w:sz w:val="16"/>
          <w:szCs w:val="16"/>
          <w:lang w:eastAsia="zh-CN"/>
        </w:rPr>
        <w:t xml:space="preserve">Polish </w:t>
      </w:r>
      <w:r w:rsidRPr="00754319">
        <w:rPr>
          <w:rFonts w:ascii="Arial" w:eastAsia="Calibri" w:hAnsi="Arial" w:cs="Arial"/>
          <w:sz w:val="16"/>
          <w:szCs w:val="16"/>
          <w:lang w:eastAsia="zh-CN"/>
        </w:rPr>
        <w:t>act</w:t>
      </w:r>
      <w:r w:rsidR="00C8471D" w:rsidRPr="00754319">
        <w:rPr>
          <w:rFonts w:ascii="Arial" w:eastAsia="Calibri" w:hAnsi="Arial" w:cs="Arial"/>
          <w:sz w:val="16"/>
          <w:szCs w:val="16"/>
          <w:lang w:eastAsia="zh-CN"/>
        </w:rPr>
        <w:t>)</w:t>
      </w:r>
      <w:r w:rsidRPr="00754319">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57B76B3A"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September 1994 (Journal of Laws of 2021, item 217),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778B69C7" w14:textId="67F60848"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founder</w:t>
      </w:r>
      <w:r w:rsidR="006E49DF" w:rsidRPr="00754319">
        <w:rPr>
          <w:rFonts w:ascii="Arial" w:eastAsia="Calibri" w:hAnsi="Arial" w:cs="Arial"/>
          <w:sz w:val="16"/>
          <w:szCs w:val="16"/>
          <w:lang w:eastAsia="zh-CN"/>
        </w:rPr>
        <w:t>,</w:t>
      </w:r>
    </w:p>
    <w:p w14:paraId="3A65EF41" w14:textId="64A8AE3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trustee</w:t>
      </w:r>
      <w:r w:rsidR="006E49DF" w:rsidRPr="00754319">
        <w:rPr>
          <w:rFonts w:ascii="Arial" w:eastAsia="Calibri" w:hAnsi="Arial" w:cs="Arial"/>
          <w:sz w:val="16"/>
          <w:szCs w:val="16"/>
          <w:lang w:eastAsia="zh-CN"/>
        </w:rPr>
        <w:t>,</w:t>
      </w:r>
    </w:p>
    <w:p w14:paraId="7398631B" w14:textId="74730C54"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supervisor, </w:t>
      </w:r>
      <w:r w:rsidR="008C2E94" w:rsidRPr="00754319">
        <w:rPr>
          <w:rFonts w:ascii="Arial" w:eastAsia="Calibri" w:hAnsi="Arial" w:cs="Arial"/>
          <w:sz w:val="16"/>
          <w:szCs w:val="16"/>
          <w:lang w:eastAsia="zh-CN"/>
        </w:rPr>
        <w:t xml:space="preserve">if </w:t>
      </w:r>
      <w:r w:rsidRPr="00754319">
        <w:rPr>
          <w:rFonts w:ascii="Arial" w:eastAsia="Calibri" w:hAnsi="Arial" w:cs="Arial"/>
          <w:sz w:val="16"/>
          <w:szCs w:val="16"/>
          <w:lang w:eastAsia="zh-CN"/>
        </w:rPr>
        <w:t>established</w:t>
      </w:r>
      <w:r w:rsidR="006E49DF" w:rsidRPr="00754319">
        <w:rPr>
          <w:rFonts w:ascii="Arial" w:eastAsia="Calibri" w:hAnsi="Arial" w:cs="Arial"/>
          <w:sz w:val="16"/>
          <w:szCs w:val="16"/>
          <w:lang w:eastAsia="zh-CN"/>
        </w:rPr>
        <w:t>,</w:t>
      </w:r>
    </w:p>
    <w:p w14:paraId="381F027D" w14:textId="7815B1E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a </w:t>
      </w:r>
      <w:r w:rsidR="0071690D" w:rsidRPr="00754319">
        <w:rPr>
          <w:rFonts w:ascii="Arial" w:eastAsia="Calibri" w:hAnsi="Arial" w:cs="Arial"/>
          <w:sz w:val="16"/>
          <w:szCs w:val="16"/>
          <w:lang w:eastAsia="zh-CN"/>
        </w:rPr>
        <w:t>beneficiar</w:t>
      </w:r>
      <w:r w:rsidR="008E7E0B" w:rsidRPr="00754319">
        <w:rPr>
          <w:rFonts w:ascii="Arial" w:eastAsia="Calibri" w:hAnsi="Arial" w:cs="Arial"/>
          <w:sz w:val="16"/>
          <w:szCs w:val="16"/>
          <w:lang w:eastAsia="zh-CN"/>
        </w:rPr>
        <w:t>y</w:t>
      </w:r>
      <w:r w:rsidR="0071690D" w:rsidRPr="00754319">
        <w:rPr>
          <w:rFonts w:ascii="Arial" w:eastAsia="Calibri" w:hAnsi="Arial" w:cs="Arial"/>
          <w:sz w:val="16"/>
          <w:szCs w:val="16"/>
          <w:lang w:eastAsia="zh-CN"/>
        </w:rPr>
        <w:t xml:space="preserve"> or</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where </w:t>
      </w:r>
      <w:r w:rsidR="008E7E0B"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natural persons benefiting from the trust have not yet </w:t>
      </w:r>
      <w:r w:rsidR="008C2E94" w:rsidRPr="00754319">
        <w:rPr>
          <w:rFonts w:ascii="Arial" w:eastAsia="Calibri" w:hAnsi="Arial" w:cs="Arial"/>
          <w:sz w:val="16"/>
          <w:szCs w:val="16"/>
          <w:lang w:eastAsia="zh-CN"/>
        </w:rPr>
        <w:t>to be</w:t>
      </w:r>
      <w:r w:rsidR="0071690D" w:rsidRPr="00754319">
        <w:rPr>
          <w:rFonts w:ascii="Arial" w:eastAsia="Calibri" w:hAnsi="Arial" w:cs="Arial"/>
          <w:sz w:val="16"/>
          <w:szCs w:val="16"/>
          <w:lang w:eastAsia="zh-CN"/>
        </w:rPr>
        <w:t xml:space="preserve"> determined</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 the group of persons in whose </w:t>
      </w:r>
      <w:r w:rsidR="008C2E94" w:rsidRPr="00754319">
        <w:rPr>
          <w:rFonts w:ascii="Arial" w:eastAsia="Calibri" w:hAnsi="Arial" w:cs="Arial"/>
          <w:sz w:val="16"/>
          <w:szCs w:val="16"/>
          <w:lang w:eastAsia="zh-CN"/>
        </w:rPr>
        <w:t xml:space="preserve">main </w:t>
      </w:r>
      <w:r w:rsidR="00FC4B48" w:rsidRPr="00754319">
        <w:rPr>
          <w:rFonts w:ascii="Arial" w:eastAsia="Calibri" w:hAnsi="Arial" w:cs="Arial"/>
          <w:sz w:val="16"/>
          <w:szCs w:val="16"/>
          <w:lang w:eastAsia="zh-CN"/>
        </w:rPr>
        <w:t xml:space="preserve">benefit </w:t>
      </w:r>
      <w:r w:rsidR="0071690D" w:rsidRPr="00754319">
        <w:rPr>
          <w:rFonts w:ascii="Arial" w:eastAsia="Calibri" w:hAnsi="Arial" w:cs="Arial"/>
          <w:sz w:val="16"/>
          <w:szCs w:val="16"/>
          <w:lang w:eastAsia="zh-CN"/>
        </w:rPr>
        <w:t xml:space="preserve">the </w:t>
      </w:r>
      <w:r w:rsidR="008E7E0B" w:rsidRPr="00754319">
        <w:rPr>
          <w:rFonts w:ascii="Arial" w:eastAsia="Calibri" w:hAnsi="Arial" w:cs="Arial"/>
          <w:sz w:val="16"/>
          <w:szCs w:val="16"/>
          <w:lang w:eastAsia="zh-CN"/>
        </w:rPr>
        <w:t xml:space="preserve">trust </w:t>
      </w:r>
      <w:r w:rsidR="00FC4B48" w:rsidRPr="00754319">
        <w:rPr>
          <w:rFonts w:ascii="Arial" w:eastAsia="Calibri" w:hAnsi="Arial" w:cs="Arial"/>
          <w:sz w:val="16"/>
          <w:szCs w:val="16"/>
          <w:lang w:eastAsia="zh-CN"/>
        </w:rPr>
        <w:t xml:space="preserve">were established </w:t>
      </w:r>
      <w:r w:rsidR="0071690D" w:rsidRPr="00754319">
        <w:rPr>
          <w:rFonts w:ascii="Arial" w:eastAsia="Calibri" w:hAnsi="Arial" w:cs="Arial"/>
          <w:sz w:val="16"/>
          <w:szCs w:val="16"/>
          <w:lang w:eastAsia="zh-CN"/>
        </w:rPr>
        <w:t>or operates</w:t>
      </w:r>
      <w:r w:rsidR="006E49DF" w:rsidRPr="00754319">
        <w:rPr>
          <w:rFonts w:ascii="Arial" w:eastAsia="Calibri" w:hAnsi="Arial" w:cs="Arial"/>
          <w:sz w:val="16"/>
          <w:szCs w:val="16"/>
          <w:lang w:eastAsia="zh-CN"/>
        </w:rPr>
        <w:t>,</w:t>
      </w:r>
    </w:p>
    <w:p w14:paraId="18AF3CAB" w14:textId="0D841698" w:rsidR="00601750" w:rsidRPr="00754319" w:rsidRDefault="0071690D"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C65E8A">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 </w:t>
      </w:r>
      <w:r w:rsidR="00842027" w:rsidRPr="00754319">
        <w:rPr>
          <w:rFonts w:ascii="Arial" w:eastAsia="Calibri" w:hAnsi="Arial" w:cs="Arial"/>
          <w:sz w:val="16"/>
          <w:szCs w:val="16"/>
          <w:lang w:eastAsia="zh-CN"/>
        </w:rPr>
        <w:t xml:space="preserve">exercising </w:t>
      </w:r>
      <w:r w:rsidRPr="00754319">
        <w:rPr>
          <w:rFonts w:ascii="Arial" w:eastAsia="Calibri" w:hAnsi="Arial" w:cs="Arial"/>
          <w:sz w:val="16"/>
          <w:szCs w:val="16"/>
          <w:lang w:eastAsia="zh-CN"/>
        </w:rPr>
        <w:t>control o</w:t>
      </w:r>
      <w:r w:rsidR="00842027" w:rsidRPr="00754319">
        <w:rPr>
          <w:rFonts w:ascii="Arial" w:eastAsia="Calibri" w:hAnsi="Arial" w:cs="Arial"/>
          <w:sz w:val="16"/>
          <w:szCs w:val="16"/>
          <w:lang w:eastAsia="zh-CN"/>
        </w:rPr>
        <w:t>ver</w:t>
      </w:r>
      <w:r w:rsidRPr="00754319">
        <w:rPr>
          <w:rFonts w:ascii="Arial" w:eastAsia="Calibri" w:hAnsi="Arial" w:cs="Arial"/>
          <w:sz w:val="16"/>
          <w:szCs w:val="16"/>
          <w:lang w:eastAsia="zh-CN"/>
        </w:rPr>
        <w:t xml:space="preserve"> the </w:t>
      </w:r>
      <w:r w:rsidR="008E7E0B" w:rsidRPr="00754319">
        <w:rPr>
          <w:rFonts w:ascii="Arial" w:eastAsia="Calibri" w:hAnsi="Arial" w:cs="Arial"/>
          <w:sz w:val="16"/>
          <w:szCs w:val="16"/>
          <w:lang w:eastAsia="zh-CN"/>
        </w:rPr>
        <w:t>trust,</w:t>
      </w:r>
    </w:p>
    <w:p w14:paraId="15B73BFF" w14:textId="642BB060" w:rsidR="006273C7" w:rsidRPr="00754319" w:rsidRDefault="00842027"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71690D" w:rsidRPr="00754319">
        <w:rPr>
          <w:rFonts w:ascii="Arial" w:eastAsia="Calibri" w:hAnsi="Arial" w:cs="Arial"/>
          <w:sz w:val="16"/>
          <w:szCs w:val="16"/>
          <w:lang w:eastAsia="zh-CN"/>
        </w:rPr>
        <w:t xml:space="preserve">natural person having powers or performing duties equivalent to </w:t>
      </w:r>
      <w:r w:rsidR="008E7E0B" w:rsidRPr="00754319">
        <w:rPr>
          <w:rFonts w:ascii="Arial" w:eastAsia="Calibri" w:hAnsi="Arial" w:cs="Arial"/>
          <w:sz w:val="16"/>
          <w:szCs w:val="16"/>
          <w:lang w:eastAsia="zh-CN"/>
        </w:rPr>
        <w:t xml:space="preserve">defined </w:t>
      </w:r>
      <w:r w:rsidR="0071690D" w:rsidRPr="00754319">
        <w:rPr>
          <w:rFonts w:ascii="Arial" w:eastAsia="Calibri" w:hAnsi="Arial" w:cs="Arial"/>
          <w:sz w:val="16"/>
          <w:szCs w:val="16"/>
          <w:lang w:eastAsia="zh-CN"/>
        </w:rPr>
        <w:t xml:space="preserve">in the first </w:t>
      </w:r>
      <w:r w:rsidR="008E7E0B" w:rsidRPr="00754319">
        <w:rPr>
          <w:rFonts w:ascii="Arial" w:eastAsia="Calibri" w:hAnsi="Arial" w:cs="Arial"/>
          <w:sz w:val="16"/>
          <w:szCs w:val="16"/>
          <w:lang w:eastAsia="zh-CN"/>
        </w:rPr>
        <w:t xml:space="preserve">- the </w:t>
      </w:r>
      <w:r w:rsidR="0071690D" w:rsidRPr="00754319">
        <w:rPr>
          <w:rFonts w:ascii="Arial" w:eastAsia="Calibri" w:hAnsi="Arial" w:cs="Arial"/>
          <w:sz w:val="16"/>
          <w:szCs w:val="16"/>
          <w:lang w:eastAsia="zh-CN"/>
        </w:rPr>
        <w:t>fifth indent</w:t>
      </w:r>
      <w:r w:rsidR="00601750" w:rsidRPr="00754319">
        <w:rPr>
          <w:rFonts w:ascii="Arial" w:eastAsia="Calibri" w:hAnsi="Arial" w:cs="Arial"/>
          <w:sz w:val="16"/>
          <w:szCs w:val="16"/>
          <w:lang w:eastAsia="zh-CN"/>
        </w:rPr>
        <w:t>.</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5021D" w14:textId="77777777" w:rsidR="00B757C2" w:rsidRDefault="00B757C2" w:rsidP="00F13581">
      <w:pPr>
        <w:spacing w:after="0"/>
      </w:pPr>
      <w:r>
        <w:separator/>
      </w:r>
    </w:p>
  </w:endnote>
  <w:endnote w:type="continuationSeparator" w:id="0">
    <w:p w14:paraId="338C5725" w14:textId="77777777" w:rsidR="00B757C2" w:rsidRDefault="00B757C2"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2521F557" w:rsidR="00754319" w:rsidRDefault="00754319">
        <w:pPr>
          <w:pStyle w:val="Stopka"/>
          <w:jc w:val="right"/>
        </w:pPr>
        <w:r>
          <w:fldChar w:fldCharType="begin"/>
        </w:r>
        <w:r>
          <w:instrText>PAGE   \* MERGEFORMAT</w:instrText>
        </w:r>
        <w:r>
          <w:fldChar w:fldCharType="separate"/>
        </w:r>
        <w:r w:rsidR="00E43812" w:rsidRPr="00E43812">
          <w:rPr>
            <w:noProof/>
            <w:lang w:val="pl-PL"/>
          </w:rPr>
          <w:t>3</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ECE9A" w14:textId="77777777" w:rsidR="00B757C2" w:rsidRDefault="00B757C2" w:rsidP="00F13581">
      <w:pPr>
        <w:spacing w:after="0"/>
      </w:pPr>
      <w:r>
        <w:separator/>
      </w:r>
    </w:p>
  </w:footnote>
  <w:footnote w:type="continuationSeparator" w:id="0">
    <w:p w14:paraId="278F1DDE" w14:textId="77777777" w:rsidR="00B757C2" w:rsidRDefault="00B757C2"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5CF5"/>
    <w:rsid w:val="003A6B0E"/>
    <w:rsid w:val="003B0FF5"/>
    <w:rsid w:val="003B1299"/>
    <w:rsid w:val="003C1526"/>
    <w:rsid w:val="003C1E93"/>
    <w:rsid w:val="003C2050"/>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314E2"/>
    <w:rsid w:val="008350BA"/>
    <w:rsid w:val="008371EA"/>
    <w:rsid w:val="0084146F"/>
    <w:rsid w:val="00842027"/>
    <w:rsid w:val="00846118"/>
    <w:rsid w:val="00846F94"/>
    <w:rsid w:val="0085294F"/>
    <w:rsid w:val="00852CC1"/>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757C2"/>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1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2B720-CCE3-4C92-9A46-AD28D4CF8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1555</Words>
  <Characters>8864</Characters>
  <Application>Microsoft Office Word</Application>
  <DocSecurity>0</DocSecurity>
  <Lines>73</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Księżopolska Anna (PKN)</cp:lastModifiedBy>
  <cp:revision>3</cp:revision>
  <cp:lastPrinted>2019-10-07T11:20:00Z</cp:lastPrinted>
  <dcterms:created xsi:type="dcterms:W3CDTF">2021-10-29T09:27:00Z</dcterms:created>
  <dcterms:modified xsi:type="dcterms:W3CDTF">2023-07-05T12:01:00Z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