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B16CA" w14:textId="59EF4FEA" w:rsidR="008F0E69" w:rsidRPr="007E0AB3" w:rsidRDefault="007E0AB3" w:rsidP="007E0AB3">
      <w:pPr>
        <w:jc w:val="center"/>
        <w:rPr>
          <w:rFonts w:asciiTheme="minorHAnsi" w:hAnsiTheme="minorHAnsi" w:cstheme="minorHAnsi"/>
          <w:spacing w:val="-4"/>
          <w:sz w:val="20"/>
        </w:rPr>
      </w:pPr>
      <w:r>
        <w:rPr>
          <w:rFonts w:asciiTheme="minorHAnsi" w:hAnsiTheme="minorHAnsi" w:cstheme="minorHAnsi"/>
          <w:spacing w:val="-4"/>
          <w:sz w:val="20"/>
        </w:rPr>
        <w:t>…..</w:t>
      </w:r>
      <w:r w:rsidR="001004BF" w:rsidRPr="007E0AB3">
        <w:rPr>
          <w:rFonts w:asciiTheme="minorHAnsi" w:hAnsiTheme="minorHAnsi" w:cstheme="minorHAnsi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31A85988" w:rsidR="008F0E69" w:rsidRPr="007E0AB3" w:rsidRDefault="00D67B0D" w:rsidP="003B2711">
      <w:pPr>
        <w:jc w:val="center"/>
        <w:rPr>
          <w:rFonts w:asciiTheme="minorHAnsi" w:hAnsiTheme="minorHAnsi" w:cstheme="minorHAnsi"/>
          <w:i/>
          <w:spacing w:val="-4"/>
          <w:sz w:val="16"/>
        </w:rPr>
      </w:pPr>
      <w:r w:rsidRPr="007E0AB3">
        <w:rPr>
          <w:rFonts w:asciiTheme="minorHAnsi" w:hAnsiTheme="minorHAnsi" w:cstheme="minorHAnsi"/>
          <w:i/>
          <w:spacing w:val="-4"/>
          <w:sz w:val="16"/>
        </w:rPr>
        <w:t xml:space="preserve">Company </w:t>
      </w:r>
      <w:proofErr w:type="spellStart"/>
      <w:r w:rsidRPr="007E0AB3">
        <w:rPr>
          <w:rFonts w:asciiTheme="minorHAnsi" w:hAnsiTheme="minorHAnsi" w:cstheme="minorHAnsi"/>
          <w:i/>
          <w:spacing w:val="-4"/>
          <w:sz w:val="16"/>
        </w:rPr>
        <w:t>name</w:t>
      </w:r>
      <w:proofErr w:type="spellEnd"/>
    </w:p>
    <w:p w14:paraId="3FFD7FE0" w14:textId="77777777" w:rsidR="004B44A7" w:rsidRPr="007E0AB3" w:rsidRDefault="004B44A7" w:rsidP="004B44A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003516A7" w14:textId="57233757" w:rsidR="00A91F86" w:rsidRPr="001E478A" w:rsidRDefault="00A91F86" w:rsidP="00F94692">
      <w:pPr>
        <w:spacing w:after="60"/>
        <w:jc w:val="center"/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</w:pPr>
      <w:proofErr w:type="spellStart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Dectarations</w:t>
      </w:r>
      <w:proofErr w:type="spellEnd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 xml:space="preserve"> of the </w:t>
      </w:r>
      <w:proofErr w:type="spellStart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Tende</w:t>
      </w:r>
      <w:r w:rsidR="00D67B0D"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rer</w:t>
      </w:r>
      <w:proofErr w:type="spellEnd"/>
    </w:p>
    <w:p w14:paraId="4C881264" w14:textId="4B1051DB" w:rsidR="008F0E69" w:rsidRDefault="001E478A" w:rsidP="00F94692">
      <w:pPr>
        <w:spacing w:after="60"/>
        <w:jc w:val="center"/>
        <w:rPr>
          <w:rFonts w:asciiTheme="minorHAnsi" w:hAnsiTheme="minorHAnsi" w:cstheme="minorHAnsi"/>
          <w:color w:val="000000" w:themeColor="text1"/>
          <w:spacing w:val="-4"/>
          <w:sz w:val="20"/>
        </w:rPr>
      </w:pPr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 xml:space="preserve">to the </w:t>
      </w:r>
      <w:proofErr w:type="spellStart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Request</w:t>
      </w:r>
      <w:proofErr w:type="spellEnd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 xml:space="preserve"> (Part I - </w:t>
      </w:r>
      <w:proofErr w:type="spellStart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formal</w:t>
      </w:r>
      <w:proofErr w:type="spellEnd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)</w:t>
      </w:r>
    </w:p>
    <w:p w14:paraId="4C210956" w14:textId="77777777" w:rsidR="001E478A" w:rsidRPr="001E478A" w:rsidRDefault="001E478A" w:rsidP="00F94692">
      <w:pPr>
        <w:spacing w:after="60"/>
        <w:jc w:val="center"/>
        <w:rPr>
          <w:rFonts w:asciiTheme="minorHAnsi" w:hAnsiTheme="minorHAnsi" w:cstheme="minorHAnsi"/>
          <w:color w:val="000000" w:themeColor="text1"/>
          <w:spacing w:val="-4"/>
          <w:sz w:val="20"/>
        </w:rPr>
      </w:pPr>
    </w:p>
    <w:p w14:paraId="1A7D2706" w14:textId="481DE96A" w:rsidR="008D2A0B" w:rsidRPr="001E478A" w:rsidRDefault="008D2A0B" w:rsidP="00F94692">
      <w:pPr>
        <w:pStyle w:val="Akapitzlist"/>
        <w:spacing w:after="60"/>
        <w:ind w:left="360"/>
        <w:jc w:val="center"/>
        <w:rPr>
          <w:rFonts w:asciiTheme="minorHAnsi" w:hAnsiTheme="minorHAnsi" w:cstheme="minorHAnsi"/>
          <w:i/>
          <w:color w:val="000000" w:themeColor="text1"/>
          <w:sz w:val="20"/>
        </w:rPr>
      </w:pPr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I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confirm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that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I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have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read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the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content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and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fully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accept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the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terms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and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condi</w:t>
      </w:r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tions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applicable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at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ORLEN S.A.:</w:t>
      </w:r>
    </w:p>
    <w:p w14:paraId="50B1B89F" w14:textId="4A96779C" w:rsidR="005D160B" w:rsidRPr="005D160B" w:rsidRDefault="005D160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confirm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range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activities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company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registration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line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content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inquiry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27A8BC1" w14:textId="1BE22E1D" w:rsidR="00CB6532" w:rsidRPr="007E0AB3" w:rsidRDefault="00CB653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our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offer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chosen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undertake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show /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present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/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conclude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insurance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policies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related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subject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contract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incl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. Business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liability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professional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liability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(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required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).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possib</w:t>
      </w:r>
      <w:r w:rsidR="001E478A">
        <w:rPr>
          <w:rFonts w:asciiTheme="minorHAnsi" w:hAnsiTheme="minorHAnsi" w:cstheme="minorHAnsi"/>
          <w:color w:val="000000" w:themeColor="text1"/>
          <w:sz w:val="20"/>
        </w:rPr>
        <w:t>le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please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attach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this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point.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2501F6A" w14:textId="55F2F48B" w:rsidR="00CB6532" w:rsidRPr="007E0AB3" w:rsidRDefault="00CB653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got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acquainted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guidelines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dispositions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concerning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receipt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delivery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goods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a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warehouse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organization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material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individual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traffic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</w:t>
      </w:r>
    </w:p>
    <w:p w14:paraId="66D1F71A" w14:textId="6680CD6C" w:rsidR="00CB6532" w:rsidRPr="007E0AB3" w:rsidRDefault="00A91F86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The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rules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presented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</w:t>
      </w:r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n the Supplier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Code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Conduct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: </w:t>
      </w:r>
      <w:hyperlink r:id="rId8" w:history="1">
        <w:r w:rsidR="001E478A" w:rsidRPr="00CF14A8">
          <w:rPr>
            <w:rStyle w:val="Hipercze"/>
            <w:rFonts w:asciiTheme="minorHAnsi" w:hAnsiTheme="minorHAnsi" w:cstheme="minorHAnsi"/>
            <w:sz w:val="20"/>
          </w:rPr>
          <w:t>https://www.orlen.pl/en/for-business/tenders-and-supplies/deliveries/supplier-code-of-conduct</w:t>
        </w:r>
      </w:hyperlink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1F554A09" w14:textId="29F7651D" w:rsidR="00CB6532" w:rsidRPr="007E0AB3" w:rsidRDefault="00A91F86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there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no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capital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personal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connections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ORLEN S.A. and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Companies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ORLEN Capital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Group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6060AEC" w14:textId="6772D53C" w:rsidR="00CB6532" w:rsidRPr="007E0AB3" w:rsidRDefault="0015722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>T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he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they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read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standards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force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regarding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anti-corruption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policy,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rules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for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gifts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reporting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irregularities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managing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conflicts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interest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available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: </w:t>
      </w:r>
      <w:hyperlink r:id="rId9" w:history="1">
        <w:r w:rsidRPr="00CF14A8">
          <w:rPr>
            <w:rStyle w:val="Hipercze"/>
            <w:rFonts w:asciiTheme="minorHAnsi" w:hAnsiTheme="minorHAnsi" w:cstheme="minorHAnsi"/>
            <w:sz w:val="20"/>
          </w:rPr>
          <w:t>https://www.orlen.pl/en/about-the-company/company/ethics-and-values/anti-corruption-policy/</w:t>
        </w:r>
      </w:hyperlink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(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Copy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r>
        <w:rPr>
          <w:rFonts w:asciiTheme="minorHAnsi" w:hAnsiTheme="minorHAnsi" w:cstheme="minorHAnsi"/>
          <w:color w:val="000000" w:themeColor="text1"/>
          <w:sz w:val="20"/>
        </w:rPr>
        <w:t xml:space="preserve">link to the web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browser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window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) 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0DDB66E" w14:textId="4DB73098" w:rsidR="00CB6532" w:rsidRPr="007E0AB3" w:rsidRDefault="0015722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read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regulations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force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regarding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Human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rights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protection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 in the ORLEN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Group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available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on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website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www.orlen.pl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according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to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path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: “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Sustainable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development/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Reports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indicators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/Human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rights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protection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 https://www.orlen.pl/pl/zrownowazony-rozwoj/</w:t>
      </w:r>
      <w:r w:rsidR="00871B25" w:rsidRPr="007E0AB3">
        <w:rPr>
          <w:rFonts w:asciiTheme="minorHAnsi" w:hAnsiTheme="minorHAnsi" w:cstheme="minorHAnsi"/>
          <w:color w:val="000000" w:themeColor="text1"/>
          <w:sz w:val="20"/>
        </w:rPr>
        <w:t>polityka-ochrony-praw-czlowieka</w:t>
      </w:r>
    </w:p>
    <w:p w14:paraId="417E9ED8" w14:textId="42E994B1" w:rsidR="007E0AB3" w:rsidRDefault="007E0AB3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jesteśmy uprawnieni do występowania w obrocie prawnym, zgodnie z obowiązującymi wymaganiami prawnymi i nie podlegam żadnym sankcjom gospodarczym wprowadzonym przez Organizację Narodów Zjednoczonych, Unię Europejską, państwa członkowskie Unii Europejskiej i Europejskiego Obszaru Gospodarczego, Stany Zjednoczone Ameryki Północnej, Zjednoczone Królestwo Wielkiej Brytanii i Irlandii Północnej.</w:t>
      </w:r>
    </w:p>
    <w:p w14:paraId="15FA28F0" w14:textId="419A744D" w:rsidR="00F94692" w:rsidRPr="007E0AB3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they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authorized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engage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legal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transactions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accordance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with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applicable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legal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requirements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not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subject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any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economic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sanctions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introduced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by the United Nations,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Union,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member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states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Union and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Economic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Area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the United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States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America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the United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Kingdom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Great Britain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Northern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Ireland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336E1618" w14:textId="187B007F" w:rsidR="00312F7F" w:rsidRPr="007E0AB3" w:rsidRDefault="00575208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Oświadczam, że przyjmuję do wiadomości i akceptuję</w:t>
      </w:r>
      <w:r w:rsidR="00005549" w:rsidRPr="007E0AB3">
        <w:rPr>
          <w:rFonts w:asciiTheme="minorHAnsi" w:hAnsiTheme="minorHAnsi" w:cstheme="minorHAnsi"/>
          <w:color w:val="000000" w:themeColor="text1"/>
          <w:sz w:val="20"/>
        </w:rPr>
        <w:t xml:space="preserve">, że </w:t>
      </w:r>
      <w:r w:rsidR="00871B25" w:rsidRPr="007E0AB3">
        <w:rPr>
          <w:rFonts w:asciiTheme="minorHAnsi" w:hAnsiTheme="minorHAnsi" w:cstheme="minorHAnsi"/>
          <w:color w:val="000000" w:themeColor="text1"/>
          <w:sz w:val="20"/>
        </w:rPr>
        <w:t>z</w:t>
      </w:r>
      <w:r w:rsidR="00A02258" w:rsidRPr="007E0AB3">
        <w:rPr>
          <w:rFonts w:asciiTheme="minorHAnsi" w:hAnsiTheme="minorHAnsi" w:cstheme="minorHAnsi"/>
          <w:color w:val="000000" w:themeColor="text1"/>
          <w:sz w:val="20"/>
        </w:rPr>
        <w:t xml:space="preserve">amówienie </w:t>
      </w:r>
      <w:r w:rsidR="00671004" w:rsidRPr="007E0AB3">
        <w:rPr>
          <w:rFonts w:asciiTheme="minorHAnsi" w:hAnsiTheme="minorHAnsi" w:cstheme="minorHAnsi"/>
          <w:color w:val="000000" w:themeColor="text1"/>
          <w:sz w:val="20"/>
        </w:rPr>
        <w:t xml:space="preserve">wraz z załącznikami </w:t>
      </w:r>
      <w:r w:rsidR="00755730" w:rsidRPr="007E0AB3">
        <w:rPr>
          <w:rFonts w:asciiTheme="minorHAnsi" w:hAnsiTheme="minorHAnsi" w:cstheme="minorHAnsi"/>
          <w:color w:val="000000" w:themeColor="text1"/>
          <w:sz w:val="20"/>
        </w:rPr>
        <w:t>mogą mieć postać elektroniczną.</w:t>
      </w:r>
    </w:p>
    <w:p w14:paraId="21527415" w14:textId="62242B3D" w:rsidR="00CF2D28" w:rsidRDefault="00CA640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Potwierdzam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 xml:space="preserve"> za zgodność z orygin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ałem załączonych do niniejszej O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>ferty dokumentów, certyfikatów, uprawnień.</w:t>
      </w:r>
    </w:p>
    <w:p w14:paraId="09E5666E" w14:textId="18F0A9BF" w:rsidR="00F94692" w:rsidRPr="00F94692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acknowledge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the order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together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with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attachments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may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be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electronic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form.</w:t>
      </w:r>
    </w:p>
    <w:p w14:paraId="209BA997" w14:textId="1867D782" w:rsidR="00F94692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documents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certificates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authorizations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attached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this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Offer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true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copies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77EF95CA" w14:textId="77777777" w:rsidR="005D160B" w:rsidRPr="007E0AB3" w:rsidRDefault="005D160B" w:rsidP="00F94692">
      <w:pPr>
        <w:spacing w:after="60"/>
        <w:ind w:left="72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733C098A" w14:textId="77777777" w:rsidR="0047652C" w:rsidRPr="007E0AB3" w:rsidRDefault="0047652C" w:rsidP="00F94692">
      <w:pPr>
        <w:spacing w:after="60"/>
        <w:ind w:left="108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6146F103" w14:textId="77777777" w:rsidR="007D1DF3" w:rsidRPr="007E0AB3" w:rsidRDefault="007D1DF3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998DFEC" w14:textId="77777777" w:rsidR="001F73D7" w:rsidRPr="007E0AB3" w:rsidRDefault="001F73D7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8D346C9" w14:textId="77777777" w:rsidR="00413742" w:rsidRPr="007E0AB3" w:rsidRDefault="00413742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6EA8BDF0" w14:textId="734B05A6" w:rsidR="00F94692" w:rsidRPr="00F94692" w:rsidRDefault="007E0AB3" w:rsidP="00F94692">
      <w:pPr>
        <w:spacing w:after="60"/>
        <w:ind w:left="360" w:firstLine="348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………………………..…………</w:t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  <w:t>………………………..…………</w:t>
      </w:r>
      <w:r w:rsidR="00F94692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.</w:t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</w:p>
    <w:p w14:paraId="22F463B0" w14:textId="6696C142" w:rsidR="006B75CB" w:rsidRPr="005D160B" w:rsidRDefault="00DF7049" w:rsidP="00F94692">
      <w:pPr>
        <w:spacing w:after="60"/>
        <w:ind w:left="708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  <w:r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</w:t>
      </w:r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Place, </w:t>
      </w:r>
      <w:proofErr w:type="spellStart"/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date</w:t>
      </w:r>
      <w:proofErr w:type="spellEnd"/>
      <w:r w:rsidR="007E0AB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</w:t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proofErr w:type="spellStart"/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S</w:t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ignature</w:t>
      </w:r>
      <w:proofErr w:type="spellEnd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and </w:t>
      </w:r>
      <w:proofErr w:type="spellStart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stamp</w:t>
      </w:r>
      <w:proofErr w:type="spellEnd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of the </w:t>
      </w:r>
      <w:proofErr w:type="spellStart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Tenderer</w:t>
      </w:r>
      <w:proofErr w:type="spellEnd"/>
    </w:p>
    <w:p w14:paraId="06BC14B7" w14:textId="73A2DA91" w:rsidR="006B75CB" w:rsidRPr="005D160B" w:rsidRDefault="006B75CB" w:rsidP="00F94692">
      <w:pPr>
        <w:spacing w:after="60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</w:p>
    <w:sectPr w:rsidR="006B75CB" w:rsidRPr="005D160B" w:rsidSect="00F946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284" w:footer="3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63FD6" w14:textId="77777777" w:rsidR="00A04C80" w:rsidRDefault="00A04C80" w:rsidP="003907B3">
      <w:r>
        <w:separator/>
      </w:r>
    </w:p>
  </w:endnote>
  <w:endnote w:type="continuationSeparator" w:id="0">
    <w:p w14:paraId="036516A6" w14:textId="77777777" w:rsidR="00A04C80" w:rsidRDefault="00A04C80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FDDF8" w14:textId="77777777" w:rsidR="00DF7049" w:rsidRDefault="00DF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646BAE02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049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4EFF" w14:textId="77777777" w:rsidR="00DF7049" w:rsidRDefault="00DF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B7AE3" w14:textId="77777777" w:rsidR="00A04C80" w:rsidRDefault="00A04C80" w:rsidP="003907B3">
      <w:r>
        <w:separator/>
      </w:r>
    </w:p>
  </w:footnote>
  <w:footnote w:type="continuationSeparator" w:id="0">
    <w:p w14:paraId="398A97B7" w14:textId="77777777" w:rsidR="00A04C80" w:rsidRDefault="00A04C80" w:rsidP="0039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5BCEC" w14:textId="77777777" w:rsidR="00DF7049" w:rsidRDefault="00DF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8D4F3" w14:textId="36F2E1A9" w:rsidR="007E0AB3" w:rsidRPr="007E0AB3" w:rsidRDefault="001E478A" w:rsidP="007E0AB3">
    <w:pPr>
      <w:rPr>
        <w:rFonts w:asciiTheme="minorHAnsi" w:hAnsiTheme="minorHAnsi" w:cstheme="minorHAnsi"/>
        <w:b/>
        <w:i/>
        <w:spacing w:val="-4"/>
        <w:sz w:val="20"/>
      </w:rPr>
    </w:pPr>
    <w:proofErr w:type="spellStart"/>
    <w:r>
      <w:rPr>
        <w:rFonts w:asciiTheme="minorHAnsi" w:hAnsiTheme="minorHAnsi" w:cstheme="minorHAnsi"/>
        <w:b/>
        <w:i/>
        <w:spacing w:val="-4"/>
        <w:sz w:val="20"/>
      </w:rPr>
      <w:t>Enclosure</w:t>
    </w:r>
    <w:proofErr w:type="spellEnd"/>
    <w:r>
      <w:rPr>
        <w:rFonts w:asciiTheme="minorHAnsi" w:hAnsiTheme="minorHAnsi" w:cstheme="minorHAnsi"/>
        <w:b/>
        <w:i/>
        <w:spacing w:val="-4"/>
        <w:sz w:val="20"/>
      </w:rPr>
      <w:t xml:space="preserve"> no 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81DC" w14:textId="77777777" w:rsidR="00DF7049" w:rsidRDefault="00DF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758"/>
    <w:multiLevelType w:val="hybridMultilevel"/>
    <w:tmpl w:val="37FC4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5722B"/>
    <w:rsid w:val="001A2ED2"/>
    <w:rsid w:val="001B02F4"/>
    <w:rsid w:val="001E3FB6"/>
    <w:rsid w:val="001E478A"/>
    <w:rsid w:val="001F1967"/>
    <w:rsid w:val="001F73D7"/>
    <w:rsid w:val="0020385B"/>
    <w:rsid w:val="002229B1"/>
    <w:rsid w:val="002300EA"/>
    <w:rsid w:val="002401CF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B2B"/>
    <w:rsid w:val="00305FE6"/>
    <w:rsid w:val="0031141A"/>
    <w:rsid w:val="00312F7F"/>
    <w:rsid w:val="00321ED4"/>
    <w:rsid w:val="00332B52"/>
    <w:rsid w:val="0033647C"/>
    <w:rsid w:val="00350A30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600E"/>
    <w:rsid w:val="004625AB"/>
    <w:rsid w:val="00472E36"/>
    <w:rsid w:val="0047652C"/>
    <w:rsid w:val="00487B24"/>
    <w:rsid w:val="00492C79"/>
    <w:rsid w:val="004967A0"/>
    <w:rsid w:val="004B44A7"/>
    <w:rsid w:val="004B6639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160B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5FD6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0AB3"/>
    <w:rsid w:val="007E7EE3"/>
    <w:rsid w:val="007F4569"/>
    <w:rsid w:val="007F5445"/>
    <w:rsid w:val="008049C8"/>
    <w:rsid w:val="00830423"/>
    <w:rsid w:val="008646AD"/>
    <w:rsid w:val="00864D7A"/>
    <w:rsid w:val="00871B25"/>
    <w:rsid w:val="00896B72"/>
    <w:rsid w:val="008B03FF"/>
    <w:rsid w:val="008C362A"/>
    <w:rsid w:val="008C61FB"/>
    <w:rsid w:val="008C751A"/>
    <w:rsid w:val="008D2A0B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37564"/>
    <w:rsid w:val="00942DA6"/>
    <w:rsid w:val="00947DD2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04C80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1F86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BF2B4F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B6532"/>
    <w:rsid w:val="00CB6672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0019"/>
    <w:rsid w:val="00D36DBD"/>
    <w:rsid w:val="00D4728C"/>
    <w:rsid w:val="00D50EED"/>
    <w:rsid w:val="00D675FE"/>
    <w:rsid w:val="00D67B0D"/>
    <w:rsid w:val="00D979FB"/>
    <w:rsid w:val="00DA4A9F"/>
    <w:rsid w:val="00DB466F"/>
    <w:rsid w:val="00DE3000"/>
    <w:rsid w:val="00DF7049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4692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en/for-business/tenders-and-supplies/deliveries/supplier-code-of-conduc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en/about-the-company/company/ethics-and-values/anti-corruption-policy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CFCE-4A39-42A6-BE01-A7156EC1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Tomczyk Ewa (ORL)</cp:lastModifiedBy>
  <cp:revision>5</cp:revision>
  <cp:lastPrinted>2023-07-20T08:08:00Z</cp:lastPrinted>
  <dcterms:created xsi:type="dcterms:W3CDTF">2025-02-14T11:32:00Z</dcterms:created>
  <dcterms:modified xsi:type="dcterms:W3CDTF">2025-03-06T09:55:00Z</dcterms:modified>
</cp:coreProperties>
</file>