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2CBF98" w14:textId="2B724F09" w:rsidR="00D50FD9" w:rsidRDefault="000C2A3F" w:rsidP="00CB0909">
      <w:pPr>
        <w:jc w:val="center"/>
      </w:pPr>
      <w:r>
        <w:rPr>
          <w:rFonts w:ascii="Arial" w:eastAsia="Calibri" w:hAnsi="Arial" w:cs="Arial"/>
          <w:b/>
          <w:noProof/>
          <w:sz w:val="18"/>
          <w:szCs w:val="18"/>
          <w:lang w:eastAsia="zh-CN"/>
        </w:rPr>
        <w:drawing>
          <wp:inline distT="0" distB="0" distL="0" distR="0" wp14:anchorId="5B4EE6B5" wp14:editId="7CF590CE">
            <wp:extent cx="1857375" cy="1312517"/>
            <wp:effectExtent l="0" t="0" r="0" b="2540"/>
            <wp:docPr id="117248115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08279" cy="1348489"/>
                    </a:xfrm>
                    <a:prstGeom prst="rect">
                      <a:avLst/>
                    </a:prstGeom>
                    <a:noFill/>
                  </pic:spPr>
                </pic:pic>
              </a:graphicData>
            </a:graphic>
          </wp:inline>
        </w:drawing>
      </w:r>
    </w:p>
    <w:p w14:paraId="64ED4F81" w14:textId="10A20685" w:rsidR="00526143" w:rsidRPr="00D50FD9" w:rsidRDefault="00526143" w:rsidP="00526143">
      <w:pPr>
        <w:rPr>
          <w:rFonts w:ascii="Arial" w:hAnsi="Arial" w:cs="Arial"/>
          <w:b/>
          <w:bCs/>
          <w:sz w:val="20"/>
          <w:szCs w:val="20"/>
        </w:rPr>
      </w:pPr>
      <w:r w:rsidRPr="00D50FD9">
        <w:rPr>
          <w:rFonts w:ascii="Arial" w:hAnsi="Arial" w:cs="Arial"/>
          <w:b/>
          <w:bCs/>
          <w:sz w:val="20"/>
          <w:szCs w:val="20"/>
        </w:rPr>
        <w:t xml:space="preserve">KLAUZULA ANTYKORUPCYJNA </w:t>
      </w:r>
    </w:p>
    <w:p w14:paraId="7F0FEA51" w14:textId="69EC468F" w:rsidR="00526143" w:rsidRPr="00D50FD9" w:rsidRDefault="00526143" w:rsidP="00D50FD9">
      <w:pPr>
        <w:pStyle w:val="Akapitzlist"/>
        <w:numPr>
          <w:ilvl w:val="0"/>
          <w:numId w:val="2"/>
        </w:numPr>
        <w:ind w:left="426" w:right="81" w:hanging="426"/>
        <w:jc w:val="both"/>
        <w:rPr>
          <w:sz w:val="20"/>
          <w:szCs w:val="20"/>
        </w:rPr>
      </w:pPr>
      <w:r w:rsidRPr="00D50FD9">
        <w:rPr>
          <w:sz w:val="20"/>
          <w:szCs w:val="20"/>
        </w:rPr>
        <w:t xml:space="preserve">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 </w:t>
      </w:r>
    </w:p>
    <w:p w14:paraId="209D1931" w14:textId="65376535" w:rsidR="00526143" w:rsidRPr="00D50FD9" w:rsidRDefault="00526143" w:rsidP="00D50FD9">
      <w:pPr>
        <w:pStyle w:val="Akapitzlist"/>
        <w:numPr>
          <w:ilvl w:val="0"/>
          <w:numId w:val="2"/>
        </w:numPr>
        <w:ind w:left="426" w:right="81" w:hanging="426"/>
        <w:jc w:val="both"/>
        <w:rPr>
          <w:sz w:val="20"/>
          <w:szCs w:val="20"/>
        </w:rPr>
      </w:pPr>
      <w:r w:rsidRPr="00D50FD9">
        <w:rPr>
          <w:sz w:val="20"/>
          <w:szCs w:val="20"/>
        </w:rPr>
        <w:t xml:space="preserve">Każda ze Stron zaświadcza, że wdrożyła procedury przeciwdziałania korupcji i konfliktowi interesów, a w okresie ostatnich trzech lat członkowie organów zarządzających, kontrolnych, nadzorczych lub przedstawiciele Stron nie zostali skazani prawomocnym wyrokiem za przestępstwo korupcyjne. </w:t>
      </w:r>
    </w:p>
    <w:p w14:paraId="45DC38B4" w14:textId="0E6A25AD" w:rsidR="00526143" w:rsidRPr="00D50FD9" w:rsidRDefault="00526143" w:rsidP="00D50FD9">
      <w:pPr>
        <w:pStyle w:val="Akapitzlist"/>
        <w:numPr>
          <w:ilvl w:val="0"/>
          <w:numId w:val="2"/>
        </w:numPr>
        <w:ind w:left="426" w:right="81" w:hanging="426"/>
        <w:jc w:val="both"/>
        <w:rPr>
          <w:sz w:val="20"/>
          <w:szCs w:val="20"/>
        </w:rPr>
      </w:pPr>
      <w:r w:rsidRPr="00D50FD9">
        <w:rPr>
          <w:sz w:val="20"/>
          <w:szCs w:val="20"/>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 </w:t>
      </w:r>
    </w:p>
    <w:p w14:paraId="2C782B4E" w14:textId="32506239" w:rsidR="00526143" w:rsidRPr="00D50FD9" w:rsidRDefault="00526143" w:rsidP="00D50FD9">
      <w:pPr>
        <w:pStyle w:val="Akapitzlist"/>
        <w:numPr>
          <w:ilvl w:val="0"/>
          <w:numId w:val="2"/>
        </w:numPr>
        <w:ind w:left="426" w:right="81" w:hanging="426"/>
        <w:jc w:val="both"/>
        <w:rPr>
          <w:sz w:val="20"/>
          <w:szCs w:val="20"/>
        </w:rPr>
      </w:pPr>
      <w:r w:rsidRPr="00D50FD9">
        <w:rPr>
          <w:sz w:val="20"/>
          <w:szCs w:val="20"/>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192227FB" w14:textId="77777777" w:rsidR="00526143" w:rsidRPr="00D50FD9" w:rsidRDefault="00526143" w:rsidP="00D50FD9">
      <w:pPr>
        <w:pStyle w:val="Akapitzlist"/>
        <w:ind w:left="426" w:right="81"/>
        <w:jc w:val="both"/>
        <w:rPr>
          <w:sz w:val="20"/>
          <w:szCs w:val="20"/>
        </w:rPr>
      </w:pPr>
      <w:r w:rsidRPr="00D50FD9">
        <w:rPr>
          <w:sz w:val="20"/>
          <w:szCs w:val="20"/>
        </w:rPr>
        <w:t xml:space="preserve">(i) członkowi zarządu, dyrektorowi, pracownikowi, ani agentowi Strony lub któregokolwiek kontrolowanego lub powiązanego podmiotu gospodarczego Stron, </w:t>
      </w:r>
    </w:p>
    <w:p w14:paraId="4E647717" w14:textId="77777777" w:rsidR="00526143" w:rsidRPr="00D50FD9" w:rsidRDefault="00526143" w:rsidP="00D50FD9">
      <w:pPr>
        <w:pStyle w:val="Akapitzlist"/>
        <w:ind w:left="426" w:right="81"/>
        <w:jc w:val="both"/>
        <w:rPr>
          <w:sz w:val="20"/>
          <w:szCs w:val="20"/>
        </w:rPr>
      </w:pPr>
      <w:r w:rsidRPr="00D50FD9">
        <w:rPr>
          <w:sz w:val="20"/>
          <w:szCs w:val="20"/>
        </w:rPr>
        <w:t xml:space="preserve">(ii) 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 </w:t>
      </w:r>
    </w:p>
    <w:p w14:paraId="7F397BF4" w14:textId="77777777" w:rsidR="00526143" w:rsidRPr="00D50FD9" w:rsidRDefault="00526143" w:rsidP="00D50FD9">
      <w:pPr>
        <w:pStyle w:val="Akapitzlist"/>
        <w:ind w:left="426" w:right="81"/>
        <w:jc w:val="both"/>
        <w:rPr>
          <w:sz w:val="20"/>
          <w:szCs w:val="20"/>
        </w:rPr>
      </w:pPr>
      <w:r w:rsidRPr="00D50FD9">
        <w:rPr>
          <w:sz w:val="20"/>
          <w:szCs w:val="20"/>
        </w:rPr>
        <w:t xml:space="preserve">(iii) partii politycznej, członkowi partii politycznej, ani kandydatowi na urząd państwowy; </w:t>
      </w:r>
    </w:p>
    <w:p w14:paraId="5B552E3C" w14:textId="77777777" w:rsidR="00526143" w:rsidRPr="00D50FD9" w:rsidRDefault="00526143" w:rsidP="00D50FD9">
      <w:pPr>
        <w:pStyle w:val="Akapitzlist"/>
        <w:ind w:left="426" w:right="81"/>
        <w:jc w:val="both"/>
        <w:rPr>
          <w:sz w:val="20"/>
          <w:szCs w:val="20"/>
        </w:rPr>
      </w:pPr>
      <w:r w:rsidRPr="00D50FD9">
        <w:rPr>
          <w:sz w:val="20"/>
          <w:szCs w:val="20"/>
        </w:rPr>
        <w:t xml:space="preserve">(iv) agentowi ani pośrednikowi w zamian za opłacenie kogokolwiek z wyżej wymienionych; ani też </w:t>
      </w:r>
    </w:p>
    <w:p w14:paraId="6DDB9188" w14:textId="77777777" w:rsidR="00526143" w:rsidRPr="00D50FD9" w:rsidRDefault="00526143" w:rsidP="00D50FD9">
      <w:pPr>
        <w:pStyle w:val="Akapitzlist"/>
        <w:ind w:left="426" w:right="81"/>
        <w:jc w:val="both"/>
        <w:rPr>
          <w:sz w:val="20"/>
          <w:szCs w:val="20"/>
        </w:rPr>
      </w:pPr>
      <w:r w:rsidRPr="00D50FD9">
        <w:rPr>
          <w:sz w:val="20"/>
          <w:szCs w:val="20"/>
        </w:rPr>
        <w:t xml:space="preserve">(v) 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 </w:t>
      </w:r>
    </w:p>
    <w:p w14:paraId="08DC23DC" w14:textId="77777777" w:rsidR="00D50FD9" w:rsidRDefault="00526143" w:rsidP="00D50FD9">
      <w:pPr>
        <w:pStyle w:val="Akapitzlist"/>
        <w:numPr>
          <w:ilvl w:val="0"/>
          <w:numId w:val="2"/>
        </w:numPr>
        <w:ind w:left="426" w:right="81" w:hanging="426"/>
        <w:jc w:val="both"/>
        <w:rPr>
          <w:sz w:val="20"/>
          <w:szCs w:val="20"/>
        </w:rPr>
      </w:pPr>
      <w:r w:rsidRPr="00D50FD9">
        <w:rPr>
          <w:sz w:val="20"/>
          <w:szCs w:val="20"/>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30CFC031" w14:textId="1021B769" w:rsidR="00526143" w:rsidRPr="00D50FD9" w:rsidRDefault="00526143" w:rsidP="00D50FD9">
      <w:pPr>
        <w:pStyle w:val="Akapitzlist"/>
        <w:numPr>
          <w:ilvl w:val="0"/>
          <w:numId w:val="2"/>
        </w:numPr>
        <w:ind w:left="426" w:right="81" w:hanging="426"/>
        <w:jc w:val="both"/>
        <w:rPr>
          <w:sz w:val="20"/>
          <w:szCs w:val="20"/>
        </w:rPr>
      </w:pPr>
      <w:r w:rsidRPr="00D50FD9">
        <w:rPr>
          <w:sz w:val="20"/>
          <w:szCs w:val="20"/>
        </w:rPr>
        <w:t xml:space="preserve">Każda ze Stron zaświadcza, iż w okresie realizacji niniejszej Umowy zapewnia każdej osobie działającej w dobrej wierze możliwość zgłaszania naruszeń prawa za pośrednictwem poczty elektronicznej na adres: naruszeniaprawa@pgnig.termika.pl lub pod numerem telefonu: +48 453 025 809 – bez identyfikacji numeru osoby dzwoniącej. </w:t>
      </w:r>
    </w:p>
    <w:p w14:paraId="2D0CD7B7" w14:textId="77777777" w:rsidR="00526143" w:rsidRPr="00D50FD9" w:rsidRDefault="00526143" w:rsidP="00D50FD9">
      <w:pPr>
        <w:pStyle w:val="Akapitzlist"/>
        <w:numPr>
          <w:ilvl w:val="0"/>
          <w:numId w:val="2"/>
        </w:numPr>
        <w:ind w:left="426" w:right="81" w:hanging="426"/>
        <w:jc w:val="both"/>
        <w:rPr>
          <w:sz w:val="20"/>
          <w:szCs w:val="20"/>
        </w:rPr>
      </w:pPr>
      <w:r w:rsidRPr="00D50FD9">
        <w:rPr>
          <w:sz w:val="20"/>
          <w:szCs w:val="20"/>
        </w:rPr>
        <w:t xml:space="preserve">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 </w:t>
      </w:r>
    </w:p>
    <w:p w14:paraId="0E5D3119" w14:textId="17BE80B5" w:rsidR="00FF09F2" w:rsidRPr="00D50FD9" w:rsidRDefault="00FF09F2" w:rsidP="00D50FD9">
      <w:pPr>
        <w:pStyle w:val="Akapitzlist"/>
        <w:ind w:left="426" w:right="81"/>
        <w:jc w:val="both"/>
        <w:rPr>
          <w:sz w:val="20"/>
          <w:szCs w:val="20"/>
        </w:rPr>
      </w:pPr>
    </w:p>
    <w:sectPr w:rsidR="00FF09F2" w:rsidRPr="00D50FD9" w:rsidSect="000C2A3F">
      <w:pgSz w:w="11906" w:h="17338"/>
      <w:pgMar w:top="0" w:right="1133" w:bottom="1225" w:left="1194" w:header="708" w:footer="70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97D056" w14:textId="77777777" w:rsidR="00772EB7" w:rsidRDefault="00772EB7" w:rsidP="00772EB7">
      <w:pPr>
        <w:spacing w:after="0" w:line="240" w:lineRule="auto"/>
      </w:pPr>
      <w:r>
        <w:separator/>
      </w:r>
    </w:p>
  </w:endnote>
  <w:endnote w:type="continuationSeparator" w:id="0">
    <w:p w14:paraId="0FF4CD91" w14:textId="77777777" w:rsidR="00772EB7" w:rsidRDefault="00772EB7" w:rsidP="00772E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170011" w14:textId="77777777" w:rsidR="00772EB7" w:rsidRDefault="00772EB7" w:rsidP="00772EB7">
      <w:pPr>
        <w:spacing w:after="0" w:line="240" w:lineRule="auto"/>
      </w:pPr>
      <w:r>
        <w:separator/>
      </w:r>
    </w:p>
  </w:footnote>
  <w:footnote w:type="continuationSeparator" w:id="0">
    <w:p w14:paraId="231B5E6F" w14:textId="77777777" w:rsidR="00772EB7" w:rsidRDefault="00772EB7" w:rsidP="00772EB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C101D06"/>
    <w:multiLevelType w:val="hybridMultilevel"/>
    <w:tmpl w:val="C4847F26"/>
    <w:lvl w:ilvl="0" w:tplc="D71C0E22">
      <w:start w:val="5"/>
      <w:numFmt w:val="decimal"/>
      <w:lvlText w:val="%1."/>
      <w:lvlJc w:val="left"/>
      <w:rPr>
        <w:rFont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7D6A2E70"/>
    <w:multiLevelType w:val="hybridMultilevel"/>
    <w:tmpl w:val="8E5854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65252240">
    <w:abstractNumId w:val="0"/>
  </w:num>
  <w:num w:numId="2" w16cid:durableId="14407618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6143"/>
    <w:rsid w:val="000C2A3F"/>
    <w:rsid w:val="001C12AF"/>
    <w:rsid w:val="003B16E8"/>
    <w:rsid w:val="00526143"/>
    <w:rsid w:val="00563BCD"/>
    <w:rsid w:val="006C4DED"/>
    <w:rsid w:val="00723FF5"/>
    <w:rsid w:val="00772EB7"/>
    <w:rsid w:val="007867D3"/>
    <w:rsid w:val="007C13A0"/>
    <w:rsid w:val="00A53DFA"/>
    <w:rsid w:val="00CB0909"/>
    <w:rsid w:val="00D50FD9"/>
    <w:rsid w:val="00D9702E"/>
    <w:rsid w:val="00FF09F2"/>
    <w:rsid w:val="00FF6C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CB551A6"/>
  <w15:chartTrackingRefBased/>
  <w15:docId w15:val="{2DED9B09-F125-4D0E-937A-71E13CF08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52614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52614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526143"/>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526143"/>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526143"/>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526143"/>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526143"/>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526143"/>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526143"/>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26143"/>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526143"/>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526143"/>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526143"/>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526143"/>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526143"/>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526143"/>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526143"/>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526143"/>
    <w:rPr>
      <w:rFonts w:eastAsiaTheme="majorEastAsia" w:cstheme="majorBidi"/>
      <w:color w:val="272727" w:themeColor="text1" w:themeTint="D8"/>
    </w:rPr>
  </w:style>
  <w:style w:type="paragraph" w:styleId="Tytu">
    <w:name w:val="Title"/>
    <w:basedOn w:val="Normalny"/>
    <w:next w:val="Normalny"/>
    <w:link w:val="TytuZnak"/>
    <w:uiPriority w:val="10"/>
    <w:qFormat/>
    <w:rsid w:val="0052614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26143"/>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526143"/>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526143"/>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526143"/>
    <w:pPr>
      <w:spacing w:before="160"/>
      <w:jc w:val="center"/>
    </w:pPr>
    <w:rPr>
      <w:i/>
      <w:iCs/>
      <w:color w:val="404040" w:themeColor="text1" w:themeTint="BF"/>
    </w:rPr>
  </w:style>
  <w:style w:type="character" w:customStyle="1" w:styleId="CytatZnak">
    <w:name w:val="Cytat Znak"/>
    <w:basedOn w:val="Domylnaczcionkaakapitu"/>
    <w:link w:val="Cytat"/>
    <w:uiPriority w:val="29"/>
    <w:rsid w:val="00526143"/>
    <w:rPr>
      <w:i/>
      <w:iCs/>
      <w:color w:val="404040" w:themeColor="text1" w:themeTint="BF"/>
    </w:rPr>
  </w:style>
  <w:style w:type="paragraph" w:styleId="Akapitzlist">
    <w:name w:val="List Paragraph"/>
    <w:basedOn w:val="Normalny"/>
    <w:uiPriority w:val="34"/>
    <w:qFormat/>
    <w:rsid w:val="00526143"/>
    <w:pPr>
      <w:ind w:left="720"/>
      <w:contextualSpacing/>
    </w:pPr>
  </w:style>
  <w:style w:type="character" w:styleId="Wyrnienieintensywne">
    <w:name w:val="Intense Emphasis"/>
    <w:basedOn w:val="Domylnaczcionkaakapitu"/>
    <w:uiPriority w:val="21"/>
    <w:qFormat/>
    <w:rsid w:val="00526143"/>
    <w:rPr>
      <w:i/>
      <w:iCs/>
      <w:color w:val="0F4761" w:themeColor="accent1" w:themeShade="BF"/>
    </w:rPr>
  </w:style>
  <w:style w:type="paragraph" w:styleId="Cytatintensywny">
    <w:name w:val="Intense Quote"/>
    <w:basedOn w:val="Normalny"/>
    <w:next w:val="Normalny"/>
    <w:link w:val="CytatintensywnyZnak"/>
    <w:uiPriority w:val="30"/>
    <w:qFormat/>
    <w:rsid w:val="0052614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526143"/>
    <w:rPr>
      <w:i/>
      <w:iCs/>
      <w:color w:val="0F4761" w:themeColor="accent1" w:themeShade="BF"/>
    </w:rPr>
  </w:style>
  <w:style w:type="character" w:styleId="Odwoanieintensywne">
    <w:name w:val="Intense Reference"/>
    <w:basedOn w:val="Domylnaczcionkaakapitu"/>
    <w:uiPriority w:val="32"/>
    <w:qFormat/>
    <w:rsid w:val="00526143"/>
    <w:rPr>
      <w:b/>
      <w:bCs/>
      <w:smallCaps/>
      <w:color w:val="0F4761" w:themeColor="accent1" w:themeShade="BF"/>
      <w:spacing w:val="5"/>
    </w:rPr>
  </w:style>
  <w:style w:type="paragraph" w:styleId="Nagwek">
    <w:name w:val="header"/>
    <w:basedOn w:val="Normalny"/>
    <w:link w:val="NagwekZnak"/>
    <w:uiPriority w:val="99"/>
    <w:unhideWhenUsed/>
    <w:rsid w:val="00772EB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72EB7"/>
  </w:style>
  <w:style w:type="paragraph" w:styleId="Stopka">
    <w:name w:val="footer"/>
    <w:basedOn w:val="Normalny"/>
    <w:link w:val="StopkaZnak"/>
    <w:uiPriority w:val="99"/>
    <w:unhideWhenUsed/>
    <w:rsid w:val="00772EB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72E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565</Words>
  <Characters>3396</Characters>
  <Application>Microsoft Office Word</Application>
  <DocSecurity>0</DocSecurity>
  <Lines>28</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Łukasik Przemysław</dc:creator>
  <cp:keywords/>
  <dc:description/>
  <cp:lastModifiedBy>Skalij Ewa</cp:lastModifiedBy>
  <cp:revision>6</cp:revision>
  <dcterms:created xsi:type="dcterms:W3CDTF">2025-04-14T10:06:00Z</dcterms:created>
  <dcterms:modified xsi:type="dcterms:W3CDTF">2025-04-18T07:47:00Z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20eee59-e4e0-4a8d-90cf-d81fae0f4231_Enabled">
    <vt:lpwstr>true</vt:lpwstr>
  </property>
  <property fmtid="{D5CDD505-2E9C-101B-9397-08002B2CF9AE}" pid="3" name="MSIP_Label_e20eee59-e4e0-4a8d-90cf-d81fae0f4231_SetDate">
    <vt:lpwstr>2025-04-14T09:57:53Z</vt:lpwstr>
  </property>
  <property fmtid="{D5CDD505-2E9C-101B-9397-08002B2CF9AE}" pid="4" name="MSIP_Label_e20eee59-e4e0-4a8d-90cf-d81fae0f4231_Method">
    <vt:lpwstr>Standard</vt:lpwstr>
  </property>
  <property fmtid="{D5CDD505-2E9C-101B-9397-08002B2CF9AE}" pid="5" name="MSIP_Label_e20eee59-e4e0-4a8d-90cf-d81fae0f4231_Name">
    <vt:lpwstr>Ogólna</vt:lpwstr>
  </property>
  <property fmtid="{D5CDD505-2E9C-101B-9397-08002B2CF9AE}" pid="6" name="MSIP_Label_e20eee59-e4e0-4a8d-90cf-d81fae0f4231_SiteId">
    <vt:lpwstr>3e4cfd5a-58d7-4158-af8b-3cc59d2bc964</vt:lpwstr>
  </property>
  <property fmtid="{D5CDD505-2E9C-101B-9397-08002B2CF9AE}" pid="7" name="MSIP_Label_e20eee59-e4e0-4a8d-90cf-d81fae0f4231_ActionId">
    <vt:lpwstr>eee22066-30a2-4784-b07f-2f330d045eea</vt:lpwstr>
  </property>
  <property fmtid="{D5CDD505-2E9C-101B-9397-08002B2CF9AE}" pid="8" name="MSIP_Label_e20eee59-e4e0-4a8d-90cf-d81fae0f4231_ContentBits">
    <vt:lpwstr>0</vt:lpwstr>
  </property>
</Properties>
</file>