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CB1354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</w:pPr>
      <w:bookmarkStart w:id="0" w:name="_GoBack"/>
      <w:bookmarkEnd w:id="0"/>
      <w:r w:rsidRPr="00CB135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:rsidR="00CB1354" w:rsidRPr="003A4D01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zobowiązuje się do zachowania w tajemnicy informacji przekazanych  bezpośrednio lub pośrednio przez Zleceniodawcę</w:t>
      </w:r>
      <w:r w:rsidR="00CB135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(ORLEN Projekt S.A.)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formie elektronicznej odmienny, od określonego powyżej, charakter takich informacji.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ujawnienie lub wykorzystanie informacji jest konieczne do prawidłowego wykonania niniejszej umowy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zgodne z tą umową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został zobowiązany do ujawnienia informacji przez sąd lub uprawniony organ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Zleceniodawca wyraził Zleceniobiorcy pisemną zgodę na ujawnienie lub wykorzystanie informacji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określonym celu, we wskazany przez Zleceniodawcę sposób.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czasie obowiązywania niniejszej umowy, jak również w okresie 10 lat po jej rozwiązaniu, wygaśnięciu lub uchyleniu bądź zniweczeniu skutków prawnych. Jeżeli mimo upływu, wskazanego w zdaniu poprzednim, okresu ochrony 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podlegają ochronie w oparciu o wewnętrzne regulacje lub decyzje Zleceniodawcy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="00927783">
        <w:rPr>
          <w:rFonts w:ascii="Arial" w:hAnsi="Arial" w:cs="Arial"/>
          <w:sz w:val="20"/>
          <w:szCs w:val="20"/>
        </w:rPr>
        <w:t>w wysokości 10% wartości całego Wynagrodzenia netto określonego w Umowie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trakcie realizacji niniejszej umowy, zaistnieje konieczności dostępu lub przekazania Zleceniobiorcy, w jakiejkolwiek formie, informacji st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anowiących Tajemnicę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runki ochrony Tajemnicy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Dla uniknięcia wątpliwości Strony potwierdzają, że Zleceniobiorca, niezależnie od obowiązków określonych </w:t>
      </w:r>
      <w:r w:rsidR="008B679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5F" w:rsidRDefault="00CB335F" w:rsidP="00EE1036">
      <w:r>
        <w:separator/>
      </w:r>
    </w:p>
  </w:endnote>
  <w:endnote w:type="continuationSeparator" w:id="0">
    <w:p w:rsidR="00CB335F" w:rsidRDefault="00CB335F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C1FC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C1FC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5F" w:rsidRDefault="00CB335F" w:rsidP="00EE1036">
      <w:r>
        <w:separator/>
      </w:r>
    </w:p>
  </w:footnote>
  <w:footnote w:type="continuationSeparator" w:id="0">
    <w:p w:rsidR="00CB335F" w:rsidRDefault="00CB335F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4" w:rsidRDefault="00CB13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2DAA8" wp14:editId="186B28FD">
          <wp:simplePos x="0" y="0"/>
          <wp:positionH relativeFrom="margin">
            <wp:align>center</wp:align>
          </wp:positionH>
          <wp:positionV relativeFrom="paragraph">
            <wp:posOffset>-35804</wp:posOffset>
          </wp:positionV>
          <wp:extent cx="2299970" cy="736600"/>
          <wp:effectExtent l="0" t="0" r="508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50B44"/>
    <w:rsid w:val="000D0B81"/>
    <w:rsid w:val="00112960"/>
    <w:rsid w:val="00286859"/>
    <w:rsid w:val="00294640"/>
    <w:rsid w:val="002B2CED"/>
    <w:rsid w:val="00311695"/>
    <w:rsid w:val="003A4D01"/>
    <w:rsid w:val="003A72E9"/>
    <w:rsid w:val="00412DF8"/>
    <w:rsid w:val="0043797D"/>
    <w:rsid w:val="004C1FCC"/>
    <w:rsid w:val="00563529"/>
    <w:rsid w:val="00716353"/>
    <w:rsid w:val="008B6799"/>
    <w:rsid w:val="00927783"/>
    <w:rsid w:val="00A04BAC"/>
    <w:rsid w:val="00C30CCB"/>
    <w:rsid w:val="00C45EFD"/>
    <w:rsid w:val="00CB1354"/>
    <w:rsid w:val="00CB335F"/>
    <w:rsid w:val="00D956AB"/>
    <w:rsid w:val="00E368A2"/>
    <w:rsid w:val="00EE1036"/>
    <w:rsid w:val="00F2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6F66-9794-4F36-AF14-21DF7621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Jezierska Angelika (PRO)</cp:lastModifiedBy>
  <cp:revision>2</cp:revision>
  <dcterms:created xsi:type="dcterms:W3CDTF">2023-07-21T10:36:00Z</dcterms:created>
  <dcterms:modified xsi:type="dcterms:W3CDTF">2023-07-21T10:36:00Z</dcterms:modified>
</cp:coreProperties>
</file>