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F9E63" w14:textId="77777777" w:rsidR="00D610EE" w:rsidRDefault="00D610EE" w:rsidP="00D610EE">
      <w:pPr>
        <w:spacing w:after="7"/>
        <w:ind w:left="355" w:right="0"/>
      </w:pPr>
      <w:r>
        <w:rPr>
          <w:b/>
        </w:rPr>
        <w:t xml:space="preserve">Wymagania do oferty </w:t>
      </w:r>
    </w:p>
    <w:p w14:paraId="69EC4621" w14:textId="77777777" w:rsidR="00D610EE" w:rsidRDefault="00D610EE" w:rsidP="00D610EE">
      <w:pPr>
        <w:spacing w:after="1" w:line="259" w:lineRule="auto"/>
        <w:ind w:left="720" w:right="0" w:firstLine="0"/>
        <w:jc w:val="left"/>
      </w:pPr>
      <w:r>
        <w:t xml:space="preserve"> </w:t>
      </w:r>
      <w:r>
        <w:tab/>
      </w:r>
      <w:r>
        <w:rPr>
          <w:b/>
        </w:rPr>
        <w:t xml:space="preserve"> </w:t>
      </w:r>
    </w:p>
    <w:p w14:paraId="284B5E18" w14:textId="53ED10B1" w:rsidR="00D610EE" w:rsidRDefault="00D610EE" w:rsidP="00D610EE">
      <w:pPr>
        <w:numPr>
          <w:ilvl w:val="1"/>
          <w:numId w:val="1"/>
        </w:numPr>
        <w:ind w:right="0" w:firstLine="283"/>
      </w:pPr>
      <w:r>
        <w:t xml:space="preserve">Dostarczenie opraw oświetleniowych, typu LED, spełniających wymagania Zamawiającego, </w:t>
      </w:r>
      <w:r w:rsidR="007F106C">
        <w:t xml:space="preserve">w ilości </w:t>
      </w:r>
      <w:r w:rsidR="002929F8">
        <w:t>1</w:t>
      </w:r>
      <w:r w:rsidR="006E1651">
        <w:t>98</w:t>
      </w:r>
      <w:r w:rsidR="002929F8">
        <w:t xml:space="preserve"> </w:t>
      </w:r>
      <w:r w:rsidR="007F106C">
        <w:t xml:space="preserve">sztuk </w:t>
      </w:r>
      <w:r>
        <w:t>kosztem i staraniem Oferenta (</w:t>
      </w:r>
      <w:r>
        <w:rPr>
          <w:u w:val="single" w:color="000000"/>
        </w:rPr>
        <w:t>dostawa zgodnie z DDP INCOTERMS 2020, dodatkowo rozładunek</w:t>
      </w:r>
      <w:r>
        <w:t xml:space="preserve"> </w:t>
      </w:r>
      <w:r>
        <w:rPr>
          <w:u w:val="single" w:color="000000"/>
        </w:rPr>
        <w:t>po stronie Oferenta, miejscem rozładunku będzie lokalizacja wskazana przez uprawnionego przedstawiciela</w:t>
      </w:r>
      <w:r>
        <w:t xml:space="preserve"> </w:t>
      </w:r>
      <w:r>
        <w:rPr>
          <w:u w:val="single" w:color="000000"/>
        </w:rPr>
        <w:t>Zamawiającego – hala/ magazyn/ garaż</w:t>
      </w:r>
      <w:r>
        <w:t xml:space="preserve">). Bębny kablowe, palety EURO, kartony, opakowania zbiorcze, itd., traktowane są jako opakowania jednorazowe, </w:t>
      </w:r>
      <w:r>
        <w:rPr>
          <w:b/>
        </w:rPr>
        <w:t>nie podlegają fakturowaniu</w:t>
      </w:r>
      <w:r>
        <w:t xml:space="preserve">. Ewentualny odbiór bębnów oraz palet odbywa się kosztem i staraniem Oferenta, bez udziału Zamawiającego. </w:t>
      </w:r>
    </w:p>
    <w:p w14:paraId="6E658D17" w14:textId="1C98E134" w:rsidR="00D610EE" w:rsidRDefault="00D610EE" w:rsidP="00D610EE">
      <w:pPr>
        <w:numPr>
          <w:ilvl w:val="1"/>
          <w:numId w:val="1"/>
        </w:numPr>
        <w:ind w:right="0" w:firstLine="283"/>
      </w:pPr>
      <w:r>
        <w:t>Dostarczenie obliczeń fotometrycznych podpisanych przez uprawnionego projektanta w wersji elektronicznej (plik w formacie .PDF - skan obliczeń fotometrycznych z podpisami projektanta) razem ze złożoną ofertą dla wszystkich wytypowanych sytuacji</w:t>
      </w:r>
      <w:r w:rsidR="00623EEC">
        <w:t xml:space="preserve"> z załączonej tabeli</w:t>
      </w:r>
    </w:p>
    <w:p w14:paraId="04B4A62D" w14:textId="2157B45D" w:rsidR="00E019B3" w:rsidRDefault="00E019B3" w:rsidP="00D610EE">
      <w:pPr>
        <w:numPr>
          <w:ilvl w:val="1"/>
          <w:numId w:val="1"/>
        </w:numPr>
        <w:ind w:right="0" w:firstLine="283"/>
      </w:pPr>
      <w:r>
        <w:rPr>
          <w:b/>
        </w:rPr>
        <w:t>Dostarczenie Oświadczenia Oferenta</w:t>
      </w:r>
      <w:r>
        <w:t xml:space="preserve"> (wzór załączony do Zapytania ofertowego). Oświadczenie Oferenta stanowi część Oferty i w przypadku stwierdzenia braku Oświadczenia, Oferta będzie traktowana jako złożona nieskutecznie. Wszelkie zmiany treści Oświadczenia Oferenta są zabronione</w:t>
      </w:r>
    </w:p>
    <w:p w14:paraId="3AD69EF5" w14:textId="137B8547" w:rsidR="00D610EE" w:rsidRDefault="00D610EE" w:rsidP="00D610EE">
      <w:pPr>
        <w:numPr>
          <w:ilvl w:val="1"/>
          <w:numId w:val="1"/>
        </w:numPr>
        <w:ind w:right="0" w:firstLine="283"/>
      </w:pPr>
      <w:r>
        <w:t xml:space="preserve">W Ofercie należy uwzględnić oprawy drogowe możliwe do dostarczenia w ciągu </w:t>
      </w:r>
      <w:r>
        <w:rPr>
          <w:b/>
        </w:rPr>
        <w:t>6-10 tygodni</w:t>
      </w:r>
      <w:r>
        <w:t xml:space="preserve"> od dnia przesłania zamówienia do Dostawcy – Oferent zobowiązany jest zadeklarować </w:t>
      </w:r>
      <w:r>
        <w:rPr>
          <w:strike/>
          <w:color w:val="0078D4"/>
        </w:rPr>
        <w:t xml:space="preserve"> </w:t>
      </w:r>
      <w:r>
        <w:t xml:space="preserve"> ilość tygodni na dostawę opraw. </w:t>
      </w:r>
    </w:p>
    <w:p w14:paraId="569CDF3D" w14:textId="77777777" w:rsidR="00D610EE" w:rsidRDefault="00D610EE" w:rsidP="00D610EE">
      <w:pPr>
        <w:numPr>
          <w:ilvl w:val="1"/>
          <w:numId w:val="1"/>
        </w:numPr>
        <w:spacing w:after="11" w:line="242" w:lineRule="auto"/>
        <w:ind w:right="0" w:firstLine="283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A29259" wp14:editId="17D51DA0">
                <wp:simplePos x="0" y="0"/>
                <wp:positionH relativeFrom="page">
                  <wp:posOffset>449580</wp:posOffset>
                </wp:positionH>
                <wp:positionV relativeFrom="page">
                  <wp:posOffset>4995667</wp:posOffset>
                </wp:positionV>
                <wp:extent cx="9144" cy="160020"/>
                <wp:effectExtent l="0" t="0" r="0" b="0"/>
                <wp:wrapSquare wrapText="bothSides"/>
                <wp:docPr id="7512" name="Group 75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" cy="160020"/>
                          <a:chOff x="0" y="0"/>
                          <a:chExt cx="9144" cy="160020"/>
                        </a:xfrm>
                      </wpg:grpSpPr>
                      <wps:wsp>
                        <wps:cNvPr id="10120" name="Shape 10120"/>
                        <wps:cNvSpPr/>
                        <wps:spPr>
                          <a:xfrm>
                            <a:off x="0" y="0"/>
                            <a:ext cx="9144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00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0020"/>
                                </a:lnTo>
                                <a:lnTo>
                                  <a:pt x="0" y="1600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05DF2E21" id="Group 7512" o:spid="_x0000_s1026" style="position:absolute;margin-left:35.4pt;margin-top:393.35pt;width:.7pt;height:12.6pt;z-index:251659264;mso-position-horizontal-relative:page;mso-position-vertical-relative:page" coordsize="9144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">
                <v:shape id="Shape 10120" o:spid="_x0000_s1027" style="position:absolute;width:9144;height:160020;visibility:visible;mso-wrap-style:square;v-text-anchor:top" coordsize="9144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" path="m,l9144,r,160020l,160020,,e" fillcolor="black" stroked="f" strokeweight="0">
                  <v:stroke miterlimit="83231f" joinstyle="miter"/>
                  <v:path arrowok="t" textboxrect="0,0,9144,160020"/>
                </v:shape>
                <w10:wrap type="square" anchorx="page" anchory="page"/>
              </v:group>
            </w:pict>
          </mc:Fallback>
        </mc:AlternateContent>
      </w:r>
      <w:r>
        <w:t xml:space="preserve">Warunki gwarancji – 10 lat. Zapewnienie oprawy zamiennej na czas naprawy oprawy uszkodzonej: do 10 dni roboczych od momentu zgłoszenia awarii. Oprawę po naprawie należy dostarczyć do Zamawiającego w ciągu 14 dni roboczych od momentu wysłania uszkodzonej oprawy do reklamacji. </w:t>
      </w:r>
    </w:p>
    <w:p w14:paraId="5B2D16E0" w14:textId="009DB6EF" w:rsidR="00D610EE" w:rsidRDefault="00D610EE" w:rsidP="00D610EE">
      <w:pPr>
        <w:numPr>
          <w:ilvl w:val="1"/>
          <w:numId w:val="1"/>
        </w:numPr>
        <w:spacing w:after="16" w:line="238" w:lineRule="auto"/>
        <w:ind w:right="0" w:firstLine="283"/>
      </w:pPr>
      <w:r>
        <w:rPr>
          <w:u w:val="single" w:color="000000"/>
        </w:rPr>
        <w:t>We wszystkich oprawach należy zastosować zasilacz jednego producenta, umożliwiający</w:t>
      </w:r>
      <w:r>
        <w:t xml:space="preserve"> </w:t>
      </w:r>
      <w:r>
        <w:rPr>
          <w:u w:val="single" w:color="000000"/>
        </w:rPr>
        <w:t>zaprogramowanie redukcji mocy: 5-stopniowej – szczegóły będą podane w zamówieniu oraz nawiązanie</w:t>
      </w:r>
      <w:r>
        <w:t xml:space="preserve"> </w:t>
      </w:r>
      <w:r>
        <w:rPr>
          <w:u w:val="single" w:color="000000"/>
        </w:rPr>
        <w:t>komunikacji w systemie DALI.</w:t>
      </w:r>
      <w:r>
        <w:t xml:space="preserve"> </w:t>
      </w:r>
      <w:r w:rsidR="00EB3B79">
        <w:t>Możliwość programowania zasilacza w technologii bezprzewodowej (np. NFC, Bluetooth)</w:t>
      </w:r>
    </w:p>
    <w:p w14:paraId="6BD388E8" w14:textId="77777777" w:rsidR="00D610EE" w:rsidRPr="00B4564C" w:rsidRDefault="00D610EE" w:rsidP="00D610EE">
      <w:pPr>
        <w:numPr>
          <w:ilvl w:val="1"/>
          <w:numId w:val="1"/>
        </w:numPr>
        <w:spacing w:after="7"/>
        <w:ind w:right="0" w:firstLine="283"/>
        <w:rPr>
          <w:bCs/>
        </w:rPr>
      </w:pPr>
      <w:r w:rsidRPr="00B4564C">
        <w:rPr>
          <w:bCs/>
        </w:rPr>
        <w:t xml:space="preserve">Zachowanie trwałości strumienia świetlnego diod LED w czasie 100 000h dla parametru L90B10. Niniejsze parametry należy potwierdzić raportem z badania zgodnie z IES LM-80 TM-21. </w:t>
      </w:r>
    </w:p>
    <w:p w14:paraId="2D381DF3" w14:textId="77777777" w:rsidR="00D610EE" w:rsidRPr="00B4564C" w:rsidRDefault="00D610EE" w:rsidP="00D610EE">
      <w:pPr>
        <w:numPr>
          <w:ilvl w:val="1"/>
          <w:numId w:val="1"/>
        </w:numPr>
        <w:spacing w:after="7"/>
        <w:ind w:right="0" w:firstLine="283"/>
        <w:rPr>
          <w:bCs/>
        </w:rPr>
      </w:pPr>
      <w:r w:rsidRPr="00B4564C">
        <w:rPr>
          <w:bCs/>
        </w:rPr>
        <w:t xml:space="preserve">Ze względu na konieczność utrzymania oszczędności zużycia energii elektrycznej na założonym poziomie nie ma możliwości stosowania w oprawach układu automatycznej redukcji ubytku strumienia świetlnego (bilans mocy opraw musi być stały w czasie trwałości projektu). </w:t>
      </w:r>
    </w:p>
    <w:p w14:paraId="5AF1A750" w14:textId="4B9F9DFA" w:rsidR="00D610EE" w:rsidRPr="00A43366" w:rsidRDefault="00D610EE" w:rsidP="00623EEC">
      <w:pPr>
        <w:numPr>
          <w:ilvl w:val="1"/>
          <w:numId w:val="1"/>
        </w:numPr>
        <w:spacing w:after="7"/>
        <w:ind w:right="0" w:firstLine="283"/>
        <w:rPr>
          <w:b/>
        </w:rPr>
      </w:pPr>
      <w:r w:rsidRPr="00A43366">
        <w:rPr>
          <w:b/>
        </w:rPr>
        <w:t>Do oferty należy załączyć karty techniczne oraz oświadczenie o zgodności parametrów opraw z wymaganiami w ofercie</w:t>
      </w:r>
      <w:r w:rsidR="00EB3B79" w:rsidRPr="00A43366">
        <w:rPr>
          <w:b/>
        </w:rPr>
        <w:t>, Certyfikat ENEC</w:t>
      </w:r>
      <w:r w:rsidR="00290594">
        <w:rPr>
          <w:b/>
        </w:rPr>
        <w:t xml:space="preserve"> </w:t>
      </w:r>
      <w:r w:rsidR="00EB3B79" w:rsidRPr="00A43366">
        <w:rPr>
          <w:b/>
        </w:rPr>
        <w:t>lub równoważny.</w:t>
      </w:r>
    </w:p>
    <w:p w14:paraId="00B30BD9" w14:textId="77777777" w:rsidR="00DD74ED" w:rsidRDefault="00D610EE" w:rsidP="00DD74ED">
      <w:pPr>
        <w:numPr>
          <w:ilvl w:val="1"/>
          <w:numId w:val="1"/>
        </w:numPr>
        <w:ind w:right="0" w:firstLine="283"/>
      </w:pPr>
      <w:r>
        <w:t xml:space="preserve">Oferowane oprawy drogowe powinny mieć temperaturę barwową w przedziale 3500-4300K. </w:t>
      </w:r>
    </w:p>
    <w:p w14:paraId="490F62E7" w14:textId="62FB120E" w:rsidR="00DD74ED" w:rsidRPr="00BC5660" w:rsidRDefault="00DD74ED" w:rsidP="00DD74ED">
      <w:pPr>
        <w:numPr>
          <w:ilvl w:val="1"/>
          <w:numId w:val="1"/>
        </w:numPr>
        <w:ind w:right="0" w:firstLine="283"/>
        <w:rPr>
          <w:b/>
          <w:bCs/>
        </w:rPr>
      </w:pPr>
      <w:r w:rsidRPr="00BC5660">
        <w:rPr>
          <w:b/>
          <w:bCs/>
        </w:rPr>
        <w:t>Oprawy z dodatkowym wyposażeniem w postaci gniazda/złącza ZHAGA z hermetyczną zaślepką</w:t>
      </w:r>
      <w:r w:rsidR="00E3601F" w:rsidRPr="00BC5660">
        <w:rPr>
          <w:b/>
          <w:bCs/>
        </w:rPr>
        <w:t>; certyfikat D4i</w:t>
      </w:r>
      <w:r w:rsidR="00BC5660" w:rsidRPr="00BC5660">
        <w:rPr>
          <w:b/>
          <w:bCs/>
        </w:rPr>
        <w:t xml:space="preserve"> – wymaganie dotyczy opraw parkowych i drogowych.</w:t>
      </w:r>
    </w:p>
    <w:p w14:paraId="7615E2AF" w14:textId="4EF0E12E" w:rsidR="0043259C" w:rsidRDefault="0043259C" w:rsidP="00D610EE">
      <w:pPr>
        <w:numPr>
          <w:ilvl w:val="1"/>
          <w:numId w:val="1"/>
        </w:numPr>
        <w:ind w:right="0" w:firstLine="283"/>
      </w:pPr>
      <w:r>
        <w:t>Stopień ochronności IK min 08 dla całej oprawy (w tym klosza)</w:t>
      </w:r>
    </w:p>
    <w:p w14:paraId="0FFF9E8E" w14:textId="2732B9B5" w:rsidR="00D610EE" w:rsidRDefault="00D610EE" w:rsidP="00D610EE">
      <w:pPr>
        <w:numPr>
          <w:ilvl w:val="1"/>
          <w:numId w:val="1"/>
        </w:numPr>
        <w:ind w:right="0" w:firstLine="283"/>
      </w:pPr>
      <w:r>
        <w:t xml:space="preserve">Korpus oprawy drogowej: </w:t>
      </w:r>
      <w:r w:rsidR="002929F8">
        <w:t xml:space="preserve">dwukomorowy, </w:t>
      </w:r>
      <w:r>
        <w:t>ciśnieniowy odlew aluminiowy, w całości malowany proszkowo</w:t>
      </w:r>
      <w:r w:rsidR="001A4E3D">
        <w:t>, z dostęp</w:t>
      </w:r>
      <w:r w:rsidR="00896D26">
        <w:t xml:space="preserve">em </w:t>
      </w:r>
      <w:r w:rsidR="009C5548">
        <w:t xml:space="preserve">narzędziowym lub bez narzędziowym </w:t>
      </w:r>
      <w:r w:rsidR="00896D26">
        <w:t>do części serwisowej</w:t>
      </w:r>
      <w:r w:rsidR="001A4E3D">
        <w:t xml:space="preserve"> </w:t>
      </w:r>
      <w:r w:rsidR="00896D26">
        <w:t xml:space="preserve">(do </w:t>
      </w:r>
      <w:r w:rsidR="001A4E3D">
        <w:t>zasilacza</w:t>
      </w:r>
      <w:r w:rsidR="00896D26">
        <w:t>)</w:t>
      </w:r>
    </w:p>
    <w:p w14:paraId="4E2C1C93" w14:textId="5A0C8852" w:rsidR="0043259C" w:rsidRDefault="0043259C" w:rsidP="00D610EE">
      <w:pPr>
        <w:numPr>
          <w:ilvl w:val="1"/>
          <w:numId w:val="1"/>
        </w:numPr>
        <w:ind w:right="0" w:firstLine="283"/>
      </w:pPr>
      <w:r>
        <w:t xml:space="preserve">Klosz wykonany ze szkła hartowanego dla opraw drogowych lub </w:t>
      </w:r>
      <w:proofErr w:type="spellStart"/>
      <w:r>
        <w:t>poliwenglanu</w:t>
      </w:r>
      <w:proofErr w:type="spellEnd"/>
      <w:r>
        <w:t xml:space="preserve"> odpornego na UV dla opraw parkowych</w:t>
      </w:r>
    </w:p>
    <w:p w14:paraId="5C725752" w14:textId="77777777" w:rsidR="00D610EE" w:rsidRDefault="00D610EE" w:rsidP="00D610EE">
      <w:pPr>
        <w:numPr>
          <w:ilvl w:val="1"/>
          <w:numId w:val="1"/>
        </w:numPr>
        <w:ind w:right="0" w:firstLine="283"/>
      </w:pPr>
      <w:r>
        <w:t xml:space="preserve">Regulacja kąta nachylenia przy montażu na słupie/wysięgniku od -15˚ do +15˚, dla opraw drogowych. </w:t>
      </w:r>
    </w:p>
    <w:p w14:paraId="298CC54C" w14:textId="77777777" w:rsidR="00D610EE" w:rsidRDefault="00D610EE" w:rsidP="00D610EE">
      <w:pPr>
        <w:numPr>
          <w:ilvl w:val="1"/>
          <w:numId w:val="1"/>
        </w:numPr>
        <w:ind w:right="0" w:firstLine="283"/>
      </w:pPr>
      <w:r>
        <w:t xml:space="preserve">Klasa ochronności opraw oświetleniowych: II. </w:t>
      </w:r>
    </w:p>
    <w:p w14:paraId="23D1C493" w14:textId="77777777" w:rsidR="00032FC7" w:rsidRDefault="00D610EE" w:rsidP="00032FC7">
      <w:pPr>
        <w:numPr>
          <w:ilvl w:val="1"/>
          <w:numId w:val="1"/>
        </w:numPr>
        <w:ind w:right="0" w:firstLine="283"/>
      </w:pPr>
      <w:r>
        <w:t xml:space="preserve">Klasa szczelności opraw: minimum IP66. </w:t>
      </w:r>
    </w:p>
    <w:p w14:paraId="202979F2" w14:textId="12CED518" w:rsidR="00032FC7" w:rsidRDefault="00032FC7" w:rsidP="00032FC7">
      <w:pPr>
        <w:numPr>
          <w:ilvl w:val="1"/>
          <w:numId w:val="1"/>
        </w:numPr>
        <w:ind w:right="0" w:firstLine="283"/>
      </w:pPr>
      <w:r w:rsidRPr="00032FC7">
        <w:t>Współczynnik konserwacji: 0,85.</w:t>
      </w:r>
    </w:p>
    <w:p w14:paraId="7D75A064" w14:textId="14E3FDC3" w:rsidR="00C0266B" w:rsidRDefault="00C0266B" w:rsidP="00C0266B">
      <w:pPr>
        <w:numPr>
          <w:ilvl w:val="1"/>
          <w:numId w:val="1"/>
        </w:numPr>
        <w:ind w:right="0" w:firstLine="283"/>
      </w:pPr>
      <w:r>
        <w:lastRenderedPageBreak/>
        <w:t xml:space="preserve">Łączna moc opraw nie może przekroczyć: </w:t>
      </w:r>
      <w:r w:rsidR="002929F8">
        <w:rPr>
          <w:b/>
        </w:rPr>
        <w:t>1</w:t>
      </w:r>
      <w:r w:rsidR="006E1651">
        <w:rPr>
          <w:b/>
        </w:rPr>
        <w:t>3</w:t>
      </w:r>
      <w:r w:rsidR="00DA12B7">
        <w:rPr>
          <w:b/>
        </w:rPr>
        <w:t>,0</w:t>
      </w:r>
      <w:r w:rsidR="006E1651">
        <w:rPr>
          <w:b/>
        </w:rPr>
        <w:t>0</w:t>
      </w:r>
      <w:r w:rsidRPr="00C0266B">
        <w:rPr>
          <w:b/>
        </w:rPr>
        <w:t xml:space="preserve"> </w:t>
      </w:r>
      <w:proofErr w:type="spellStart"/>
      <w:r w:rsidRPr="00C0266B">
        <w:rPr>
          <w:b/>
        </w:rPr>
        <w:t>kW.</w:t>
      </w:r>
      <w:proofErr w:type="spellEnd"/>
      <w:r>
        <w:t xml:space="preserve"> </w:t>
      </w:r>
    </w:p>
    <w:p w14:paraId="60F473EF" w14:textId="77777777" w:rsidR="00C0266B" w:rsidRDefault="00C0266B" w:rsidP="00C0266B">
      <w:pPr>
        <w:numPr>
          <w:ilvl w:val="1"/>
          <w:numId w:val="1"/>
        </w:numPr>
        <w:ind w:right="0" w:firstLine="283"/>
      </w:pPr>
      <w:r>
        <w:t xml:space="preserve">oferent ma obowiązek wykonać bilans mocy opraw oświetleniowych po wykonanej modernizacji. </w:t>
      </w:r>
    </w:p>
    <w:p w14:paraId="3CB0533C" w14:textId="77777777" w:rsidR="007F033C" w:rsidRDefault="007F033C" w:rsidP="007F033C">
      <w:pPr>
        <w:numPr>
          <w:ilvl w:val="1"/>
          <w:numId w:val="1"/>
        </w:numPr>
        <w:spacing w:line="244" w:lineRule="auto"/>
        <w:ind w:right="0"/>
        <w:rPr>
          <w:b/>
          <w:bCs/>
          <w:u w:val="single"/>
        </w:rPr>
      </w:pPr>
      <w:r>
        <w:rPr>
          <w:b/>
          <w:bCs/>
          <w:u w:val="single"/>
        </w:rPr>
        <w:t xml:space="preserve">Zwycięski oferent ma obowiązek oznaczyć na kartonach z oprawami numer sytuacji drogowej do której dana oprawa została przyporządkowana oraz na opakowaniach zbiorczych kod zamówienia Klienta </w:t>
      </w:r>
    </w:p>
    <w:p w14:paraId="1416E444" w14:textId="77777777" w:rsidR="00C0266B" w:rsidRDefault="00C0266B" w:rsidP="00C0266B">
      <w:pPr>
        <w:ind w:left="425" w:right="0" w:firstLine="0"/>
      </w:pPr>
    </w:p>
    <w:p w14:paraId="6B12AA56" w14:textId="77777777" w:rsidR="00B662FF" w:rsidRDefault="00B662FF" w:rsidP="00D610EE">
      <w:pPr>
        <w:spacing w:after="0" w:line="259" w:lineRule="auto"/>
        <w:ind w:left="0" w:right="0" w:firstLine="0"/>
        <w:jc w:val="left"/>
      </w:pPr>
    </w:p>
    <w:p w14:paraId="4B506AE3" w14:textId="77777777" w:rsidR="0073183B" w:rsidRDefault="0073183B" w:rsidP="0073183B">
      <w:pPr>
        <w:spacing w:after="7"/>
        <w:ind w:left="705" w:right="0" w:firstLine="0"/>
        <w:rPr>
          <w:b/>
        </w:rPr>
      </w:pPr>
    </w:p>
    <w:p w14:paraId="0388D221" w14:textId="43B3299E" w:rsidR="0073183B" w:rsidRDefault="0073183B" w:rsidP="0073183B">
      <w:pPr>
        <w:spacing w:after="7"/>
        <w:ind w:left="705" w:right="0" w:firstLine="0"/>
      </w:pPr>
      <w:r>
        <w:rPr>
          <w:b/>
        </w:rPr>
        <w:t xml:space="preserve">Kary umowne. </w:t>
      </w:r>
    </w:p>
    <w:p w14:paraId="32F1E846" w14:textId="77777777" w:rsidR="0073183B" w:rsidRDefault="0073183B" w:rsidP="0073183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5688652" w14:textId="77777777" w:rsidR="0073183B" w:rsidRDefault="0073183B" w:rsidP="0073183B">
      <w:pPr>
        <w:spacing w:after="285"/>
        <w:ind w:left="-5" w:right="0"/>
      </w:pPr>
      <w:r>
        <w:t xml:space="preserve">Zamawiający jest uprawniony do naliczenia Dostawcy kar umownych z tytułu niewykonania lub nienależytego wykonania przedmiotu dostawy: </w:t>
      </w:r>
    </w:p>
    <w:p w14:paraId="15F5B6CF" w14:textId="77777777" w:rsidR="0073183B" w:rsidRDefault="0073183B" w:rsidP="0073183B">
      <w:pPr>
        <w:numPr>
          <w:ilvl w:val="1"/>
          <w:numId w:val="2"/>
        </w:numPr>
        <w:ind w:right="0" w:hanging="360"/>
      </w:pPr>
      <w:r>
        <w:t xml:space="preserve">za opóźnienie realizacji dostawy względem terminu określonego w Zamówieniu Dostawy – w wysokości 0,5% wartości opóźnionego zamówienia netto za każdy dzień opóźnienia, przy czym wartość tę stanowi iloczyn średniej wartości oprawy (ustalonej zgodnie z pkt g) i ilości opraw dostarczonych po terminie </w:t>
      </w:r>
    </w:p>
    <w:p w14:paraId="0E72CD76" w14:textId="77777777" w:rsidR="0073183B" w:rsidRDefault="0073183B" w:rsidP="0073183B">
      <w:pPr>
        <w:numPr>
          <w:ilvl w:val="1"/>
          <w:numId w:val="2"/>
        </w:numPr>
        <w:ind w:right="0" w:hanging="360"/>
      </w:pPr>
      <w:r>
        <w:t xml:space="preserve">za opóźnienie w usunięciu wady, naprawy lub wymiany gwarancyjnej wobec warunków gwarancji – w wysokości 0,2% wartości netto danej oprawy, za każdy dzień opóźnienia liczony od upływu terminu określonego w niniejszym Zapytaniu o cenę. </w:t>
      </w:r>
    </w:p>
    <w:p w14:paraId="6540EC6D" w14:textId="77777777" w:rsidR="0073183B" w:rsidRDefault="0073183B" w:rsidP="0073183B">
      <w:pPr>
        <w:numPr>
          <w:ilvl w:val="1"/>
          <w:numId w:val="2"/>
        </w:numPr>
        <w:ind w:right="0" w:hanging="360"/>
      </w:pPr>
      <w:r>
        <w:t xml:space="preserve">za odstąpienie przez Dostawcę od realizacji Zamówienia Dostawy z przyczyn nie leżących po stronie </w:t>
      </w:r>
    </w:p>
    <w:p w14:paraId="06BAF328" w14:textId="5F5A12DB" w:rsidR="0073183B" w:rsidRDefault="0073183B" w:rsidP="0073183B">
      <w:pPr>
        <w:ind w:left="730" w:right="0"/>
      </w:pPr>
      <w:r>
        <w:t xml:space="preserve">Zamawiającego – w wysokości 20% całkowitej wartości netto zamówienia; </w:t>
      </w:r>
    </w:p>
    <w:p w14:paraId="4D0F0C0A" w14:textId="77777777" w:rsidR="0073183B" w:rsidRDefault="0073183B" w:rsidP="0073183B">
      <w:pPr>
        <w:numPr>
          <w:ilvl w:val="1"/>
          <w:numId w:val="2"/>
        </w:numPr>
        <w:ind w:right="0" w:hanging="360"/>
      </w:pPr>
      <w:r>
        <w:t xml:space="preserve">łączna wysokość kar umownych nie może przekroczyć kwoty równej 100% wartości zamówionych materiałów; </w:t>
      </w:r>
    </w:p>
    <w:p w14:paraId="554DB28C" w14:textId="77777777" w:rsidR="0073183B" w:rsidRDefault="0073183B" w:rsidP="0073183B">
      <w:pPr>
        <w:numPr>
          <w:ilvl w:val="1"/>
          <w:numId w:val="2"/>
        </w:numPr>
        <w:ind w:right="0" w:hanging="360"/>
      </w:pPr>
      <w:r>
        <w:t xml:space="preserve">w przypadku, gdy kary umowne nie pokrywają wielkości poniesionych szkód, Zamawiający ma prawo żądać, na zasadach ogólnych, odszkodowania uzupełniającego przewyższającego wysokość zastrzeżonych kar umownych aż do pełnego pokrycia szkody; </w:t>
      </w:r>
    </w:p>
    <w:p w14:paraId="20C799AD" w14:textId="0EDD874C" w:rsidR="0073183B" w:rsidRDefault="0073183B" w:rsidP="0073183B">
      <w:pPr>
        <w:numPr>
          <w:ilvl w:val="1"/>
          <w:numId w:val="2"/>
        </w:numPr>
        <w:ind w:right="0" w:hanging="360"/>
      </w:pPr>
      <w:r>
        <w:t>podstawą do zapłaty kary umownej jest Nota obciążeniowa wystawiona przez Zamawiającego. Po wystawieniu Noty obciążeniowej przez Zamawiającego, płatność z tytułu kary umownej zostanie potrącona z należnym Dostawcy wynagrodzeniem z tytułu realizacji przedmiotu dostawy.</w:t>
      </w:r>
    </w:p>
    <w:p w14:paraId="245F3C25" w14:textId="77777777" w:rsidR="0073183B" w:rsidRDefault="0073183B" w:rsidP="0073183B">
      <w:pPr>
        <w:numPr>
          <w:ilvl w:val="1"/>
          <w:numId w:val="2"/>
        </w:numPr>
        <w:spacing w:after="285"/>
        <w:ind w:right="0" w:hanging="360"/>
      </w:pPr>
      <w:r>
        <w:t xml:space="preserve">średnią wartość oprawy stanowi iloraz wartości całego Zamówienia Dostawy oraz ilości wszystkich opraw w ramach Zamówienia Dostawy. </w:t>
      </w:r>
    </w:p>
    <w:p w14:paraId="3045DF00" w14:textId="77777777" w:rsidR="0073183B" w:rsidRDefault="0073183B"/>
    <w:sectPr w:rsidR="007318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3571E"/>
    <w:multiLevelType w:val="hybridMultilevel"/>
    <w:tmpl w:val="C4B4E4F2"/>
    <w:lvl w:ilvl="0" w:tplc="977040E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96421E">
      <w:start w:val="5"/>
      <w:numFmt w:val="decimal"/>
      <w:lvlRestart w:val="0"/>
      <w:lvlText w:val="%2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68BE1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4832F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47A2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88B3E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12811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A65A3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A492C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104AB1"/>
    <w:multiLevelType w:val="hybridMultilevel"/>
    <w:tmpl w:val="399A3878"/>
    <w:lvl w:ilvl="0" w:tplc="E6A2977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3811CE">
      <w:start w:val="1"/>
      <w:numFmt w:val="lowerLetter"/>
      <w:lvlRestart w:val="0"/>
      <w:lvlText w:val="%2)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DC930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1ACE6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F4709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28219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22644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34234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4A5F7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A092DE9"/>
    <w:multiLevelType w:val="hybridMultilevel"/>
    <w:tmpl w:val="00BCABEE"/>
    <w:lvl w:ilvl="0" w:tplc="4C969E14">
      <w:start w:val="10"/>
      <w:numFmt w:val="lowerLetter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864E30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1A6088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6E9B8E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067A9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649CCE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BE4B3E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964558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548496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898423F"/>
    <w:multiLevelType w:val="hybridMultilevel"/>
    <w:tmpl w:val="3F78459A"/>
    <w:lvl w:ilvl="0" w:tplc="8470455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B810F0">
      <w:start w:val="1"/>
      <w:numFmt w:val="lowerLetter"/>
      <w:lvlRestart w:val="0"/>
      <w:lvlText w:val="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C8DAA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E4D17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C8B70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32660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9A372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3A755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04C5D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08989497">
    <w:abstractNumId w:val="1"/>
  </w:num>
  <w:num w:numId="2" w16cid:durableId="199975955">
    <w:abstractNumId w:val="3"/>
  </w:num>
  <w:num w:numId="3" w16cid:durableId="1912739961">
    <w:abstractNumId w:val="0"/>
  </w:num>
  <w:num w:numId="4" w16cid:durableId="1897667812">
    <w:abstractNumId w:val="2"/>
  </w:num>
  <w:num w:numId="5" w16cid:durableId="186419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0EE"/>
    <w:rsid w:val="00032FC7"/>
    <w:rsid w:val="00037B36"/>
    <w:rsid w:val="00043137"/>
    <w:rsid w:val="00054FD2"/>
    <w:rsid w:val="000E4DDE"/>
    <w:rsid w:val="000F57F3"/>
    <w:rsid w:val="0014574B"/>
    <w:rsid w:val="00151655"/>
    <w:rsid w:val="00176D8B"/>
    <w:rsid w:val="001A4E3D"/>
    <w:rsid w:val="00253ECF"/>
    <w:rsid w:val="00290594"/>
    <w:rsid w:val="002929F8"/>
    <w:rsid w:val="002C6472"/>
    <w:rsid w:val="00410917"/>
    <w:rsid w:val="0043259C"/>
    <w:rsid w:val="0045696C"/>
    <w:rsid w:val="00474C62"/>
    <w:rsid w:val="00617C09"/>
    <w:rsid w:val="00623EEC"/>
    <w:rsid w:val="00650B00"/>
    <w:rsid w:val="00697C88"/>
    <w:rsid w:val="006E1651"/>
    <w:rsid w:val="00730E56"/>
    <w:rsid w:val="0073183B"/>
    <w:rsid w:val="007B63F6"/>
    <w:rsid w:val="007F033C"/>
    <w:rsid w:val="007F106C"/>
    <w:rsid w:val="00896D26"/>
    <w:rsid w:val="008B36FD"/>
    <w:rsid w:val="008E135C"/>
    <w:rsid w:val="00933DD3"/>
    <w:rsid w:val="009C5548"/>
    <w:rsid w:val="00A03906"/>
    <w:rsid w:val="00A43366"/>
    <w:rsid w:val="00A80378"/>
    <w:rsid w:val="00AF6840"/>
    <w:rsid w:val="00B4564C"/>
    <w:rsid w:val="00B662FF"/>
    <w:rsid w:val="00BC2A18"/>
    <w:rsid w:val="00BC5660"/>
    <w:rsid w:val="00C0266B"/>
    <w:rsid w:val="00C07938"/>
    <w:rsid w:val="00D11558"/>
    <w:rsid w:val="00D30883"/>
    <w:rsid w:val="00D610EE"/>
    <w:rsid w:val="00D8068C"/>
    <w:rsid w:val="00DA12B7"/>
    <w:rsid w:val="00DB5BB1"/>
    <w:rsid w:val="00DD74ED"/>
    <w:rsid w:val="00E019B3"/>
    <w:rsid w:val="00E3601F"/>
    <w:rsid w:val="00EB3B79"/>
    <w:rsid w:val="00EE52A6"/>
    <w:rsid w:val="00F7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CFFA5"/>
  <w15:chartTrackingRefBased/>
  <w15:docId w15:val="{4E16AE6A-B85E-4B66-824E-764B1628B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0EE"/>
    <w:pPr>
      <w:spacing w:after="5" w:line="249" w:lineRule="auto"/>
      <w:ind w:left="10" w:right="2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610E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D7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5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749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Kukulska Katarzyna (25008341)</dc:creator>
  <cp:keywords/>
  <dc:description/>
  <cp:lastModifiedBy>Kukulska Katarzyna (25008341)</cp:lastModifiedBy>
  <cp:revision>2</cp:revision>
  <dcterms:created xsi:type="dcterms:W3CDTF">2024-11-26T06:45:00Z</dcterms:created>
  <dcterms:modified xsi:type="dcterms:W3CDTF">2024-11-26T06:45:00Z</dcterms:modified>
</cp:coreProperties>
</file>