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0EC9" w14:textId="07C95561" w:rsidR="002949BA" w:rsidRPr="002949BA" w:rsidRDefault="002949BA" w:rsidP="002949BA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2949BA">
        <w:rPr>
          <w:rStyle w:val="FontStyle61"/>
          <w:sz w:val="20"/>
          <w:szCs w:val="20"/>
        </w:rPr>
        <w:t xml:space="preserve">Załącznik nr </w:t>
      </w:r>
      <w:r w:rsidR="00654F49">
        <w:rPr>
          <w:rStyle w:val="FontStyle61"/>
          <w:sz w:val="20"/>
          <w:szCs w:val="20"/>
        </w:rPr>
        <w:t>7</w:t>
      </w:r>
      <w:r w:rsidRPr="008C7082">
        <w:rPr>
          <w:rStyle w:val="FontStyle61"/>
          <w:sz w:val="20"/>
          <w:szCs w:val="20"/>
        </w:rPr>
        <w:t xml:space="preserve"> d</w:t>
      </w:r>
      <w:r w:rsidRPr="002949BA">
        <w:rPr>
          <w:rStyle w:val="FontStyle61"/>
          <w:sz w:val="20"/>
          <w:szCs w:val="20"/>
        </w:rPr>
        <w:t xml:space="preserve">o </w:t>
      </w:r>
      <w:r w:rsidR="00AA700B">
        <w:rPr>
          <w:rStyle w:val="FontStyle61"/>
          <w:sz w:val="20"/>
          <w:szCs w:val="20"/>
        </w:rPr>
        <w:t xml:space="preserve">Zapytania </w:t>
      </w:r>
      <w:r w:rsidR="008C7082">
        <w:rPr>
          <w:rStyle w:val="FontStyle61"/>
          <w:sz w:val="20"/>
          <w:szCs w:val="20"/>
        </w:rPr>
        <w:t>o</w:t>
      </w:r>
      <w:r w:rsidR="00AA700B">
        <w:rPr>
          <w:rStyle w:val="FontStyle61"/>
          <w:sz w:val="20"/>
          <w:szCs w:val="20"/>
        </w:rPr>
        <w:t>fertowego</w:t>
      </w:r>
    </w:p>
    <w:p w14:paraId="1E87FBAE" w14:textId="77777777" w:rsidR="002949BA" w:rsidRDefault="002949BA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66F73F59" w14:textId="16CB3EF2" w:rsidR="002E58E4" w:rsidRPr="0032769C" w:rsidRDefault="005A7F56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FF295C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32769C">
        <w:rPr>
          <w:rFonts w:ascii="Arial Narrow" w:hAnsi="Arial Narrow" w:cstheme="minorHAnsi"/>
          <w:sz w:val="20"/>
          <w:szCs w:val="20"/>
        </w:rPr>
        <w:t>z siedzibą w Gdańsku (80-309) przy Al. Grunwaldzkiej 472, (adres do korespondencji: Pruszcz Gdański 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6C654627" w14:textId="77777777" w:rsidR="002E58E4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34F5D5EC" w14:textId="5DA3B50B" w:rsidR="007F7B40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32769C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1EBA97BF" w14:textId="5FDE105A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58D5"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0457D3C2" w:rsidR="006C6E04" w:rsidRPr="0032769C" w:rsidRDefault="00654F49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 w:rsidR="00742A08" w:rsidRPr="0032769C"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………………………………………………………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77777777" w:rsidR="001E3144" w:rsidRPr="0032769C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0511FEC4" w14:textId="218F7547" w:rsidR="007F7B40" w:rsidRPr="0032769C" w:rsidRDefault="00654F49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hyperlink r:id="rId9" w:history="1">
        <w:r w:rsidR="002E58E4" w:rsidRPr="0032769C"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faktury.oze@energa.pl</w:t>
        </w:r>
      </w:hyperlink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lastRenderedPageBreak/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63CEFB80" w:rsidR="007F7B40" w:rsidRPr="0032769C" w:rsidRDefault="005A7F56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Energa</w:t>
      </w:r>
      <w:r w:rsidR="00FF295C">
        <w:rPr>
          <w:rFonts w:ascii="Arial Narrow" w:hAnsi="Arial Narrow" w:cstheme="minorHAnsi"/>
          <w:b/>
          <w:sz w:val="20"/>
          <w:szCs w:val="20"/>
        </w:rPr>
        <w:t xml:space="preserve"> Wytwarzanie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 xml:space="preserve"> SA, Pruszcz Gdański (83-000) ul.</w:t>
      </w:r>
      <w:r w:rsidR="001E3144" w:rsidRPr="0032769C">
        <w:rPr>
          <w:rFonts w:ascii="Arial Narrow" w:hAnsi="Arial Narrow" w:cstheme="minorHAnsi"/>
          <w:b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>Grunwaldzka 42 A</w:t>
      </w:r>
    </w:p>
    <w:p w14:paraId="65F6ACCD" w14:textId="55532DE0" w:rsidR="001E3144" w:rsidRPr="0032769C" w:rsidRDefault="007F7B40" w:rsidP="002E58E4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35024A4" w14:textId="76BCBEB5" w:rsidR="007F7B40" w:rsidRPr="0032769C" w:rsidRDefault="001B62BA" w:rsidP="00414A28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S_tradnl"/>
        </w:rPr>
        <w:t>danuta.kozak</w:t>
      </w:r>
      <w:r w:rsidR="00414A28" w:rsidRPr="0032769C">
        <w:rPr>
          <w:rFonts w:ascii="Arial Narrow" w:hAnsi="Arial Narrow" w:cstheme="minorHAnsi"/>
          <w:b/>
          <w:bCs/>
          <w:sz w:val="20"/>
          <w:szCs w:val="20"/>
          <w:lang w:val="es-ES_tradnl"/>
        </w:rPr>
        <w:t>@energa.pl</w:t>
      </w:r>
    </w:p>
    <w:p w14:paraId="38301B46" w14:textId="77777777" w:rsidR="002E58E4" w:rsidRPr="0032769C" w:rsidRDefault="002E58E4" w:rsidP="002E58E4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9D7EAF4" w14:textId="77777777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Wskazane powyżej w ust. 1 i 2 adresy skrzynek pocztowych Nabywcy i Wystawcy są jedynymi właściwymi adresami do przesyłania faktur elektronicznych. Faktury otrzymane z innych adresów uznane będą jako błędne. Za moment doręczenia dokumentów drogą elektroniczną  uważa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6E16CCE0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niezwłocznie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FF295C">
        <w:rPr>
          <w:sz w:val="20"/>
          <w:szCs w:val="20"/>
        </w:rPr>
        <w:t>Wytwarzanie</w:t>
      </w:r>
      <w:r w:rsidRPr="0032769C">
        <w:rPr>
          <w:sz w:val="20"/>
          <w:szCs w:val="20"/>
        </w:rPr>
        <w:t xml:space="preserve"> SA:</w:t>
      </w:r>
      <w:r w:rsidR="00906D64" w:rsidRPr="00906D64">
        <w:t xml:space="preserve"> </w:t>
      </w:r>
      <w:hyperlink r:id="rId10" w:history="1">
        <w:r w:rsidR="00906D64" w:rsidRPr="00146C30">
          <w:rPr>
            <w:rStyle w:val="Hipercze"/>
            <w:sz w:val="20"/>
            <w:szCs w:val="20"/>
          </w:rPr>
          <w:t>https://energa-wytwarzanie.pl/rodo-obowiazek-informacyjny</w:t>
        </w:r>
      </w:hyperlink>
      <w:r w:rsidR="00906D64">
        <w:rPr>
          <w:sz w:val="20"/>
          <w:szCs w:val="20"/>
        </w:rPr>
        <w:t xml:space="preserve"> </w:t>
      </w: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39B18815" w:rsidR="00FE16B2" w:rsidRPr="0032769C" w:rsidRDefault="00197F6D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>,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32769C" w:rsidRDefault="001843F6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E879B" w14:textId="77777777" w:rsidR="00096ABE" w:rsidRDefault="00096ABE" w:rsidP="007F7B40">
      <w:pPr>
        <w:spacing w:after="0" w:line="240" w:lineRule="auto"/>
      </w:pPr>
      <w:r>
        <w:separator/>
      </w:r>
    </w:p>
  </w:endnote>
  <w:endnote w:type="continuationSeparator" w:id="0">
    <w:p w14:paraId="61AA6D46" w14:textId="77777777" w:rsidR="00096ABE" w:rsidRDefault="00096ABE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6B20" w14:textId="77777777" w:rsidR="00096ABE" w:rsidRDefault="00096ABE" w:rsidP="007F7B40">
      <w:pPr>
        <w:spacing w:after="0" w:line="240" w:lineRule="auto"/>
      </w:pPr>
      <w:r>
        <w:separator/>
      </w:r>
    </w:p>
  </w:footnote>
  <w:footnote w:type="continuationSeparator" w:id="0">
    <w:p w14:paraId="7C694804" w14:textId="77777777" w:rsidR="00096ABE" w:rsidRDefault="00096ABE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EB829C68"/>
    <w:lvl w:ilvl="0" w:tplc="E91C7E0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25208CBE"/>
    <w:lvl w:ilvl="0" w:tplc="017C28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B6D249A8"/>
    <w:lvl w:ilvl="0" w:tplc="25686C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7C8215C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78B64208"/>
    <w:lvl w:ilvl="0" w:tplc="997CB8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9522">
    <w:abstractNumId w:val="1"/>
  </w:num>
  <w:num w:numId="2" w16cid:durableId="1044063527">
    <w:abstractNumId w:val="3"/>
  </w:num>
  <w:num w:numId="3" w16cid:durableId="156388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671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553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5691738">
    <w:abstractNumId w:val="15"/>
  </w:num>
  <w:num w:numId="7" w16cid:durableId="1356690657">
    <w:abstractNumId w:val="5"/>
  </w:num>
  <w:num w:numId="8" w16cid:durableId="733968563">
    <w:abstractNumId w:val="0"/>
  </w:num>
  <w:num w:numId="9" w16cid:durableId="1688171215">
    <w:abstractNumId w:val="10"/>
  </w:num>
  <w:num w:numId="10" w16cid:durableId="1031296166">
    <w:abstractNumId w:val="6"/>
  </w:num>
  <w:num w:numId="11" w16cid:durableId="979959918">
    <w:abstractNumId w:val="2"/>
  </w:num>
  <w:num w:numId="12" w16cid:durableId="1617366437">
    <w:abstractNumId w:val="14"/>
  </w:num>
  <w:num w:numId="13" w16cid:durableId="2048137229">
    <w:abstractNumId w:val="17"/>
  </w:num>
  <w:num w:numId="14" w16cid:durableId="378289127">
    <w:abstractNumId w:val="16"/>
  </w:num>
  <w:num w:numId="15" w16cid:durableId="755636155">
    <w:abstractNumId w:val="4"/>
  </w:num>
  <w:num w:numId="16" w16cid:durableId="1454716200">
    <w:abstractNumId w:val="8"/>
  </w:num>
  <w:num w:numId="17" w16cid:durableId="904951859">
    <w:abstractNumId w:val="11"/>
  </w:num>
  <w:num w:numId="18" w16cid:durableId="14009023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7752C"/>
    <w:rsid w:val="00096ABE"/>
    <w:rsid w:val="000C0FE4"/>
    <w:rsid w:val="0013015B"/>
    <w:rsid w:val="00156856"/>
    <w:rsid w:val="00162E35"/>
    <w:rsid w:val="00173C00"/>
    <w:rsid w:val="001744E3"/>
    <w:rsid w:val="001843F6"/>
    <w:rsid w:val="00191114"/>
    <w:rsid w:val="00197F6D"/>
    <w:rsid w:val="001A0DC2"/>
    <w:rsid w:val="001B1C16"/>
    <w:rsid w:val="001B62BA"/>
    <w:rsid w:val="001C4C8E"/>
    <w:rsid w:val="001D0639"/>
    <w:rsid w:val="001D3076"/>
    <w:rsid w:val="001E3144"/>
    <w:rsid w:val="002664EB"/>
    <w:rsid w:val="0029362E"/>
    <w:rsid w:val="002949BA"/>
    <w:rsid w:val="002B5A4B"/>
    <w:rsid w:val="002C3E18"/>
    <w:rsid w:val="002E499B"/>
    <w:rsid w:val="002E58E4"/>
    <w:rsid w:val="002E73D8"/>
    <w:rsid w:val="0032769C"/>
    <w:rsid w:val="003B23EA"/>
    <w:rsid w:val="003D5774"/>
    <w:rsid w:val="00414A28"/>
    <w:rsid w:val="00427D01"/>
    <w:rsid w:val="004425D2"/>
    <w:rsid w:val="004E4472"/>
    <w:rsid w:val="00541174"/>
    <w:rsid w:val="005879C8"/>
    <w:rsid w:val="005A7F56"/>
    <w:rsid w:val="005B2E37"/>
    <w:rsid w:val="005B5249"/>
    <w:rsid w:val="006415EE"/>
    <w:rsid w:val="00654F49"/>
    <w:rsid w:val="006C6E04"/>
    <w:rsid w:val="00742A08"/>
    <w:rsid w:val="007539FC"/>
    <w:rsid w:val="007F7B40"/>
    <w:rsid w:val="00821470"/>
    <w:rsid w:val="0085064D"/>
    <w:rsid w:val="008672ED"/>
    <w:rsid w:val="008B4F5B"/>
    <w:rsid w:val="008C7082"/>
    <w:rsid w:val="008D4CDE"/>
    <w:rsid w:val="00906D64"/>
    <w:rsid w:val="00936BFD"/>
    <w:rsid w:val="00972E72"/>
    <w:rsid w:val="009943D6"/>
    <w:rsid w:val="00A92BB7"/>
    <w:rsid w:val="00AA700B"/>
    <w:rsid w:val="00B4055D"/>
    <w:rsid w:val="00B630B0"/>
    <w:rsid w:val="00B800DF"/>
    <w:rsid w:val="00C03246"/>
    <w:rsid w:val="00C2613A"/>
    <w:rsid w:val="00C62892"/>
    <w:rsid w:val="00CE292B"/>
    <w:rsid w:val="00CF0EAB"/>
    <w:rsid w:val="00CF459D"/>
    <w:rsid w:val="00D77C18"/>
    <w:rsid w:val="00DA538E"/>
    <w:rsid w:val="00DF729C"/>
    <w:rsid w:val="00E25950"/>
    <w:rsid w:val="00E606CA"/>
    <w:rsid w:val="00E61F9E"/>
    <w:rsid w:val="00E85B1A"/>
    <w:rsid w:val="00E94D20"/>
    <w:rsid w:val="00EA3958"/>
    <w:rsid w:val="00EA6232"/>
    <w:rsid w:val="00ED6163"/>
    <w:rsid w:val="00EE095B"/>
    <w:rsid w:val="00EE203D"/>
    <w:rsid w:val="00F41EF7"/>
    <w:rsid w:val="00F758D5"/>
    <w:rsid w:val="00F811DC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.oze@energ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Wirski Andrzej (u0600072)</cp:lastModifiedBy>
  <cp:revision>5</cp:revision>
  <cp:lastPrinted>2020-01-28T07:56:00Z</cp:lastPrinted>
  <dcterms:created xsi:type="dcterms:W3CDTF">2023-02-23T11:56:00Z</dcterms:created>
  <dcterms:modified xsi:type="dcterms:W3CDTF">2024-11-18T08:34:00Z</dcterms:modified>
</cp:coreProperties>
</file>