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3BB2C" w14:textId="77777777" w:rsidR="000F64C3" w:rsidRDefault="000F64C3" w:rsidP="000F64C3">
      <w:pPr>
        <w:shd w:val="clear" w:color="auto" w:fill="FFFFFF"/>
        <w:ind w:left="72"/>
        <w:rPr>
          <w:sz w:val="2"/>
          <w:szCs w:val="2"/>
        </w:rPr>
      </w:pPr>
    </w:p>
    <w:tbl>
      <w:tblPr>
        <w:tblW w:w="9726"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3213"/>
        <w:gridCol w:w="6513"/>
      </w:tblGrid>
      <w:tr w:rsidR="000F64C3" w:rsidRPr="000F64C3" w14:paraId="71BD37A0" w14:textId="77777777" w:rsidTr="00386DFC">
        <w:trPr>
          <w:trHeight w:hRule="exact" w:val="1484"/>
        </w:trPr>
        <w:tc>
          <w:tcPr>
            <w:tcW w:w="3213" w:type="dxa"/>
            <w:shd w:val="clear" w:color="auto" w:fill="FFFFFF"/>
            <w:vAlign w:val="bottom"/>
          </w:tcPr>
          <w:p w14:paraId="3DC0433A" w14:textId="77777777" w:rsidR="000F64C3" w:rsidRPr="000F64C3" w:rsidRDefault="000F64C3" w:rsidP="00386DFC">
            <w:pPr>
              <w:spacing w:line="360" w:lineRule="auto"/>
              <w:rPr>
                <w:rFonts w:ascii="Arial" w:hAnsi="Arial" w:cs="Arial"/>
              </w:rPr>
            </w:pPr>
            <w:r w:rsidRPr="000F64C3">
              <w:rPr>
                <w:rFonts w:ascii="Arial Narrow" w:hAnsi="Arial Narrow" w:cs="Arial"/>
                <w:bCs/>
                <w:i/>
                <w:noProof/>
                <w:sz w:val="18"/>
                <w:szCs w:val="18"/>
                <w:lang w:eastAsia="pl-PL"/>
              </w:rPr>
              <w:drawing>
                <wp:anchor distT="0" distB="0" distL="114300" distR="114300" simplePos="0" relativeHeight="251659264" behindDoc="0" locked="0" layoutInCell="1" allowOverlap="1" wp14:anchorId="7124AE4F" wp14:editId="274000EA">
                  <wp:simplePos x="0" y="0"/>
                  <wp:positionH relativeFrom="column">
                    <wp:posOffset>40640</wp:posOffset>
                  </wp:positionH>
                  <wp:positionV relativeFrom="paragraph">
                    <wp:posOffset>-323215</wp:posOffset>
                  </wp:positionV>
                  <wp:extent cx="1933575" cy="798195"/>
                  <wp:effectExtent l="0" t="0" r="9525" b="190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erga Operator znak 2-kolorow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3575" cy="798195"/>
                          </a:xfrm>
                          <a:prstGeom prst="rect">
                            <a:avLst/>
                          </a:prstGeom>
                        </pic:spPr>
                      </pic:pic>
                    </a:graphicData>
                  </a:graphic>
                  <wp14:sizeRelH relativeFrom="margin">
                    <wp14:pctWidth>0</wp14:pctWidth>
                  </wp14:sizeRelH>
                  <wp14:sizeRelV relativeFrom="margin">
                    <wp14:pctHeight>0</wp14:pctHeight>
                  </wp14:sizeRelV>
                </wp:anchor>
              </w:drawing>
            </w:r>
          </w:p>
          <w:p w14:paraId="13DFE369" w14:textId="77777777" w:rsidR="000F64C3" w:rsidRPr="000F64C3" w:rsidRDefault="000F64C3" w:rsidP="00386DFC">
            <w:pPr>
              <w:shd w:val="clear" w:color="auto" w:fill="FFFFFF"/>
              <w:spacing w:after="60" w:line="240" w:lineRule="auto"/>
              <w:ind w:left="-40"/>
              <w:jc w:val="center"/>
              <w:rPr>
                <w:rFonts w:ascii="Arial" w:hAnsi="Arial" w:cs="Arial"/>
                <w:i/>
                <w:sz w:val="20"/>
                <w:szCs w:val="20"/>
              </w:rPr>
            </w:pPr>
          </w:p>
        </w:tc>
        <w:tc>
          <w:tcPr>
            <w:tcW w:w="6513" w:type="dxa"/>
            <w:shd w:val="clear" w:color="auto" w:fill="auto"/>
            <w:vAlign w:val="center"/>
          </w:tcPr>
          <w:p w14:paraId="0F23F6BC" w14:textId="77777777" w:rsidR="000F64C3" w:rsidRPr="000F64C3" w:rsidRDefault="000F64C3" w:rsidP="00386DFC">
            <w:pPr>
              <w:spacing w:after="0" w:line="240" w:lineRule="auto"/>
              <w:ind w:right="-39"/>
              <w:jc w:val="center"/>
              <w:rPr>
                <w:rFonts w:ascii="Arial Narrow" w:hAnsi="Arial Narrow" w:cs="Arial"/>
                <w:b/>
                <w:bCs/>
              </w:rPr>
            </w:pPr>
            <w:r w:rsidRPr="000F64C3">
              <w:rPr>
                <w:rFonts w:ascii="Arial Narrow" w:hAnsi="Arial Narrow" w:cs="Arial"/>
                <w:b/>
                <w:bCs/>
              </w:rPr>
              <w:t xml:space="preserve">KLAUZULA INFORMACYJNA </w:t>
            </w:r>
          </w:p>
        </w:tc>
      </w:tr>
    </w:tbl>
    <w:p w14:paraId="030BF136" w14:textId="77777777" w:rsidR="000F64C3" w:rsidRPr="000F64C3" w:rsidRDefault="000F64C3" w:rsidP="000F64C3">
      <w:pPr>
        <w:shd w:val="clear" w:color="auto" w:fill="FFFFFF"/>
        <w:ind w:left="72"/>
        <w:rPr>
          <w:sz w:val="2"/>
          <w:szCs w:val="2"/>
        </w:rPr>
      </w:pPr>
    </w:p>
    <w:p w14:paraId="7C31504C" w14:textId="793FFD48" w:rsidR="000F64C3" w:rsidRPr="000F64C3"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Energa-Operator SA, ul. Marynarki Polskiej 130, 80-557 Gdańsk przetwarza dane zawarte w ofertach albo wnioskach                    o dopuszczenie do udziału w postępowaniu zakupowym na postawie przepisów Kodeks Cywilny oraz</w:t>
      </w:r>
      <w:bookmarkStart w:id="0" w:name="_Hlk107383756"/>
      <w:r>
        <w:rPr>
          <w:rFonts w:ascii="Arial Narrow" w:eastAsia="Times New Roman" w:hAnsi="Arial Narrow"/>
          <w:snapToGrid w:val="0"/>
          <w:lang w:eastAsia="pl-PL"/>
        </w:rPr>
        <w:t xml:space="preserve"> Instrukcji Zakupowej obowiązującej</w:t>
      </w:r>
      <w:r w:rsidRPr="000F64C3">
        <w:rPr>
          <w:rFonts w:ascii="Arial Narrow" w:eastAsia="Times New Roman" w:hAnsi="Arial Narrow"/>
          <w:snapToGrid w:val="0"/>
          <w:lang w:eastAsia="pl-PL"/>
        </w:rPr>
        <w:t xml:space="preserve"> w Grupie ENERGA</w:t>
      </w:r>
      <w:bookmarkEnd w:id="0"/>
      <w:r w:rsidRPr="000F64C3">
        <w:rPr>
          <w:rFonts w:ascii="Arial Narrow" w:eastAsia="Times New Roman" w:hAnsi="Arial Narrow"/>
          <w:snapToGrid w:val="0"/>
          <w:lang w:eastAsia="pl-PL"/>
        </w:rPr>
        <w:t>.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zwane „RODO” - Dz. Urz. UE L 119 z 04.05.2016 r.), mają charakter danych osobowych.</w:t>
      </w:r>
    </w:p>
    <w:p w14:paraId="0AE26FD9" w14:textId="77777777" w:rsidR="000F64C3" w:rsidRPr="000F64C3"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 xml:space="preserve">W świetle powyższego, zgodnie z art. 13 ust. 1 i ust. 2 RODO, Zlecający informuje, że: </w:t>
      </w:r>
    </w:p>
    <w:p w14:paraId="2BE9822B" w14:textId="77777777"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1.</w:t>
      </w:r>
      <w:r w:rsidRPr="000F64C3">
        <w:rPr>
          <w:rFonts w:ascii="Arial Narrow" w:eastAsia="Times New Roman" w:hAnsi="Arial Narrow"/>
          <w:snapToGrid w:val="0"/>
          <w:lang w:eastAsia="pl-PL"/>
        </w:rPr>
        <w:tab/>
        <w:t>Administratorem danych osobowych (dalej zwany zlecającym), jest ENERG</w:t>
      </w:r>
      <w:bookmarkStart w:id="1" w:name="_GoBack"/>
      <w:bookmarkEnd w:id="1"/>
      <w:r w:rsidRPr="000F64C3">
        <w:rPr>
          <w:rFonts w:ascii="Arial Narrow" w:eastAsia="Times New Roman" w:hAnsi="Arial Narrow"/>
          <w:snapToGrid w:val="0"/>
          <w:lang w:eastAsia="pl-PL"/>
        </w:rPr>
        <w:t>A-OPERATOR SA, ul. Marynarki Polskiej 130, 80-557 Gdańsk.</w:t>
      </w:r>
    </w:p>
    <w:p w14:paraId="38337726" w14:textId="1E3720F7"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2.</w:t>
      </w:r>
      <w:r w:rsidRPr="000F64C3">
        <w:rPr>
          <w:rFonts w:ascii="Arial Narrow" w:eastAsia="Times New Roman" w:hAnsi="Arial Narrow"/>
          <w:snapToGrid w:val="0"/>
          <w:lang w:eastAsia="pl-PL"/>
        </w:rPr>
        <w:tab/>
        <w:t xml:space="preserve">Z inspektorem ochrony danych osobowych w ENERGA-OPERATOR SA można </w:t>
      </w:r>
      <w:r w:rsidR="00410C42">
        <w:rPr>
          <w:rFonts w:ascii="Arial Narrow" w:eastAsia="Times New Roman" w:hAnsi="Arial Narrow"/>
          <w:snapToGrid w:val="0"/>
          <w:lang w:eastAsia="pl-PL"/>
        </w:rPr>
        <w:t xml:space="preserve">skontaktować się pod adresem </w:t>
      </w:r>
      <w:r w:rsidRPr="000F64C3">
        <w:rPr>
          <w:rFonts w:ascii="Arial Narrow" w:eastAsia="Times New Roman" w:hAnsi="Arial Narrow"/>
          <w:snapToGrid w:val="0"/>
          <w:lang w:eastAsia="pl-PL"/>
        </w:rPr>
        <w:t xml:space="preserve">e-mail: </w:t>
      </w:r>
      <w:hyperlink r:id="rId12" w:history="1">
        <w:r w:rsidRPr="000F64C3">
          <w:rPr>
            <w:rFonts w:ascii="Arial Narrow" w:eastAsia="Times New Roman" w:hAnsi="Arial Narrow"/>
            <w:snapToGrid w:val="0"/>
            <w:color w:val="0000FF"/>
            <w:u w:val="single"/>
            <w:lang w:eastAsia="pl-PL"/>
          </w:rPr>
          <w:t>iod@energa-operator.pl</w:t>
        </w:r>
      </w:hyperlink>
      <w:r w:rsidRPr="000F64C3">
        <w:rPr>
          <w:rFonts w:ascii="Arial Narrow" w:eastAsia="Times New Roman" w:hAnsi="Arial Narrow"/>
          <w:snapToGrid w:val="0"/>
          <w:lang w:eastAsia="pl-PL"/>
        </w:rPr>
        <w:t>.</w:t>
      </w:r>
    </w:p>
    <w:p w14:paraId="296ECA3E" w14:textId="77777777"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w:t>
      </w:r>
      <w:r w:rsidRPr="000F64C3">
        <w:rPr>
          <w:rFonts w:ascii="Arial Narrow" w:eastAsia="Times New Roman" w:hAnsi="Arial Narrow"/>
          <w:snapToGrid w:val="0"/>
          <w:lang w:eastAsia="pl-PL"/>
        </w:rPr>
        <w:tab/>
        <w:t>Podstawą prawną przetwarzania danych jest:</w:t>
      </w:r>
    </w:p>
    <w:p w14:paraId="1A517369" w14:textId="77777777"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3.1.</w:t>
      </w:r>
      <w:r w:rsidRPr="000F64C3">
        <w:rPr>
          <w:rFonts w:ascii="Arial Narrow" w:eastAsia="Times New Roman" w:hAnsi="Arial Narrow"/>
          <w:snapToGrid w:val="0"/>
          <w:lang w:eastAsia="pl-PL"/>
        </w:rPr>
        <w:tab/>
        <w:t>art. 6 ust 1 lit. b RODO – przetwarzanie danych jest niezbędne do zawarcia umowy lub podjęcia działań przed zawarciem umowy, której stroną jest osoba, której dane dotyczą;</w:t>
      </w:r>
    </w:p>
    <w:p w14:paraId="41C5302D" w14:textId="1E3EB160"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3.2.</w:t>
      </w:r>
      <w:r w:rsidRPr="000F64C3">
        <w:rPr>
          <w:rFonts w:ascii="Arial Narrow" w:eastAsia="Times New Roman" w:hAnsi="Arial Narrow"/>
          <w:snapToGrid w:val="0"/>
          <w:lang w:eastAsia="pl-PL"/>
        </w:rPr>
        <w:tab/>
        <w:t xml:space="preserve">art. 6 ust 1lit. c RODO – przetwarzanie jest niezbędne do wypełnienia obowiązków prawnych ciążących na zlecającym tj. w celu związanym z postępowaniem zakupowym prowadzonym zgodnie z Instrukcją Zakupową obowiązującą w Grupie ENERGA, </w:t>
      </w:r>
    </w:p>
    <w:p w14:paraId="44D60E8E" w14:textId="77777777"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3.3.</w:t>
      </w:r>
      <w:r w:rsidRPr="000F64C3">
        <w:rPr>
          <w:rFonts w:ascii="Arial Narrow" w:eastAsia="Times New Roman" w:hAnsi="Arial Narrow"/>
          <w:snapToGrid w:val="0"/>
          <w:lang w:eastAsia="pl-PL"/>
        </w:rPr>
        <w:tab/>
        <w:t>art. 6 ust 1 lit. f RODO – przetwarzanie danych jest niezbędne do celów wynikających z prawnie uzasadnionych interesów realizowanych przez zlecającego (w tym dochodzenie roszczeń wynikających z przepisów prawa                          i archiwizacja dokumentów).</w:t>
      </w:r>
    </w:p>
    <w:p w14:paraId="62F9401D"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w:t>
      </w:r>
      <w:r w:rsidRPr="000F64C3">
        <w:rPr>
          <w:rFonts w:ascii="Arial Narrow" w:eastAsia="Times New Roman" w:hAnsi="Arial Narrow"/>
          <w:snapToGrid w:val="0"/>
          <w:lang w:eastAsia="pl-PL"/>
        </w:rPr>
        <w:tab/>
        <w:t>Odbiorcami danych osobowych mogą zostać:</w:t>
      </w:r>
    </w:p>
    <w:p w14:paraId="0F1D9345" w14:textId="019FB7F4"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4.1.</w:t>
      </w:r>
      <w:r w:rsidRPr="000F64C3">
        <w:rPr>
          <w:rFonts w:ascii="Arial Narrow" w:eastAsia="Times New Roman" w:hAnsi="Arial Narrow"/>
          <w:snapToGrid w:val="0"/>
          <w:lang w:eastAsia="pl-PL"/>
        </w:rPr>
        <w:tab/>
        <w:t>zainteresowane osoby lub podmioty, którym udostępniona zostanie dokumentacja postępowania w oparciu  o Instrukcję Zakupową obowiązującą w Grupie ENERGA, z zastrzeżeniami i ograniczeniami wynikającymi z tej instrukcji oraz ogólnie obowiązujących przepisów prawa w tym RODO; ograniczenia mogą nie mieć zastosowania w stosunku do przekazania danych uprawnionym na podstawie przepisów prawa organom i instytucjom państwa;</w:t>
      </w:r>
    </w:p>
    <w:p w14:paraId="7CA785C5"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4.2.</w:t>
      </w:r>
      <w:r w:rsidRPr="000F64C3">
        <w:rPr>
          <w:rFonts w:ascii="Arial Narrow" w:eastAsia="Times New Roman" w:hAnsi="Arial Narrow"/>
          <w:snapToGrid w:val="0"/>
          <w:lang w:eastAsia="pl-PL"/>
        </w:rPr>
        <w:tab/>
        <w:t>uprawnione podmioty Grupy Orlen na podstawie wewnętrznych umów, w tym:</w:t>
      </w:r>
    </w:p>
    <w:p w14:paraId="41C3D040" w14:textId="77777777" w:rsidR="000F64C3" w:rsidRPr="000F64C3" w:rsidRDefault="000F64C3" w:rsidP="000F64C3">
      <w:pPr>
        <w:suppressLineNumbers/>
        <w:spacing w:after="0"/>
        <w:ind w:left="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  Energa Centrum Usług Wspólnych Sp. z o.o</w:t>
      </w:r>
      <w:r w:rsidRPr="000F64C3">
        <w:rPr>
          <w:rFonts w:ascii="Times New Roman" w:eastAsia="Times New Roman" w:hAnsi="Times New Roman"/>
          <w:sz w:val="24"/>
          <w:szCs w:val="20"/>
          <w:lang w:eastAsia="pl-PL"/>
        </w:rPr>
        <w:t xml:space="preserve"> </w:t>
      </w:r>
      <w:r w:rsidRPr="000F64C3">
        <w:rPr>
          <w:rFonts w:ascii="Arial Narrow" w:eastAsia="Times New Roman" w:hAnsi="Arial Narrow"/>
          <w:snapToGrid w:val="0"/>
          <w:lang w:eastAsia="pl-PL"/>
        </w:rPr>
        <w:t>al. Grunwaldzka 472, 80-309 Gdańsk, w ramach świadczenia usług rachunkowych;</w:t>
      </w:r>
    </w:p>
    <w:p w14:paraId="1019007E" w14:textId="4B128CD6" w:rsidR="000F64C3" w:rsidRPr="000F64C3" w:rsidRDefault="00CB7759" w:rsidP="000F64C3">
      <w:pPr>
        <w:suppressLineNumbers/>
        <w:spacing w:after="0"/>
        <w:ind w:left="426"/>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w:t>
      </w:r>
      <w:r w:rsidR="000F64C3" w:rsidRPr="000F64C3">
        <w:rPr>
          <w:rFonts w:ascii="Arial Narrow" w:eastAsia="Times New Roman" w:hAnsi="Arial Narrow"/>
          <w:snapToGrid w:val="0"/>
          <w:lang w:eastAsia="pl-PL"/>
        </w:rPr>
        <w:t xml:space="preserve"> </w:t>
      </w:r>
      <w:r w:rsidR="008F2DBE">
        <w:rPr>
          <w:rFonts w:ascii="Arial Narrow" w:eastAsia="Times New Roman" w:hAnsi="Arial Narrow"/>
          <w:snapToGrid w:val="0"/>
          <w:lang w:eastAsia="pl-PL"/>
        </w:rPr>
        <w:t xml:space="preserve">Orlen </w:t>
      </w:r>
      <w:r w:rsidR="000F64C3" w:rsidRPr="000F64C3">
        <w:rPr>
          <w:rFonts w:ascii="Arial Narrow" w:eastAsia="Times New Roman" w:hAnsi="Arial Narrow"/>
          <w:snapToGrid w:val="0"/>
          <w:lang w:eastAsia="pl-PL"/>
        </w:rPr>
        <w:t>Spółka Akcyjna z siedzibą w Płocku, 09-411 Płock, ul. Chemików 7,w ramach obsługi prowadzonych postępowań zakupowych w obszarze IT oraz prowadzenia platformy zakupowej connect.orlen.pl;</w:t>
      </w:r>
    </w:p>
    <w:p w14:paraId="2A34A210"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4.3.</w:t>
      </w:r>
      <w:r w:rsidRPr="000F64C3">
        <w:rPr>
          <w:rFonts w:ascii="Arial Narrow" w:eastAsia="Times New Roman" w:hAnsi="Arial Narrow"/>
          <w:snapToGrid w:val="0"/>
          <w:lang w:eastAsia="pl-PL"/>
        </w:rPr>
        <w:tab/>
        <w:t xml:space="preserve">podmioty dostarczające korespondencję; </w:t>
      </w:r>
    </w:p>
    <w:p w14:paraId="403A13CF"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4.4.</w:t>
      </w:r>
      <w:r w:rsidRPr="000F64C3">
        <w:rPr>
          <w:rFonts w:ascii="Arial Narrow" w:eastAsia="Times New Roman" w:hAnsi="Arial Narrow"/>
          <w:snapToGrid w:val="0"/>
          <w:lang w:eastAsia="pl-PL"/>
        </w:rPr>
        <w:tab/>
        <w:t>podmioty wykonujące usługi niszczenia i archiwizacji dokumentacji;</w:t>
      </w:r>
    </w:p>
    <w:p w14:paraId="0F16B76E"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4.5.</w:t>
      </w:r>
      <w:r w:rsidRPr="000F64C3">
        <w:rPr>
          <w:rFonts w:ascii="Arial Narrow" w:eastAsia="Times New Roman" w:hAnsi="Arial Narrow"/>
          <w:snapToGrid w:val="0"/>
          <w:lang w:eastAsia="pl-PL"/>
        </w:rPr>
        <w:tab/>
        <w:t>podmioty świadczące usługi doradztwa prawnego oraz w zakresie spraw sądowych;</w:t>
      </w:r>
    </w:p>
    <w:p w14:paraId="7587B885" w14:textId="77777777" w:rsidR="000F64C3" w:rsidRPr="000F64C3" w:rsidRDefault="000F64C3" w:rsidP="000F64C3">
      <w:pPr>
        <w:suppressLineNumbers/>
        <w:spacing w:before="60" w:after="6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4.6.</w:t>
      </w:r>
      <w:r w:rsidRPr="000F64C3">
        <w:rPr>
          <w:rFonts w:ascii="Arial Narrow" w:eastAsia="Times New Roman" w:hAnsi="Arial Narrow"/>
          <w:snapToGrid w:val="0"/>
          <w:lang w:eastAsia="pl-PL"/>
        </w:rPr>
        <w:tab/>
        <w:t>podmioty świadczące usługi informatyczne w zakresie wsparcia i utrzymania systemów wykorzystywanych do przetwarzania danych osobowych przez zamawiającego, w tym Energa Informatyka I Technologie Sp. z o.o. Aleja Grunwaldzka 472A, 80-309 Gdańsk;</w:t>
      </w:r>
    </w:p>
    <w:p w14:paraId="72BEC40B" w14:textId="77777777" w:rsidR="000F64C3" w:rsidRPr="000F64C3" w:rsidRDefault="000F64C3" w:rsidP="000F64C3">
      <w:pPr>
        <w:suppressLineNumbers/>
        <w:spacing w:after="0"/>
        <w:jc w:val="both"/>
        <w:outlineLvl w:val="0"/>
        <w:rPr>
          <w:rFonts w:ascii="Arial Narrow" w:eastAsia="Times New Roman" w:hAnsi="Arial Narrow"/>
          <w:snapToGrid w:val="0"/>
          <w:lang w:eastAsia="pl-PL"/>
        </w:rPr>
      </w:pPr>
      <w:bookmarkStart w:id="2" w:name="_Hlk107384261"/>
      <w:r w:rsidRPr="000F64C3">
        <w:rPr>
          <w:rFonts w:ascii="Arial Narrow" w:eastAsia="Times New Roman" w:hAnsi="Arial Narrow"/>
          <w:snapToGrid w:val="0"/>
          <w:lang w:eastAsia="pl-PL"/>
        </w:rPr>
        <w:t>Zlecający</w:t>
      </w:r>
      <w:bookmarkEnd w:id="2"/>
      <w:r w:rsidRPr="000F64C3">
        <w:rPr>
          <w:rFonts w:ascii="Arial Narrow" w:eastAsia="Times New Roman" w:hAnsi="Arial Narrow"/>
          <w:snapToGrid w:val="0"/>
          <w:lang w:eastAsia="pl-PL"/>
        </w:rPr>
        <w:t xml:space="preserve"> może powierzyć dane osobowe dostawcom usług lub produktów działającym na jego rzecz na podstawie umowy powierzenia przetwarzania danych osobowych, wymagając od takich podmiotów wykonywania czynności na udokumentowane polecenie zamawiającego, pod warunkiem zachowania poufności i zapewnienia ochrony prywatności oraz bezpieczeństwa powierzonych danych osobowych.</w:t>
      </w:r>
    </w:p>
    <w:p w14:paraId="1B73D269"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5.</w:t>
      </w:r>
      <w:r w:rsidRPr="000F64C3">
        <w:rPr>
          <w:rFonts w:ascii="Arial Narrow" w:eastAsia="Times New Roman" w:hAnsi="Arial Narrow"/>
          <w:snapToGrid w:val="0"/>
          <w:lang w:eastAsia="pl-PL"/>
        </w:rPr>
        <w:tab/>
        <w:t>Zlecający może przekazać dane organom i podmiotom publicznym uprawnionym do uzyskania danych osobowych na podstawie obowiązujących przepisów prawa, np. sądy, organy ścigania lub instytucje państwowe.</w:t>
      </w:r>
    </w:p>
    <w:p w14:paraId="455BB5B9"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w:t>
      </w:r>
      <w:r w:rsidRPr="000F64C3">
        <w:rPr>
          <w:rFonts w:ascii="Arial Narrow" w:eastAsia="Times New Roman" w:hAnsi="Arial Narrow"/>
          <w:snapToGrid w:val="0"/>
          <w:lang w:eastAsia="pl-PL"/>
        </w:rPr>
        <w:tab/>
        <w:t>Dane osobowe będą przetwarzane przez okres niezbędny do realizacji celów przetwarzania wskazanych w pkt 3.</w:t>
      </w:r>
    </w:p>
    <w:p w14:paraId="6A576128"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6.1.</w:t>
      </w:r>
      <w:r w:rsidRPr="000F64C3">
        <w:rPr>
          <w:rFonts w:ascii="Arial Narrow" w:eastAsia="Times New Roman" w:hAnsi="Arial Narrow"/>
          <w:snapToGrid w:val="0"/>
          <w:lang w:eastAsia="pl-PL"/>
        </w:rPr>
        <w:tab/>
        <w:t xml:space="preserve">w zakresie procesu zakupowego – na czas potrzebny do prowadzenia postępowań wstępnych i działań przygotowawczych oraz </w:t>
      </w:r>
      <w:proofErr w:type="spellStart"/>
      <w:r w:rsidRPr="000F64C3">
        <w:rPr>
          <w:rFonts w:ascii="Arial Narrow" w:eastAsia="Times New Roman" w:hAnsi="Arial Narrow"/>
          <w:snapToGrid w:val="0"/>
          <w:lang w:eastAsia="pl-PL"/>
        </w:rPr>
        <w:t>przedumownych</w:t>
      </w:r>
      <w:proofErr w:type="spellEnd"/>
      <w:r w:rsidRPr="000F64C3">
        <w:rPr>
          <w:rFonts w:ascii="Arial Narrow" w:eastAsia="Times New Roman" w:hAnsi="Arial Narrow"/>
          <w:snapToGrid w:val="0"/>
          <w:lang w:eastAsia="pl-PL"/>
        </w:rPr>
        <w:t>; po tym czasie dane będą przetwarzane przez okres wymagany przez prawo lub przez okres niezbędny do dochodzenia roszczeń;</w:t>
      </w:r>
    </w:p>
    <w:p w14:paraId="35372B66"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lastRenderedPageBreak/>
        <w:t>6.2.</w:t>
      </w:r>
      <w:r w:rsidRPr="000F64C3">
        <w:rPr>
          <w:rFonts w:ascii="Arial Narrow" w:eastAsia="Times New Roman" w:hAnsi="Arial Narrow"/>
          <w:snapToGrid w:val="0"/>
          <w:lang w:eastAsia="pl-PL"/>
        </w:rPr>
        <w:tab/>
        <w:t>w zakresie realizacji umowy, przez okres do jej zakończenia, po tym czasie dane będą przetwarzane przez okres wymagany przez prawo lub przez okres niezbędny do dochodzenia roszczeń;</w:t>
      </w:r>
    </w:p>
    <w:p w14:paraId="2088C92A"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6.3.</w:t>
      </w:r>
      <w:r w:rsidRPr="000F64C3">
        <w:rPr>
          <w:rFonts w:ascii="Arial Narrow" w:eastAsia="Times New Roman" w:hAnsi="Arial Narrow"/>
          <w:snapToGrid w:val="0"/>
          <w:lang w:eastAsia="pl-PL"/>
        </w:rPr>
        <w:tab/>
        <w:t>w zakresie realizacji uzasadnionych interesów zlecającego – do chwili zrealizowania uzasadnionych interesów zlecającego, w tym wygaśnięcia roszczeń.</w:t>
      </w:r>
    </w:p>
    <w:p w14:paraId="3A9A1352" w14:textId="3A47D8B9"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7.</w:t>
      </w:r>
      <w:r w:rsidRPr="000F64C3">
        <w:rPr>
          <w:rFonts w:ascii="Arial Narrow" w:eastAsia="Times New Roman" w:hAnsi="Arial Narrow"/>
          <w:snapToGrid w:val="0"/>
          <w:lang w:eastAsia="pl-PL"/>
        </w:rPr>
        <w:tab/>
        <w:t>Podanie danych osobowych w związku z udziałem w postępowaniu zakupowym wynika z przepisów ustawy Kodeks Cywilny oraz Instrukcji</w:t>
      </w:r>
      <w:r w:rsidRPr="000F64C3">
        <w:rPr>
          <w:rFonts w:ascii="Times New Roman" w:eastAsia="Times New Roman" w:hAnsi="Times New Roman"/>
          <w:sz w:val="24"/>
          <w:szCs w:val="20"/>
          <w:lang w:eastAsia="pl-PL"/>
        </w:rPr>
        <w:t xml:space="preserve"> </w:t>
      </w:r>
      <w:r w:rsidRPr="000F64C3">
        <w:rPr>
          <w:rFonts w:ascii="Arial Narrow" w:eastAsia="Times New Roman" w:hAnsi="Arial Narrow"/>
          <w:snapToGrid w:val="0"/>
          <w:lang w:eastAsia="pl-PL"/>
        </w:rPr>
        <w:t>zakupowej obowiązującej w Grupie ENERGA. Niepodanie wymaganych danych osobowych uniemożliwi udział w procesie zakupowym.</w:t>
      </w:r>
    </w:p>
    <w:p w14:paraId="43E3FA12"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8.</w:t>
      </w:r>
      <w:r w:rsidRPr="000F64C3">
        <w:rPr>
          <w:rFonts w:ascii="Arial Narrow" w:eastAsia="Times New Roman" w:hAnsi="Arial Narrow"/>
          <w:snapToGrid w:val="0"/>
          <w:lang w:eastAsia="pl-PL"/>
        </w:rPr>
        <w:tab/>
        <w:t>W odniesieniu do danych osobowych decyzje nie będą podejmowane w sposób zautomatyzowany, stosowanie do art. 22 RODO.</w:t>
      </w:r>
    </w:p>
    <w:p w14:paraId="1BFD50BE"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w:t>
      </w:r>
      <w:r w:rsidRPr="000F64C3">
        <w:rPr>
          <w:rFonts w:ascii="Arial Narrow" w:eastAsia="Times New Roman" w:hAnsi="Arial Narrow"/>
          <w:snapToGrid w:val="0"/>
          <w:lang w:eastAsia="pl-PL"/>
        </w:rPr>
        <w:tab/>
        <w:t>Osoba, której dotyczą dane posiada prawo do:</w:t>
      </w:r>
    </w:p>
    <w:p w14:paraId="600F5872"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9.1.</w:t>
      </w:r>
      <w:r w:rsidRPr="000F64C3">
        <w:rPr>
          <w:rFonts w:ascii="Arial Narrow" w:eastAsia="Times New Roman" w:hAnsi="Arial Narrow"/>
          <w:snapToGrid w:val="0"/>
          <w:lang w:eastAsia="pl-PL"/>
        </w:rPr>
        <w:tab/>
        <w:t>dostępu do danych osobowych jej dotyczących i żądania ich kopii, z uwzględnieniem faktu, iż zamawiający może żądać od osoby, której dane dotyczą, wskazania dodatkowych informacji mających na celu sprecyzowanie żądania, w szczególności podania nazwy lub daty postępowania zakupowego;</w:t>
      </w:r>
    </w:p>
    <w:p w14:paraId="47C0FBEF" w14:textId="66C5ED45"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9.2.</w:t>
      </w:r>
      <w:r w:rsidRPr="000F64C3">
        <w:rPr>
          <w:rFonts w:ascii="Arial Narrow" w:eastAsia="Times New Roman" w:hAnsi="Arial Narrow"/>
          <w:snapToGrid w:val="0"/>
          <w:lang w:eastAsia="pl-PL"/>
        </w:rPr>
        <w:tab/>
        <w:t>sprostowania lub uzupełnienia jej danych osobowych, z uwzględnieniem faktu, iż skorzystanie z prawa do sprostowania nie może skutkować zmianą wyniku postępowania zakupowego,  zmianą postanowień umowy, nie może być niezgodne                         z Instrukcją Zakupową w Grupie ENERGA oraz nie może naruszać integralności dokumentów   w postępowaniu;</w:t>
      </w:r>
    </w:p>
    <w:p w14:paraId="518DD697"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9.3.</w:t>
      </w:r>
      <w:r w:rsidRPr="000F64C3">
        <w:rPr>
          <w:rFonts w:ascii="Arial Narrow" w:eastAsia="Times New Roman" w:hAnsi="Arial Narrow"/>
          <w:snapToGrid w:val="0"/>
          <w:lang w:eastAsia="pl-PL"/>
        </w:rPr>
        <w:tab/>
        <w:t>żądania od zlecającego ograniczenia przetwarzania danych osobowych; skorzystanie z tego prawa nie ogranicza przetwarzania danych osobowych do czasu zakończenia postępowania zakupowego, przy czym przepisy odrębne mogą wyłączyć możliwość skorzystania z tego prawa w tym m.in. w przypadkach, o których mowa w art. 18 ust. 2 RODO;</w:t>
      </w:r>
    </w:p>
    <w:p w14:paraId="496E45BB"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9.4.</w:t>
      </w:r>
      <w:r w:rsidRPr="000F64C3">
        <w:rPr>
          <w:rFonts w:ascii="Arial Narrow" w:eastAsia="Times New Roman" w:hAnsi="Arial Narrow"/>
          <w:snapToGrid w:val="0"/>
          <w:lang w:eastAsia="pl-PL"/>
        </w:rPr>
        <w:tab/>
        <w:t>wniesienia skargi do Prezesa Urzędu Ochrony Danych Osobowych na przetwarzanie danych osobowych;</w:t>
      </w:r>
    </w:p>
    <w:p w14:paraId="2675FFD6" w14:textId="39F4D109"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9.5.</w:t>
      </w:r>
      <w:r w:rsidRPr="000F64C3">
        <w:rPr>
          <w:rFonts w:ascii="Arial Narrow" w:eastAsia="Times New Roman" w:hAnsi="Arial Narrow"/>
          <w:snapToGrid w:val="0"/>
          <w:lang w:eastAsia="pl-PL"/>
        </w:rPr>
        <w:tab/>
        <w:t>sprzeciwu, przenoszenia danych i ich usunięcia - w uzasadnionych przypadkach, których ograniczenia nakładają przepisy ustawy Kodeks Cywilny, RODO oraz Instrukcją Zakupową obowiązująca w Grupie ENERGA *;</w:t>
      </w:r>
    </w:p>
    <w:p w14:paraId="17E4739C"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Z uprawnień mogą Państwo skorzystać kontaktując się pisemnie lub e-mail ze zlecającym lub IOD.</w:t>
      </w:r>
    </w:p>
    <w:p w14:paraId="3233EA5C"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10.</w:t>
      </w:r>
      <w:r w:rsidRPr="000F64C3">
        <w:rPr>
          <w:rFonts w:ascii="Arial Narrow" w:eastAsia="Times New Roman" w:hAnsi="Arial Narrow"/>
          <w:snapToGrid w:val="0"/>
          <w:lang w:eastAsia="pl-PL"/>
        </w:rPr>
        <w:tab/>
      </w:r>
    </w:p>
    <w:p w14:paraId="0CB2983A"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Z uwagi na specyfikę prowadzenia postepowań zakupowych może nie przysługiwać Państwu:</w:t>
      </w:r>
    </w:p>
    <w:p w14:paraId="3A86A384"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w związku z art. 17 ust. 3 lit. b, d lub e RODO prawo do usunięcia danych osobowych;</w:t>
      </w:r>
    </w:p>
    <w:p w14:paraId="5A3BCC81"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prawo do przenoszenia danych osobowych, o którym mowa w art. 20 RODO, jeżeli występuje forma papierowa dokumentacji;</w:t>
      </w:r>
    </w:p>
    <w:p w14:paraId="43214AA1" w14:textId="77777777" w:rsidR="000F64C3" w:rsidRPr="00C4073A"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Zaznaczamy jednak, że każdorazowe żądanie będzie poddane odrębnej analizie, aby określić czy nie zachodzi w danym przypadku ograniczenie Państwa praw.</w:t>
      </w:r>
    </w:p>
    <w:p w14:paraId="6F38CD30" w14:textId="77777777" w:rsidR="000F64C3" w:rsidRPr="007C58A9" w:rsidRDefault="000F64C3" w:rsidP="000F64C3">
      <w:pPr>
        <w:spacing w:after="0" w:line="240" w:lineRule="auto"/>
        <w:ind w:left="142"/>
        <w:rPr>
          <w:rFonts w:ascii="Arial Narrow" w:eastAsia="Times New Roman" w:hAnsi="Arial Narrow"/>
          <w:sz w:val="24"/>
          <w:szCs w:val="24"/>
          <w:lang w:eastAsia="pl-PL"/>
        </w:rPr>
      </w:pPr>
    </w:p>
    <w:p w14:paraId="3B1322B7" w14:textId="481DA109" w:rsidR="00E845F3" w:rsidRPr="000F64C3" w:rsidRDefault="00E845F3" w:rsidP="000F64C3"/>
    <w:sectPr w:rsidR="00E845F3" w:rsidRPr="000F64C3" w:rsidSect="00B103AB">
      <w:headerReference w:type="default" r:id="rId13"/>
      <w:pgSz w:w="11906" w:h="16838" w:code="9"/>
      <w:pgMar w:top="709" w:right="849" w:bottom="851" w:left="993"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D6FEC" w14:textId="77777777" w:rsidR="00E87A2E" w:rsidRDefault="00E87A2E" w:rsidP="00BF6EA7">
      <w:pPr>
        <w:spacing w:after="0" w:line="240" w:lineRule="auto"/>
      </w:pPr>
      <w:r>
        <w:separator/>
      </w:r>
    </w:p>
  </w:endnote>
  <w:endnote w:type="continuationSeparator" w:id="0">
    <w:p w14:paraId="363EC827" w14:textId="77777777" w:rsidR="00E87A2E" w:rsidRDefault="00E87A2E" w:rsidP="00BF6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altName w:val="Arial Narrow"/>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D3B3D" w14:textId="77777777" w:rsidR="00E87A2E" w:rsidRDefault="00E87A2E" w:rsidP="00BF6EA7">
      <w:pPr>
        <w:spacing w:after="0" w:line="240" w:lineRule="auto"/>
      </w:pPr>
      <w:r>
        <w:separator/>
      </w:r>
    </w:p>
  </w:footnote>
  <w:footnote w:type="continuationSeparator" w:id="0">
    <w:p w14:paraId="368BAFFE" w14:textId="77777777" w:rsidR="00E87A2E" w:rsidRDefault="00E87A2E" w:rsidP="00BF6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D4F0B" w14:textId="1B0023AC" w:rsidR="004637C8" w:rsidRPr="00710B88" w:rsidRDefault="004637C8" w:rsidP="004637C8">
    <w:pPr>
      <w:tabs>
        <w:tab w:val="center" w:pos="4536"/>
      </w:tabs>
      <w:spacing w:after="0" w:line="240" w:lineRule="auto"/>
      <w:ind w:left="301" w:hanging="301"/>
      <w:jc w:val="right"/>
      <w:rPr>
        <w:rFonts w:ascii="Arial Narrow" w:hAnsi="Arial Narrow" w:cs="Arial"/>
        <w:sz w:val="18"/>
        <w:szCs w:val="20"/>
      </w:rPr>
    </w:pPr>
    <w:bookmarkStart w:id="3" w:name="_Hlk511029359"/>
    <w:r w:rsidRPr="00710B88">
      <w:rPr>
        <w:rFonts w:ascii="Arial Narrow" w:hAnsi="Arial Narrow" w:cs="Arial"/>
        <w:sz w:val="18"/>
        <w:szCs w:val="20"/>
      </w:rPr>
      <w:t xml:space="preserve">Załącznik nr </w:t>
    </w:r>
    <w:r w:rsidR="00C569B0">
      <w:rPr>
        <w:rFonts w:ascii="Arial Narrow" w:hAnsi="Arial Narrow" w:cs="Arial"/>
        <w:sz w:val="18"/>
        <w:szCs w:val="20"/>
      </w:rPr>
      <w:t>4</w:t>
    </w:r>
    <w:r w:rsidR="008E765F">
      <w:rPr>
        <w:rFonts w:ascii="Arial Narrow" w:hAnsi="Arial Narrow" w:cs="Arial"/>
        <w:sz w:val="18"/>
        <w:szCs w:val="20"/>
      </w:rPr>
      <w:t xml:space="preserve"> </w:t>
    </w:r>
    <w:r w:rsidRPr="00710B88">
      <w:rPr>
        <w:rFonts w:ascii="Arial Narrow" w:hAnsi="Arial Narrow" w:cs="Arial"/>
        <w:sz w:val="18"/>
        <w:szCs w:val="20"/>
      </w:rPr>
      <w:t xml:space="preserve">do </w:t>
    </w:r>
    <w:r w:rsidR="0003134F">
      <w:rPr>
        <w:rFonts w:ascii="Arial Narrow" w:hAnsi="Arial Narrow" w:cs="Arial"/>
        <w:sz w:val="18"/>
        <w:szCs w:val="20"/>
      </w:rPr>
      <w:t>ZO</w:t>
    </w:r>
  </w:p>
  <w:p w14:paraId="731E220C" w14:textId="77777777" w:rsidR="004637C8" w:rsidRPr="00710B88" w:rsidRDefault="004637C8" w:rsidP="004637C8">
    <w:pPr>
      <w:pBdr>
        <w:bottom w:val="single" w:sz="4" w:space="1" w:color="auto"/>
      </w:pBdr>
      <w:tabs>
        <w:tab w:val="center" w:pos="4536"/>
        <w:tab w:val="right" w:pos="9072"/>
      </w:tabs>
      <w:spacing w:after="0" w:line="240" w:lineRule="auto"/>
      <w:ind w:left="301" w:hanging="301"/>
      <w:jc w:val="right"/>
      <w:rPr>
        <w:rFonts w:ascii="Arial Narrow" w:hAnsi="Arial Narrow" w:cs="Arial"/>
        <w:bCs/>
        <w:sz w:val="18"/>
        <w:szCs w:val="20"/>
      </w:rPr>
    </w:pPr>
    <w:r w:rsidRPr="00710B88">
      <w:rPr>
        <w:rFonts w:ascii="Arial Narrow" w:hAnsi="Arial Narrow" w:cs="Arial"/>
        <w:bCs/>
        <w:sz w:val="18"/>
        <w:szCs w:val="20"/>
      </w:rPr>
      <w:t>Informacja o przetwarzaniu danych osobowych</w:t>
    </w:r>
  </w:p>
  <w:bookmarkEnd w:id="3"/>
  <w:p w14:paraId="221FCD8A" w14:textId="2ACECDBB" w:rsidR="004637C8" w:rsidRPr="00710B88" w:rsidRDefault="004637C8" w:rsidP="00F62160">
    <w:pPr>
      <w:pBdr>
        <w:bottom w:val="single" w:sz="4" w:space="1" w:color="auto"/>
      </w:pBdr>
      <w:tabs>
        <w:tab w:val="center" w:pos="4536"/>
        <w:tab w:val="right" w:pos="9072"/>
      </w:tabs>
      <w:spacing w:after="0" w:line="240" w:lineRule="auto"/>
      <w:ind w:left="301" w:hanging="301"/>
      <w:jc w:val="right"/>
    </w:pPr>
    <w:r w:rsidRPr="00710B88">
      <w:rPr>
        <w:rFonts w:ascii="Arial Narrow" w:hAnsi="Arial Narrow" w:cs="Arial"/>
        <w:bCs/>
        <w:sz w:val="18"/>
        <w:szCs w:val="20"/>
      </w:rPr>
      <w:t xml:space="preserve">Postępowanie nr </w:t>
    </w:r>
    <w:r w:rsidR="00072A52">
      <w:rPr>
        <w:rFonts w:ascii="Arial Narrow" w:hAnsi="Arial Narrow" w:cs="Arial"/>
        <w:bCs/>
        <w:sz w:val="18"/>
        <w:szCs w:val="20"/>
      </w:rPr>
      <w:t>EITE/2/000210</w:t>
    </w:r>
    <w:r w:rsidR="0004152A">
      <w:rPr>
        <w:rFonts w:ascii="Arial Narrow" w:hAnsi="Arial Narrow" w:cs="Arial"/>
        <w:bCs/>
        <w:sz w:val="18"/>
        <w:szCs w:val="20"/>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05EB"/>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C11BE2"/>
    <w:multiLevelType w:val="hybridMultilevel"/>
    <w:tmpl w:val="B6B2682A"/>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CCC7F49"/>
    <w:multiLevelType w:val="hybridMultilevel"/>
    <w:tmpl w:val="36DA91F0"/>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71B01CE"/>
    <w:multiLevelType w:val="hybridMultilevel"/>
    <w:tmpl w:val="9BDE371C"/>
    <w:lvl w:ilvl="0" w:tplc="CEFEA5AE">
      <w:start w:val="1"/>
      <w:numFmt w:val="lowerLetter"/>
      <w:lvlText w:val="%1."/>
      <w:lvlJc w:val="left"/>
      <w:pPr>
        <w:ind w:left="1152" w:hanging="360"/>
      </w:pPr>
      <w:rPr>
        <w:rFonts w:hint="default"/>
        <w:color w:val="000000"/>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 w15:restartNumberingAfterBreak="0">
    <w:nsid w:val="2A2E5230"/>
    <w:multiLevelType w:val="multilevel"/>
    <w:tmpl w:val="46162EAA"/>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364661CD"/>
    <w:multiLevelType w:val="hybridMultilevel"/>
    <w:tmpl w:val="B97A0214"/>
    <w:lvl w:ilvl="0" w:tplc="7BACFAD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 w15:restartNumberingAfterBreak="0">
    <w:nsid w:val="463778B6"/>
    <w:multiLevelType w:val="multilevel"/>
    <w:tmpl w:val="59B6FD1C"/>
    <w:lvl w:ilvl="0">
      <w:start w:val="1"/>
      <w:numFmt w:val="decimal"/>
      <w:lvlText w:val="%1."/>
      <w:lvlJc w:val="left"/>
      <w:pPr>
        <w:tabs>
          <w:tab w:val="num" w:pos="284"/>
        </w:tabs>
        <w:ind w:left="284" w:hanging="284"/>
      </w:pPr>
      <w:rPr>
        <w:rFonts w:ascii="Arial Narrow" w:hAnsi="Arial Narrow" w:hint="default"/>
        <w:b w:val="0"/>
        <w:i w:val="0"/>
        <w:sz w:val="22"/>
      </w:rPr>
    </w:lvl>
    <w:lvl w:ilvl="1">
      <w:start w:val="1"/>
      <w:numFmt w:val="decimal"/>
      <w:lvlText w:val="%1.%2."/>
      <w:lvlJc w:val="left"/>
      <w:pPr>
        <w:tabs>
          <w:tab w:val="num" w:pos="737"/>
        </w:tabs>
        <w:ind w:left="737" w:hanging="453"/>
      </w:pPr>
      <w:rPr>
        <w:rFonts w:ascii="Arial Narrow" w:hAnsi="Arial Narrow" w:hint="default"/>
        <w:b w:val="0"/>
        <w:i w:val="0"/>
        <w:sz w:val="22"/>
        <w:szCs w:val="20"/>
      </w:rPr>
    </w:lvl>
    <w:lvl w:ilvl="2">
      <w:start w:val="1"/>
      <w:numFmt w:val="decimal"/>
      <w:lvlText w:val="%1.%2.%3."/>
      <w:lvlJc w:val="left"/>
      <w:pPr>
        <w:tabs>
          <w:tab w:val="num" w:pos="1247"/>
        </w:tabs>
        <w:ind w:left="1247" w:hanging="510"/>
      </w:pPr>
      <w:rPr>
        <w:rFonts w:ascii="Arial Narrow" w:hAnsi="Arial Narrow" w:hint="default"/>
        <w:b w:val="0"/>
        <w:i w:val="0"/>
        <w:sz w:val="22"/>
        <w:szCs w:val="20"/>
      </w:rPr>
    </w:lvl>
    <w:lvl w:ilvl="3">
      <w:start w:val="1"/>
      <w:numFmt w:val="decimal"/>
      <w:lvlText w:val="%1.%2.%3.%4."/>
      <w:lvlJc w:val="left"/>
      <w:pPr>
        <w:tabs>
          <w:tab w:val="num" w:pos="1701"/>
        </w:tabs>
        <w:ind w:left="1701" w:hanging="850"/>
      </w:pPr>
      <w:rPr>
        <w:rFonts w:ascii="Arial" w:hAnsi="Arial" w:cs="Times New Roman" w:hint="default"/>
        <w:b w:val="0"/>
        <w:i w:val="0"/>
        <w:sz w:val="22"/>
      </w:rPr>
    </w:lvl>
    <w:lvl w:ilvl="4">
      <w:start w:val="1"/>
      <w:numFmt w:val="decimal"/>
      <w:lvlText w:val="%1.%2.%3.%4.%5"/>
      <w:lvlJc w:val="left"/>
      <w:pPr>
        <w:tabs>
          <w:tab w:val="num" w:pos="2084"/>
        </w:tabs>
        <w:ind w:left="2084" w:hanging="1080"/>
      </w:pPr>
    </w:lvl>
    <w:lvl w:ilvl="5">
      <w:start w:val="1"/>
      <w:numFmt w:val="decimal"/>
      <w:lvlText w:val="%1.%2.%3.%4.%5.%6"/>
      <w:lvlJc w:val="left"/>
      <w:pPr>
        <w:tabs>
          <w:tab w:val="num" w:pos="2264"/>
        </w:tabs>
        <w:ind w:left="2264" w:hanging="1080"/>
      </w:pPr>
    </w:lvl>
    <w:lvl w:ilvl="6">
      <w:start w:val="1"/>
      <w:numFmt w:val="decimal"/>
      <w:lvlText w:val="%1.%2.%3.%4.%5.%6.%7"/>
      <w:lvlJc w:val="left"/>
      <w:pPr>
        <w:tabs>
          <w:tab w:val="num" w:pos="2804"/>
        </w:tabs>
        <w:ind w:left="2804" w:hanging="1440"/>
      </w:pPr>
    </w:lvl>
    <w:lvl w:ilvl="7">
      <w:start w:val="1"/>
      <w:numFmt w:val="decimal"/>
      <w:lvlText w:val="%1.%2.%3.%4.%5.%6.%7.%8"/>
      <w:lvlJc w:val="left"/>
      <w:pPr>
        <w:tabs>
          <w:tab w:val="num" w:pos="2984"/>
        </w:tabs>
        <w:ind w:left="2984" w:hanging="1440"/>
      </w:pPr>
    </w:lvl>
    <w:lvl w:ilvl="8">
      <w:start w:val="1"/>
      <w:numFmt w:val="decimal"/>
      <w:lvlText w:val="%1.%2.%3.%4.%5.%6.%7.%8.%9"/>
      <w:lvlJc w:val="left"/>
      <w:pPr>
        <w:tabs>
          <w:tab w:val="num" w:pos="3524"/>
        </w:tabs>
        <w:ind w:left="3524" w:hanging="1800"/>
      </w:pPr>
    </w:lvl>
  </w:abstractNum>
  <w:abstractNum w:abstractNumId="8" w15:restartNumberingAfterBreak="0">
    <w:nsid w:val="4A5563F6"/>
    <w:multiLevelType w:val="hybridMultilevel"/>
    <w:tmpl w:val="2D1A8C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4FB34AB9"/>
    <w:multiLevelType w:val="hybridMultilevel"/>
    <w:tmpl w:val="D376073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3534037"/>
    <w:multiLevelType w:val="hybridMultilevel"/>
    <w:tmpl w:val="43A8FE28"/>
    <w:lvl w:ilvl="0" w:tplc="04150011">
      <w:start w:val="1"/>
      <w:numFmt w:val="decimal"/>
      <w:lvlText w:val="%1)"/>
      <w:lvlJc w:val="left"/>
      <w:pPr>
        <w:ind w:left="360" w:hanging="360"/>
      </w:pPr>
      <w:rPr>
        <w:rFonts w:hint="default"/>
      </w:rPr>
    </w:lvl>
    <w:lvl w:ilvl="1" w:tplc="D13A37CC">
      <w:start w:val="1"/>
      <w:numFmt w:val="lowerLetter"/>
      <w:lvlText w:val="%2."/>
      <w:lvlJc w:val="left"/>
      <w:pPr>
        <w:ind w:left="1080" w:hanging="360"/>
      </w:pPr>
      <w:rPr>
        <w:color w:val="00000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8485503"/>
    <w:multiLevelType w:val="hybridMultilevel"/>
    <w:tmpl w:val="2CDEA9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5465F62"/>
    <w:multiLevelType w:val="hybridMultilevel"/>
    <w:tmpl w:val="F41A107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E15AF2"/>
    <w:multiLevelType w:val="hybridMultilevel"/>
    <w:tmpl w:val="7394867E"/>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
  </w:num>
  <w:num w:numId="14">
    <w:abstractNumId w:val="12"/>
  </w:num>
  <w:num w:numId="15">
    <w:abstractNumId w:val="0"/>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01F"/>
    <w:rsid w:val="000030F8"/>
    <w:rsid w:val="0003134F"/>
    <w:rsid w:val="0004152A"/>
    <w:rsid w:val="00041EB8"/>
    <w:rsid w:val="00052632"/>
    <w:rsid w:val="000572BB"/>
    <w:rsid w:val="000610AA"/>
    <w:rsid w:val="00072A52"/>
    <w:rsid w:val="000A280E"/>
    <w:rsid w:val="000A54A6"/>
    <w:rsid w:val="000B45D8"/>
    <w:rsid w:val="000B688A"/>
    <w:rsid w:val="000C5039"/>
    <w:rsid w:val="000F64C3"/>
    <w:rsid w:val="00100E42"/>
    <w:rsid w:val="0010590C"/>
    <w:rsid w:val="0011724B"/>
    <w:rsid w:val="00136A15"/>
    <w:rsid w:val="00136DE4"/>
    <w:rsid w:val="00141838"/>
    <w:rsid w:val="00145165"/>
    <w:rsid w:val="00147CF5"/>
    <w:rsid w:val="001A7990"/>
    <w:rsid w:val="001B47E9"/>
    <w:rsid w:val="001C2FDD"/>
    <w:rsid w:val="001D1277"/>
    <w:rsid w:val="001E6E5D"/>
    <w:rsid w:val="001F3A8E"/>
    <w:rsid w:val="001F7A9B"/>
    <w:rsid w:val="002428F2"/>
    <w:rsid w:val="00252305"/>
    <w:rsid w:val="002B5D0F"/>
    <w:rsid w:val="002E5F8C"/>
    <w:rsid w:val="002E7FA6"/>
    <w:rsid w:val="00316442"/>
    <w:rsid w:val="00326124"/>
    <w:rsid w:val="00381199"/>
    <w:rsid w:val="00381FD6"/>
    <w:rsid w:val="00385671"/>
    <w:rsid w:val="003964E1"/>
    <w:rsid w:val="003A096A"/>
    <w:rsid w:val="003A35E1"/>
    <w:rsid w:val="003D5CFB"/>
    <w:rsid w:val="003E6AEA"/>
    <w:rsid w:val="00410C42"/>
    <w:rsid w:val="00421687"/>
    <w:rsid w:val="00442791"/>
    <w:rsid w:val="004637C8"/>
    <w:rsid w:val="004B0777"/>
    <w:rsid w:val="004C0C9D"/>
    <w:rsid w:val="004C7202"/>
    <w:rsid w:val="0052781E"/>
    <w:rsid w:val="005433A0"/>
    <w:rsid w:val="005518E0"/>
    <w:rsid w:val="005650FA"/>
    <w:rsid w:val="0060068D"/>
    <w:rsid w:val="0060493C"/>
    <w:rsid w:val="0062528B"/>
    <w:rsid w:val="00643852"/>
    <w:rsid w:val="00651CF5"/>
    <w:rsid w:val="0066301F"/>
    <w:rsid w:val="00684299"/>
    <w:rsid w:val="00687C62"/>
    <w:rsid w:val="0069068D"/>
    <w:rsid w:val="006C2F46"/>
    <w:rsid w:val="006C3EFC"/>
    <w:rsid w:val="006E252D"/>
    <w:rsid w:val="00710B88"/>
    <w:rsid w:val="0071596F"/>
    <w:rsid w:val="007345F7"/>
    <w:rsid w:val="007A03EE"/>
    <w:rsid w:val="007C2BAC"/>
    <w:rsid w:val="007E22A8"/>
    <w:rsid w:val="007E7155"/>
    <w:rsid w:val="007F32D3"/>
    <w:rsid w:val="007F37E7"/>
    <w:rsid w:val="00801B53"/>
    <w:rsid w:val="0081300D"/>
    <w:rsid w:val="00846FE2"/>
    <w:rsid w:val="008714D5"/>
    <w:rsid w:val="00872949"/>
    <w:rsid w:val="008B7914"/>
    <w:rsid w:val="008C1909"/>
    <w:rsid w:val="008C7A17"/>
    <w:rsid w:val="008E146C"/>
    <w:rsid w:val="008E765F"/>
    <w:rsid w:val="008F2DBE"/>
    <w:rsid w:val="00920CAE"/>
    <w:rsid w:val="009235F0"/>
    <w:rsid w:val="00933775"/>
    <w:rsid w:val="0097049A"/>
    <w:rsid w:val="0097774E"/>
    <w:rsid w:val="009E0100"/>
    <w:rsid w:val="009E0FA6"/>
    <w:rsid w:val="009E14E3"/>
    <w:rsid w:val="009E3521"/>
    <w:rsid w:val="009E432B"/>
    <w:rsid w:val="009E5F8F"/>
    <w:rsid w:val="00A27D6E"/>
    <w:rsid w:val="00A52386"/>
    <w:rsid w:val="00A74C94"/>
    <w:rsid w:val="00A80EC6"/>
    <w:rsid w:val="00A828AD"/>
    <w:rsid w:val="00AA0AF3"/>
    <w:rsid w:val="00AC1170"/>
    <w:rsid w:val="00B103AB"/>
    <w:rsid w:val="00B11A0F"/>
    <w:rsid w:val="00B21DDD"/>
    <w:rsid w:val="00B535EC"/>
    <w:rsid w:val="00B57B78"/>
    <w:rsid w:val="00B64415"/>
    <w:rsid w:val="00B71C98"/>
    <w:rsid w:val="00B86DAD"/>
    <w:rsid w:val="00B954ED"/>
    <w:rsid w:val="00BA43EA"/>
    <w:rsid w:val="00BF0949"/>
    <w:rsid w:val="00BF2CFB"/>
    <w:rsid w:val="00BF331B"/>
    <w:rsid w:val="00BF6EA7"/>
    <w:rsid w:val="00C21A00"/>
    <w:rsid w:val="00C33CFE"/>
    <w:rsid w:val="00C52CC8"/>
    <w:rsid w:val="00C569B0"/>
    <w:rsid w:val="00C612D2"/>
    <w:rsid w:val="00C6620A"/>
    <w:rsid w:val="00C752C0"/>
    <w:rsid w:val="00C86C18"/>
    <w:rsid w:val="00C86E3D"/>
    <w:rsid w:val="00C87DD5"/>
    <w:rsid w:val="00C931D4"/>
    <w:rsid w:val="00C97AD9"/>
    <w:rsid w:val="00CA21A4"/>
    <w:rsid w:val="00CB7759"/>
    <w:rsid w:val="00D14A19"/>
    <w:rsid w:val="00D20FFE"/>
    <w:rsid w:val="00D44744"/>
    <w:rsid w:val="00D51762"/>
    <w:rsid w:val="00D56777"/>
    <w:rsid w:val="00D93E5F"/>
    <w:rsid w:val="00D94DCA"/>
    <w:rsid w:val="00DC4A40"/>
    <w:rsid w:val="00DD60D7"/>
    <w:rsid w:val="00DD63BA"/>
    <w:rsid w:val="00DE73D1"/>
    <w:rsid w:val="00E225D2"/>
    <w:rsid w:val="00E26146"/>
    <w:rsid w:val="00E45343"/>
    <w:rsid w:val="00E47CE6"/>
    <w:rsid w:val="00E8290F"/>
    <w:rsid w:val="00E845F3"/>
    <w:rsid w:val="00E87A2E"/>
    <w:rsid w:val="00EA7615"/>
    <w:rsid w:val="00EF46E0"/>
    <w:rsid w:val="00F1576B"/>
    <w:rsid w:val="00F24B92"/>
    <w:rsid w:val="00F2711A"/>
    <w:rsid w:val="00F32D7F"/>
    <w:rsid w:val="00F34B7C"/>
    <w:rsid w:val="00F508B6"/>
    <w:rsid w:val="00F62160"/>
    <w:rsid w:val="00F62A18"/>
    <w:rsid w:val="00F63875"/>
    <w:rsid w:val="00F66EEA"/>
    <w:rsid w:val="00F70B17"/>
    <w:rsid w:val="00F90DF5"/>
    <w:rsid w:val="00F92B90"/>
    <w:rsid w:val="00FB16D0"/>
    <w:rsid w:val="00FB1EE3"/>
    <w:rsid w:val="00FD58AA"/>
    <w:rsid w:val="00FD5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A33BA9C"/>
  <w15:docId w15:val="{6F238558-3225-4E74-980C-2B512EF8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5F8C"/>
    <w:pPr>
      <w:spacing w:after="160" w:line="25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2E5F8C"/>
    <w:pPr>
      <w:spacing w:line="240" w:lineRule="auto"/>
    </w:pPr>
    <w:rPr>
      <w:sz w:val="20"/>
      <w:szCs w:val="20"/>
    </w:rPr>
  </w:style>
  <w:style w:type="character" w:customStyle="1" w:styleId="TekstkomentarzaZnak">
    <w:name w:val="Tekst komentarza Znak"/>
    <w:link w:val="Tekstkomentarza"/>
    <w:uiPriority w:val="99"/>
    <w:semiHidden/>
    <w:rsid w:val="002E5F8C"/>
    <w:rPr>
      <w:sz w:val="20"/>
      <w:szCs w:val="20"/>
    </w:rPr>
  </w:style>
  <w:style w:type="paragraph" w:styleId="Akapitzlist">
    <w:name w:val="List Paragraph"/>
    <w:aliases w:val="Tytuły"/>
    <w:basedOn w:val="Normalny"/>
    <w:link w:val="AkapitzlistZnak"/>
    <w:uiPriority w:val="34"/>
    <w:qFormat/>
    <w:rsid w:val="002E5F8C"/>
    <w:pPr>
      <w:ind w:left="720"/>
      <w:contextualSpacing/>
    </w:pPr>
  </w:style>
  <w:style w:type="character" w:styleId="Odwoaniedokomentarza">
    <w:name w:val="annotation reference"/>
    <w:uiPriority w:val="99"/>
    <w:semiHidden/>
    <w:unhideWhenUsed/>
    <w:rsid w:val="002E5F8C"/>
    <w:rPr>
      <w:sz w:val="16"/>
      <w:szCs w:val="16"/>
    </w:rPr>
  </w:style>
  <w:style w:type="paragraph" w:styleId="Tekstdymka">
    <w:name w:val="Balloon Text"/>
    <w:basedOn w:val="Normalny"/>
    <w:link w:val="TekstdymkaZnak"/>
    <w:uiPriority w:val="99"/>
    <w:semiHidden/>
    <w:unhideWhenUsed/>
    <w:rsid w:val="002E5F8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2E5F8C"/>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F6EA7"/>
    <w:pPr>
      <w:spacing w:after="0" w:line="240" w:lineRule="auto"/>
    </w:pPr>
    <w:rPr>
      <w:sz w:val="20"/>
      <w:szCs w:val="20"/>
    </w:rPr>
  </w:style>
  <w:style w:type="character" w:customStyle="1" w:styleId="TekstprzypisukocowegoZnak">
    <w:name w:val="Tekst przypisu końcowego Znak"/>
    <w:link w:val="Tekstprzypisukocowego"/>
    <w:uiPriority w:val="99"/>
    <w:semiHidden/>
    <w:rsid w:val="00BF6EA7"/>
    <w:rPr>
      <w:sz w:val="20"/>
      <w:szCs w:val="20"/>
    </w:rPr>
  </w:style>
  <w:style w:type="character" w:styleId="Odwoanieprzypisukocowego">
    <w:name w:val="endnote reference"/>
    <w:uiPriority w:val="99"/>
    <w:semiHidden/>
    <w:unhideWhenUsed/>
    <w:rsid w:val="00BF6EA7"/>
    <w:rPr>
      <w:vertAlign w:val="superscript"/>
    </w:rPr>
  </w:style>
  <w:style w:type="paragraph" w:styleId="Tematkomentarza">
    <w:name w:val="annotation subject"/>
    <w:basedOn w:val="Tekstkomentarza"/>
    <w:next w:val="Tekstkomentarza"/>
    <w:link w:val="TematkomentarzaZnak"/>
    <w:uiPriority w:val="99"/>
    <w:semiHidden/>
    <w:unhideWhenUsed/>
    <w:rsid w:val="00FB1EE3"/>
    <w:rPr>
      <w:b/>
      <w:bCs/>
    </w:rPr>
  </w:style>
  <w:style w:type="character" w:customStyle="1" w:styleId="TematkomentarzaZnak">
    <w:name w:val="Temat komentarza Znak"/>
    <w:link w:val="Tematkomentarza"/>
    <w:uiPriority w:val="99"/>
    <w:semiHidden/>
    <w:rsid w:val="00FB1EE3"/>
    <w:rPr>
      <w:b/>
      <w:bCs/>
      <w:sz w:val="20"/>
      <w:szCs w:val="20"/>
    </w:rPr>
  </w:style>
  <w:style w:type="paragraph" w:styleId="Nagwek">
    <w:name w:val="header"/>
    <w:basedOn w:val="Normalny"/>
    <w:link w:val="NagwekZnak"/>
    <w:uiPriority w:val="99"/>
    <w:unhideWhenUsed/>
    <w:rsid w:val="004637C8"/>
    <w:pPr>
      <w:tabs>
        <w:tab w:val="center" w:pos="4536"/>
        <w:tab w:val="right" w:pos="9072"/>
      </w:tabs>
    </w:pPr>
  </w:style>
  <w:style w:type="character" w:customStyle="1" w:styleId="NagwekZnak">
    <w:name w:val="Nagłówek Znak"/>
    <w:link w:val="Nagwek"/>
    <w:uiPriority w:val="99"/>
    <w:rsid w:val="004637C8"/>
    <w:rPr>
      <w:sz w:val="22"/>
      <w:szCs w:val="22"/>
      <w:lang w:eastAsia="en-US"/>
    </w:rPr>
  </w:style>
  <w:style w:type="paragraph" w:styleId="Stopka">
    <w:name w:val="footer"/>
    <w:basedOn w:val="Normalny"/>
    <w:link w:val="StopkaZnak"/>
    <w:uiPriority w:val="99"/>
    <w:unhideWhenUsed/>
    <w:rsid w:val="004637C8"/>
    <w:pPr>
      <w:tabs>
        <w:tab w:val="center" w:pos="4536"/>
        <w:tab w:val="right" w:pos="9072"/>
      </w:tabs>
    </w:pPr>
  </w:style>
  <w:style w:type="character" w:customStyle="1" w:styleId="StopkaZnak">
    <w:name w:val="Stopka Znak"/>
    <w:link w:val="Stopka"/>
    <w:uiPriority w:val="99"/>
    <w:rsid w:val="004637C8"/>
    <w:rPr>
      <w:sz w:val="22"/>
      <w:szCs w:val="22"/>
      <w:lang w:eastAsia="en-US"/>
    </w:rPr>
  </w:style>
  <w:style w:type="character" w:styleId="Hipercze">
    <w:name w:val="Hyperlink"/>
    <w:uiPriority w:val="99"/>
    <w:rsid w:val="001F7A9B"/>
    <w:rPr>
      <w:rFonts w:cs="Times New Roman"/>
      <w:color w:val="0000FF"/>
      <w:u w:val="single"/>
    </w:rPr>
  </w:style>
  <w:style w:type="character" w:customStyle="1" w:styleId="AkapitzlistZnak">
    <w:name w:val="Akapit z listą Znak"/>
    <w:aliases w:val="Tytuły Znak"/>
    <w:link w:val="Akapitzlist"/>
    <w:uiPriority w:val="34"/>
    <w:rsid w:val="001F7A9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286009">
      <w:bodyDiv w:val="1"/>
      <w:marLeft w:val="0"/>
      <w:marRight w:val="0"/>
      <w:marTop w:val="0"/>
      <w:marBottom w:val="0"/>
      <w:divBdr>
        <w:top w:val="none" w:sz="0" w:space="0" w:color="auto"/>
        <w:left w:val="none" w:sz="0" w:space="0" w:color="auto"/>
        <w:bottom w:val="none" w:sz="0" w:space="0" w:color="auto"/>
        <w:right w:val="none" w:sz="0" w:space="0" w:color="auto"/>
      </w:divBdr>
    </w:div>
    <w:div w:id="1477600311">
      <w:bodyDiv w:val="1"/>
      <w:marLeft w:val="0"/>
      <w:marRight w:val="0"/>
      <w:marTop w:val="0"/>
      <w:marBottom w:val="0"/>
      <w:divBdr>
        <w:top w:val="none" w:sz="0" w:space="0" w:color="auto"/>
        <w:left w:val="none" w:sz="0" w:space="0" w:color="auto"/>
        <w:bottom w:val="none" w:sz="0" w:space="0" w:color="auto"/>
        <w:right w:val="none" w:sz="0" w:space="0" w:color="auto"/>
      </w:divBdr>
    </w:div>
    <w:div w:id="1875731868">
      <w:bodyDiv w:val="1"/>
      <w:marLeft w:val="0"/>
      <w:marRight w:val="0"/>
      <w:marTop w:val="0"/>
      <w:marBottom w:val="0"/>
      <w:divBdr>
        <w:top w:val="none" w:sz="0" w:space="0" w:color="auto"/>
        <w:left w:val="none" w:sz="0" w:space="0" w:color="auto"/>
        <w:bottom w:val="none" w:sz="0" w:space="0" w:color="auto"/>
        <w:right w:val="none" w:sz="0" w:space="0" w:color="auto"/>
      </w:divBdr>
    </w:div>
    <w:div w:id="19143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energa-operator.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pis_x0020_dokumentu xmlns="167a4a0b-3438-4db8-a28b-09411b1f8695" xsi:nil="true"/>
    <LikesCount xmlns="http://schemas.microsoft.com/sharepoint/v3" xsi:nil="true"/>
    <Autor xmlns="167a4a0b-3438-4db8-a28b-09411b1f8695">
      <UserInfo>
        <DisplayName/>
        <AccountId xsi:nil="true"/>
        <AccountType/>
      </UserInfo>
    </Autor>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790866D69F504495FE7E0B02A9A233" ma:contentTypeVersion="10" ma:contentTypeDescription="Utwórz nowy dokument." ma:contentTypeScope="" ma:versionID="6b26a84be66733867e99d59083f4f4ea">
  <xsd:schema xmlns:xsd="http://www.w3.org/2001/XMLSchema" xmlns:xs="http://www.w3.org/2001/XMLSchema" xmlns:p="http://schemas.microsoft.com/office/2006/metadata/properties" xmlns:ns1="http://schemas.microsoft.com/sharepoint/v3" xmlns:ns2="167a4a0b-3438-4db8-a28b-09411b1f8695" targetNamespace="http://schemas.microsoft.com/office/2006/metadata/properties" ma:root="true" ma:fieldsID="4c1eb9f7894535ae0062bb9451cfe02e" ns1:_="" ns2:_="">
    <xsd:import namespace="http://schemas.microsoft.com/sharepoint/v3"/>
    <xsd:import namespace="167a4a0b-3438-4db8-a28b-09411b1f8695"/>
    <xsd:element name="properties">
      <xsd:complexType>
        <xsd:sequence>
          <xsd:element name="documentManagement">
            <xsd:complexType>
              <xsd:all>
                <xsd:element ref="ns2:Autor" minOccurs="0"/>
                <xsd:element ref="ns2:Opis_x0020_dokumentu"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Ocena (0-5)" ma:decimals="2" ma:description="Średnia wartość wszystkich przesłanych ocen" ma:internalName="AverageRating" ma:readOnly="true">
      <xsd:simpleType>
        <xsd:restriction base="dms:Number"/>
      </xsd:simpleType>
    </xsd:element>
    <xsd:element name="RatingCount" ma:index="11" nillable="true" ma:displayName="Liczba ocen" ma:decimals="0" ma:description="Liczba przesłanych ocen" ma:internalName="RatingCount" ma:readOnly="true">
      <xsd:simpleType>
        <xsd:restriction base="dms:Number"/>
      </xsd:simpleType>
    </xsd:element>
    <xsd:element name="RatedBy" ma:index="12" nillable="true" ma:displayName="Ocenione przez" ma:description="Użytkownicy ocenili element."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Oceny użytkownika" ma:description="Oceny użytkownika dla elementu" ma:hidden="true" ma:internalName="Ratings">
      <xsd:simpleType>
        <xsd:restriction base="dms:Note"/>
      </xsd:simpleType>
    </xsd:element>
    <xsd:element name="LikesCount" ma:index="14" nillable="true" ma:displayName="Liczba znaczników „lubię to”" ma:internalName="LikesCount">
      <xsd:simpleType>
        <xsd:restriction base="dms:Unknown"/>
      </xsd:simpleType>
    </xsd:element>
    <xsd:element name="LikedBy" ma:index="15" nillable="true" ma:displayName="Lubiane przez"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7a4a0b-3438-4db8-a28b-09411b1f8695" elementFormDefault="qualified">
    <xsd:import namespace="http://schemas.microsoft.com/office/2006/documentManagement/types"/>
    <xsd:import namespace="http://schemas.microsoft.com/office/infopath/2007/PartnerControls"/>
    <xsd:element name="Autor" ma:index="8" nillable="true" ma:displayName="Autor" ma:list="UserInfo" ma:SharePointGroup="0" ma:internalName="Auto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pis_x0020_dokumentu" ma:index="9" nillable="true" ma:displayName="Odwołanie do Rodo" ma:internalName="Opis_x0020_dokumentu">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Opis dokumentu / folder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D9427-DC40-49C0-9216-64965086C98D}">
  <ds:schemaRefs>
    <ds:schemaRef ds:uri="http://schemas.microsoft.com/sharepoint/v3/contenttype/forms"/>
  </ds:schemaRefs>
</ds:datastoreItem>
</file>

<file path=customXml/itemProps2.xml><?xml version="1.0" encoding="utf-8"?>
<ds:datastoreItem xmlns:ds="http://schemas.openxmlformats.org/officeDocument/2006/customXml" ds:itemID="{5979E5EB-E720-4218-9D42-937B153F7DFE}">
  <ds:schemaRefs>
    <ds:schemaRef ds:uri="http://schemas.microsoft.com/office/infopath/2007/PartnerControls"/>
    <ds:schemaRef ds:uri="http://purl.org/dc/elements/1.1/"/>
    <ds:schemaRef ds:uri="http://schemas.microsoft.com/office/2006/documentManagement/types"/>
    <ds:schemaRef ds:uri="167a4a0b-3438-4db8-a28b-09411b1f8695"/>
    <ds:schemaRef ds:uri="http://schemas.microsoft.com/sharepoint/v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43AD3E9-D9A7-4D75-B185-42C442EAA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67a4a0b-3438-4db8-a28b-09411b1f8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DB8016-2CAA-4C90-9F44-8EE34804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955</Words>
  <Characters>5733</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Joka Patrycja</dc:creator>
  <cp:keywords/>
  <cp:lastModifiedBy>Joka Patrycja (PKN)</cp:lastModifiedBy>
  <cp:revision>16</cp:revision>
  <cp:lastPrinted>2022-11-30T13:07:00Z</cp:lastPrinted>
  <dcterms:created xsi:type="dcterms:W3CDTF">2022-10-11T12:14:00Z</dcterms:created>
  <dcterms:modified xsi:type="dcterms:W3CDTF">2024-08-29T18:29:00Z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0x010100C1790866D69F504495FE7E0B02A9A233</vt:lpwstr>
  </property>
</Properties>
</file>