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727DB5BF" w:rsidR="00F74C86" w:rsidRPr="00880ED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Nr sprawy:</w:t>
      </w:r>
      <w:r w:rsidR="009E02FB" w:rsidRPr="00880ED8">
        <w:rPr>
          <w:rFonts w:ascii="Arial" w:hAnsi="Arial" w:cs="Arial"/>
          <w:b/>
        </w:rPr>
        <w:t xml:space="preserve"> </w:t>
      </w:r>
      <w:bookmarkStart w:id="0" w:name="_Hlk182384783"/>
      <w:r w:rsidR="009500B1" w:rsidRPr="009500B1">
        <w:rPr>
          <w:rFonts w:ascii="Arial" w:hAnsi="Arial" w:cs="Arial"/>
          <w:b/>
        </w:rPr>
        <w:t>PZ.294.22477.2024</w:t>
      </w:r>
    </w:p>
    <w:p w14:paraId="2A5397C1" w14:textId="2CE3E3CE" w:rsidR="00F74C86" w:rsidRPr="00880ED8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Nr postępowania:</w:t>
      </w:r>
      <w:r w:rsidR="00FD763A" w:rsidRPr="00880ED8">
        <w:rPr>
          <w:rFonts w:ascii="Arial" w:hAnsi="Arial" w:cs="Arial"/>
          <w:b/>
        </w:rPr>
        <w:t xml:space="preserve"> </w:t>
      </w:r>
      <w:r w:rsidR="009500B1" w:rsidRPr="009500B1">
        <w:rPr>
          <w:rFonts w:ascii="Arial" w:hAnsi="Arial" w:cs="Arial"/>
          <w:b/>
        </w:rPr>
        <w:t>0554/IZ13GM/18467/05171/24/P</w:t>
      </w:r>
    </w:p>
    <w:bookmarkEnd w:id="0"/>
    <w:p w14:paraId="63F1951D" w14:textId="77777777" w:rsidR="004262EB" w:rsidRPr="00880ED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br/>
      </w:r>
      <w:r w:rsidR="00267404" w:rsidRPr="00880ED8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77A02289" w:rsidR="00257CD9" w:rsidRPr="009500B1" w:rsidRDefault="004262EB" w:rsidP="009500B1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80ED8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880ED8">
        <w:rPr>
          <w:rFonts w:ascii="Arial" w:hAnsi="Arial" w:cs="Arial"/>
          <w:b/>
          <w:sz w:val="30"/>
          <w:szCs w:val="30"/>
        </w:rPr>
        <w:t>„</w:t>
      </w:r>
      <w:r w:rsidR="007D30DA" w:rsidRPr="007D30DA">
        <w:rPr>
          <w:rFonts w:ascii="Arial" w:hAnsi="Arial" w:cs="Arial"/>
          <w:b/>
          <w:bCs/>
          <w:sz w:val="30"/>
          <w:szCs w:val="30"/>
        </w:rPr>
        <w:t>Wykonanie przeglądu specjalnego, opracowania dokumentacji projektowej przebudowy wraz z wykonaniem robót odkrywkowych przepustu w km 40,444 linii kolejowej nr 207 Toruń Wschodni – Malbork</w:t>
      </w:r>
      <w:r w:rsidR="00F102EE" w:rsidRPr="009500B1">
        <w:rPr>
          <w:rFonts w:ascii="Arial" w:hAnsi="Arial" w:cs="Arial"/>
          <w:b/>
          <w:sz w:val="30"/>
          <w:szCs w:val="30"/>
        </w:rPr>
        <w:t>”.</w:t>
      </w:r>
    </w:p>
    <w:p w14:paraId="7CF6B5B9" w14:textId="77777777" w:rsidR="004262EB" w:rsidRPr="00880ED8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880ED8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 xml:space="preserve">Informacje </w:t>
      </w:r>
      <w:r w:rsidR="00676206" w:rsidRPr="00880ED8">
        <w:rPr>
          <w:rFonts w:ascii="Arial" w:hAnsi="Arial" w:cs="Arial"/>
          <w:b/>
        </w:rPr>
        <w:t>ogólne</w:t>
      </w:r>
    </w:p>
    <w:p w14:paraId="5195F5C0" w14:textId="77777777" w:rsidR="00676206" w:rsidRPr="00880ED8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880ED8">
        <w:rPr>
          <w:rFonts w:ascii="Arial" w:hAnsi="Arial" w:cs="Arial"/>
        </w:rPr>
        <w:t xml:space="preserve"> (dalej: Regulamin)</w:t>
      </w:r>
      <w:r w:rsidRPr="00880ED8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880ED8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880ED8">
        <w:rPr>
          <w:rFonts w:ascii="Arial" w:hAnsi="Arial" w:cs="Arial"/>
        </w:rPr>
        <w:t xml:space="preserve"> w zakładce Regulacje i procedury procesu zakupowego.</w:t>
      </w:r>
    </w:p>
    <w:p w14:paraId="01019B6C" w14:textId="5711C59F" w:rsidR="00676206" w:rsidRPr="00880ED8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Postępowanie prowadzone jest w trybie </w:t>
      </w:r>
      <w:r w:rsidR="00FE0919" w:rsidRPr="00880ED8">
        <w:rPr>
          <w:rFonts w:ascii="Arial" w:hAnsi="Arial" w:cs="Arial"/>
        </w:rPr>
        <w:t>zapytanie ofertowego otwartego.</w:t>
      </w:r>
    </w:p>
    <w:p w14:paraId="35B43B74" w14:textId="77777777" w:rsidR="00C7712F" w:rsidRPr="00880ED8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Przedmiot zamówienia</w:t>
      </w:r>
      <w:r w:rsidR="00AB13BB" w:rsidRPr="00880ED8">
        <w:rPr>
          <w:rFonts w:ascii="Arial" w:hAnsi="Arial" w:cs="Arial"/>
          <w:b/>
        </w:rPr>
        <w:t xml:space="preserve"> </w:t>
      </w:r>
    </w:p>
    <w:p w14:paraId="5E5993FA" w14:textId="5CF8377E" w:rsidR="00B2566D" w:rsidRPr="00880ED8" w:rsidRDefault="008A3175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80ED8">
        <w:rPr>
          <w:rFonts w:ascii="Arial" w:hAnsi="Arial" w:cs="Arial"/>
        </w:rPr>
        <w:t xml:space="preserve">Przedmiotem zamówienia jest </w:t>
      </w:r>
      <w:r w:rsidR="007D30DA" w:rsidRPr="007D30DA">
        <w:rPr>
          <w:rFonts w:ascii="Arial" w:hAnsi="Arial" w:cs="Arial"/>
          <w:b/>
          <w:bCs/>
        </w:rPr>
        <w:t>Wykonanie przeglądu specjalnego, opracowania dokumentacji projektowej przebudowy wraz z wykonaniem robót odkrywkowych przepustu w km 40,444 linii kolejowej nr 207 Toruń Wschodni – Malbork</w:t>
      </w:r>
      <w:r w:rsidR="00CA7025" w:rsidRPr="00880ED8">
        <w:rPr>
          <w:rFonts w:ascii="Arial" w:hAnsi="Arial" w:cs="Arial"/>
        </w:rPr>
        <w:t>.</w:t>
      </w:r>
      <w:r w:rsidRPr="00880ED8">
        <w:rPr>
          <w:rFonts w:ascii="Arial" w:hAnsi="Arial" w:cs="Arial"/>
        </w:rPr>
        <w:t xml:space="preserve"> Przedmiot zamówienia został szczegółowo opisany w Opisie Przedmiotu Zamówienia (dalej jako: „OPZ”),</w:t>
      </w:r>
      <w:r w:rsidR="00A8660F" w:rsidRPr="00880ED8">
        <w:rPr>
          <w:rFonts w:ascii="Arial" w:hAnsi="Arial" w:cs="Arial"/>
        </w:rPr>
        <w:t xml:space="preserve"> stanowiącym Załącznik nr </w:t>
      </w:r>
      <w:r w:rsidR="00880ED8">
        <w:rPr>
          <w:rFonts w:ascii="Arial" w:hAnsi="Arial" w:cs="Arial"/>
        </w:rPr>
        <w:t>1</w:t>
      </w:r>
      <w:r w:rsidRPr="00880ED8">
        <w:rPr>
          <w:rFonts w:ascii="Arial" w:hAnsi="Arial" w:cs="Arial"/>
        </w:rPr>
        <w:t xml:space="preserve"> do Informacji o postępowaniu</w:t>
      </w:r>
      <w:r w:rsidR="00963D20" w:rsidRPr="00880ED8">
        <w:rPr>
          <w:rFonts w:ascii="Arial" w:hAnsi="Arial" w:cs="Arial"/>
        </w:rPr>
        <w:t>.</w:t>
      </w:r>
    </w:p>
    <w:p w14:paraId="2D8EC406" w14:textId="528EBB3F" w:rsidR="00CA536D" w:rsidRPr="00880ED8" w:rsidRDefault="00147903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Termin </w:t>
      </w:r>
      <w:r w:rsidR="008A3175" w:rsidRPr="00880ED8">
        <w:rPr>
          <w:rFonts w:ascii="Arial" w:hAnsi="Arial" w:cs="Arial"/>
        </w:rPr>
        <w:t xml:space="preserve">realizacji zamówienia: </w:t>
      </w:r>
      <w:r w:rsidR="009500B1">
        <w:rPr>
          <w:rFonts w:ascii="Arial" w:hAnsi="Arial" w:cs="Arial"/>
        </w:rPr>
        <w:t>3</w:t>
      </w:r>
      <w:r w:rsidR="007D30DA">
        <w:rPr>
          <w:rFonts w:ascii="Arial" w:hAnsi="Arial" w:cs="Arial"/>
        </w:rPr>
        <w:t>0</w:t>
      </w:r>
      <w:r w:rsidR="00880ED8">
        <w:rPr>
          <w:rFonts w:ascii="Arial" w:hAnsi="Arial" w:cs="Arial"/>
        </w:rPr>
        <w:t xml:space="preserve"> </w:t>
      </w:r>
      <w:r w:rsidR="007D30DA">
        <w:rPr>
          <w:rFonts w:ascii="Arial" w:hAnsi="Arial" w:cs="Arial"/>
        </w:rPr>
        <w:t>czerwca</w:t>
      </w:r>
      <w:r w:rsidR="00880ED8">
        <w:rPr>
          <w:rFonts w:ascii="Arial" w:hAnsi="Arial" w:cs="Arial"/>
        </w:rPr>
        <w:t xml:space="preserve"> 202</w:t>
      </w:r>
      <w:r w:rsidR="007D30DA">
        <w:rPr>
          <w:rFonts w:ascii="Arial" w:hAnsi="Arial" w:cs="Arial"/>
        </w:rPr>
        <w:t>5</w:t>
      </w:r>
      <w:r w:rsidR="00880ED8">
        <w:rPr>
          <w:rFonts w:ascii="Arial" w:hAnsi="Arial" w:cs="Arial"/>
        </w:rPr>
        <w:t>r.</w:t>
      </w:r>
    </w:p>
    <w:p w14:paraId="5902EABA" w14:textId="77777777" w:rsidR="008A3175" w:rsidRPr="00880ED8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Warunki udziału w postępowaniu</w:t>
      </w:r>
    </w:p>
    <w:p w14:paraId="20634E9F" w14:textId="77777777" w:rsidR="00BA1C06" w:rsidRPr="00C61BB7" w:rsidRDefault="00BA1C06" w:rsidP="00BA1C06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C61BB7">
        <w:rPr>
          <w:rFonts w:ascii="Arial" w:hAnsi="Arial" w:cs="Arial"/>
        </w:rPr>
        <w:t>O udzielenie zamówienia może ubiegać się wykonawca, który wykaże, że:</w:t>
      </w:r>
    </w:p>
    <w:p w14:paraId="1CCBFBF6" w14:textId="22D33128" w:rsidR="00BA1C06" w:rsidRPr="0063333E" w:rsidRDefault="0063333E" w:rsidP="0063333E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63333E">
        <w:rPr>
          <w:rFonts w:ascii="Arial" w:hAnsi="Arial" w:cs="Arial"/>
        </w:rPr>
        <w:t>kserokopie uprawnień i przynależność do Izby Inżynierów o specjalności linie, stacje i węzły kolejowe lub uprawnienia mostowe</w:t>
      </w:r>
      <w:r w:rsidR="00BA1C06" w:rsidRPr="0063333E">
        <w:rPr>
          <w:rFonts w:ascii="Arial" w:hAnsi="Arial" w:cs="Arial"/>
        </w:rPr>
        <w:t>,</w:t>
      </w:r>
    </w:p>
    <w:p w14:paraId="25ED8B5C" w14:textId="04EE08E6" w:rsidR="008A3175" w:rsidRPr="00BA1C06" w:rsidRDefault="00BA1C06" w:rsidP="00BA1C06">
      <w:pPr>
        <w:pStyle w:val="Akapitzlist"/>
        <w:numPr>
          <w:ilvl w:val="0"/>
          <w:numId w:val="16"/>
        </w:numPr>
        <w:spacing w:after="120" w:line="360" w:lineRule="auto"/>
        <w:contextualSpacing w:val="0"/>
        <w:rPr>
          <w:rFonts w:ascii="Arial" w:hAnsi="Arial" w:cs="Arial"/>
          <w:i/>
        </w:rPr>
      </w:pPr>
      <w:r w:rsidRPr="0018643E">
        <w:rPr>
          <w:rFonts w:ascii="Arial" w:hAnsi="Arial" w:cs="Arial"/>
        </w:rPr>
        <w:t>aktualne zaświadczeni</w:t>
      </w:r>
      <w:r>
        <w:rPr>
          <w:rFonts w:ascii="Arial" w:hAnsi="Arial" w:cs="Arial"/>
        </w:rPr>
        <w:t>e</w:t>
      </w:r>
      <w:r w:rsidRPr="0018643E">
        <w:rPr>
          <w:rFonts w:ascii="Arial" w:hAnsi="Arial" w:cs="Arial"/>
        </w:rPr>
        <w:t xml:space="preserve"> o przynależności do Okręgowej Izby Inżynierów Budownictwa (OIIB) dla os</w:t>
      </w:r>
      <w:r>
        <w:rPr>
          <w:rFonts w:ascii="Arial" w:hAnsi="Arial" w:cs="Arial"/>
        </w:rPr>
        <w:t>o</w:t>
      </w:r>
      <w:r w:rsidRPr="0018643E">
        <w:rPr>
          <w:rFonts w:ascii="Arial" w:hAnsi="Arial" w:cs="Arial"/>
        </w:rPr>
        <w:t>b</w:t>
      </w:r>
      <w:r>
        <w:rPr>
          <w:rFonts w:ascii="Arial" w:hAnsi="Arial" w:cs="Arial"/>
        </w:rPr>
        <w:t>y</w:t>
      </w:r>
      <w:r w:rsidRPr="0018643E">
        <w:rPr>
          <w:rFonts w:ascii="Arial" w:hAnsi="Arial" w:cs="Arial"/>
        </w:rPr>
        <w:t xml:space="preserve"> posiadając</w:t>
      </w:r>
      <w:r>
        <w:rPr>
          <w:rFonts w:ascii="Arial" w:hAnsi="Arial" w:cs="Arial"/>
        </w:rPr>
        <w:t>ej</w:t>
      </w:r>
      <w:r w:rsidRPr="0018643E">
        <w:rPr>
          <w:rFonts w:ascii="Arial" w:hAnsi="Arial" w:cs="Arial"/>
        </w:rPr>
        <w:t xml:space="preserve"> uprawnienia budowlane</w:t>
      </w:r>
      <w:r>
        <w:rPr>
          <w:rFonts w:ascii="Arial" w:hAnsi="Arial" w:cs="Arial"/>
        </w:rPr>
        <w:t>,</w:t>
      </w:r>
    </w:p>
    <w:p w14:paraId="0D53979C" w14:textId="76B0E2F1" w:rsidR="00BA1C06" w:rsidRPr="00880ED8" w:rsidRDefault="0063333E" w:rsidP="00BA1C06">
      <w:pPr>
        <w:pStyle w:val="Akapitzlist"/>
        <w:numPr>
          <w:ilvl w:val="0"/>
          <w:numId w:val="16"/>
        </w:numPr>
        <w:spacing w:after="120" w:line="360" w:lineRule="auto"/>
        <w:contextualSpacing w:val="0"/>
        <w:rPr>
          <w:rFonts w:ascii="Arial" w:hAnsi="Arial" w:cs="Arial"/>
          <w:i/>
        </w:rPr>
      </w:pPr>
      <w:r w:rsidRPr="0063333E">
        <w:rPr>
          <w:rFonts w:ascii="Arial" w:hAnsi="Arial" w:cs="Arial"/>
          <w:iCs/>
        </w:rPr>
        <w:t>Projektant lub autor opracowania musi posiadać uprawnienia budowlane do projektowania w specjalności inżynieryjnej mostowej bez ograniczeń lub równoważne</w:t>
      </w:r>
      <w:r w:rsidR="00BA1C06">
        <w:rPr>
          <w:rFonts w:ascii="Arial" w:hAnsi="Arial" w:cs="Arial"/>
          <w:iCs/>
        </w:rPr>
        <w:t>.</w:t>
      </w:r>
    </w:p>
    <w:p w14:paraId="25080E8F" w14:textId="77777777" w:rsidR="004262EB" w:rsidRPr="00880ED8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lastRenderedPageBreak/>
        <w:t>Wymagane dokumenty</w:t>
      </w:r>
    </w:p>
    <w:p w14:paraId="41233806" w14:textId="77777777" w:rsidR="004262EB" w:rsidRPr="00880ED8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Wykonawca </w:t>
      </w:r>
      <w:r w:rsidR="00CC73B3" w:rsidRPr="00880ED8">
        <w:rPr>
          <w:rFonts w:ascii="Arial" w:hAnsi="Arial" w:cs="Arial"/>
        </w:rPr>
        <w:t>jest zobowiązany złożyć wraz z ofertą:</w:t>
      </w:r>
    </w:p>
    <w:p w14:paraId="7F29213B" w14:textId="77777777" w:rsidR="00094FD5" w:rsidRPr="00880ED8" w:rsidRDefault="00094FD5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aktualny odpis lub informację z Krajowego Rejestru Sądowego, Centralnej Ewidencji i Informacji o Działalności Gospodarczej lub innego właściwego rejestru;</w:t>
      </w:r>
    </w:p>
    <w:p w14:paraId="67ECD994" w14:textId="77777777" w:rsidR="00F74C86" w:rsidRPr="00880ED8" w:rsidRDefault="00F74C86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3366297F" w:rsidR="008A3175" w:rsidRDefault="000C635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880ED8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880ED8">
        <w:rPr>
          <w:rFonts w:ascii="Arial" w:hAnsi="Arial" w:cs="Arial"/>
        </w:rPr>
        <w:t xml:space="preserve"> </w:t>
      </w:r>
      <w:r w:rsidR="00880ED8">
        <w:rPr>
          <w:rFonts w:ascii="Arial" w:hAnsi="Arial" w:cs="Arial"/>
        </w:rPr>
        <w:t>2</w:t>
      </w:r>
      <w:r w:rsidR="007A298B" w:rsidRPr="00880ED8">
        <w:rPr>
          <w:rFonts w:ascii="Arial" w:hAnsi="Arial" w:cs="Arial"/>
        </w:rPr>
        <w:t xml:space="preserve"> do Informacji o postępowaniu</w:t>
      </w:r>
      <w:r w:rsidR="00BA1C06">
        <w:rPr>
          <w:rFonts w:ascii="Arial" w:hAnsi="Arial" w:cs="Arial"/>
        </w:rPr>
        <w:t>,</w:t>
      </w:r>
    </w:p>
    <w:p w14:paraId="1E4072DA" w14:textId="77777777" w:rsidR="00BA1C06" w:rsidRPr="00BA1C06" w:rsidRDefault="00BA1C06" w:rsidP="00BA1C06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BA1C06">
        <w:rPr>
          <w:rFonts w:ascii="Arial" w:hAnsi="Arial" w:cs="Arial"/>
        </w:rPr>
        <w:t>kosztorysy ofertowe;</w:t>
      </w:r>
    </w:p>
    <w:p w14:paraId="5FFBF049" w14:textId="5E7377BC" w:rsidR="00BA1C06" w:rsidRPr="0063333E" w:rsidRDefault="00BA1C06" w:rsidP="0063333E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BA1C06">
        <w:rPr>
          <w:rFonts w:ascii="Arial" w:hAnsi="Arial" w:cs="Arial"/>
        </w:rPr>
        <w:t>kserokopie wymaganych uprawnień wraz z przynależnością do OIIB</w:t>
      </w:r>
      <w:r w:rsidR="0063333E">
        <w:rPr>
          <w:rFonts w:ascii="Arial" w:hAnsi="Arial" w:cs="Arial"/>
        </w:rPr>
        <w:t>.</w:t>
      </w:r>
    </w:p>
    <w:p w14:paraId="1238D20F" w14:textId="39E300FB" w:rsidR="00AB13BB" w:rsidRPr="00880ED8" w:rsidRDefault="00AB13B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Zamawiający dopuszcza złożenie dokumentów w postaci </w:t>
      </w:r>
      <w:r w:rsidR="002F45D9" w:rsidRPr="00880ED8">
        <w:rPr>
          <w:rFonts w:ascii="Arial" w:hAnsi="Arial" w:cs="Arial"/>
        </w:rPr>
        <w:t xml:space="preserve">odwzorowań cyfrowych (skanów, zdjęć) </w:t>
      </w:r>
      <w:r w:rsidRPr="00880ED8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 w:rsidRPr="002F0F4A">
        <w:rPr>
          <w:rFonts w:ascii="Arial" w:hAnsi="Arial" w:cs="Arial"/>
        </w:rPr>
        <w:t>, podpisem zaufanym lub osobistym.</w:t>
      </w:r>
    </w:p>
    <w:p w14:paraId="28DF5355" w14:textId="77777777" w:rsidR="00CC2AAC" w:rsidRPr="00880ED8" w:rsidRDefault="00CC2AAC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Zamawiający wymaga złożenia dokumentów sporządzonych w j. polskim. </w:t>
      </w:r>
      <w:r w:rsidRPr="00880ED8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880ED8">
        <w:rPr>
          <w:rFonts w:ascii="Arial" w:hAnsi="Arial" w:cs="Arial"/>
          <w:u w:val="single"/>
        </w:rPr>
        <w:t>. Zamawiający dopuszcza możliwość</w:t>
      </w:r>
      <w:r w:rsidR="003F5C6F" w:rsidRPr="00880ED8">
        <w:rPr>
          <w:rFonts w:ascii="Arial" w:hAnsi="Arial" w:cs="Arial"/>
          <w:u w:val="single"/>
        </w:rPr>
        <w:t xml:space="preserve"> opisaną w § 11 ust. 5 Regulaminu</w:t>
      </w:r>
      <w:r w:rsidRPr="00880ED8">
        <w:rPr>
          <w:rFonts w:ascii="Arial" w:hAnsi="Arial" w:cs="Arial"/>
          <w:u w:val="single"/>
        </w:rPr>
        <w:t>.</w:t>
      </w:r>
    </w:p>
    <w:p w14:paraId="1A8C9B1B" w14:textId="2654DBB6" w:rsidR="005F2E4F" w:rsidRPr="00880ED8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80ED8">
        <w:rPr>
          <w:rFonts w:ascii="Arial" w:hAnsi="Arial" w:cs="Arial"/>
        </w:rPr>
        <w:t>Dokumenty, o których mowa w ust. 1 pkt</w:t>
      </w:r>
      <w:r w:rsidR="003F5C6F" w:rsidRPr="00880ED8">
        <w:rPr>
          <w:rFonts w:ascii="Arial" w:hAnsi="Arial" w:cs="Arial"/>
        </w:rPr>
        <w:t xml:space="preserve"> </w:t>
      </w:r>
      <w:r w:rsidRPr="00880ED8">
        <w:rPr>
          <w:rFonts w:ascii="Arial" w:hAnsi="Arial" w:cs="Arial"/>
        </w:rPr>
        <w:t>2</w:t>
      </w:r>
      <w:r w:rsidR="007A298B" w:rsidRPr="00880ED8">
        <w:rPr>
          <w:rFonts w:ascii="Arial" w:hAnsi="Arial" w:cs="Arial"/>
        </w:rPr>
        <w:t xml:space="preserve">, 3 </w:t>
      </w:r>
      <w:r w:rsidRPr="00880ED8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880ED8">
        <w:rPr>
          <w:rFonts w:ascii="Arial" w:hAnsi="Arial" w:cs="Arial"/>
          <w:u w:val="single"/>
        </w:rPr>
        <w:t xml:space="preserve"> umocowanie do reprezentowania W</w:t>
      </w:r>
      <w:r w:rsidRPr="00880ED8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880ED8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Wykonawca składa</w:t>
      </w:r>
      <w:r w:rsidR="00B03886" w:rsidRPr="00880ED8">
        <w:rPr>
          <w:rFonts w:ascii="Arial" w:hAnsi="Arial" w:cs="Arial"/>
        </w:rPr>
        <w:t xml:space="preserve"> dokumenty</w:t>
      </w:r>
      <w:r w:rsidRPr="00880ED8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880ED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Sposób złożenia oferty</w:t>
      </w:r>
      <w:r w:rsidR="008871BB" w:rsidRPr="00880ED8">
        <w:rPr>
          <w:rFonts w:ascii="Arial" w:hAnsi="Arial" w:cs="Arial"/>
          <w:b/>
        </w:rPr>
        <w:t xml:space="preserve"> </w:t>
      </w:r>
    </w:p>
    <w:p w14:paraId="5A13F284" w14:textId="77777777" w:rsidR="009F7CA8" w:rsidRPr="00880ED8" w:rsidRDefault="004262EB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Wykonawca</w:t>
      </w:r>
      <w:r w:rsidR="004C6A8F" w:rsidRPr="00880ED8">
        <w:rPr>
          <w:rFonts w:ascii="Arial" w:hAnsi="Arial" w:cs="Arial"/>
        </w:rPr>
        <w:t xml:space="preserve"> składa ofertę poprzez uzupełnienie Formularza złożenia oferty dos</w:t>
      </w:r>
      <w:r w:rsidR="009F7CA8" w:rsidRPr="00880ED8">
        <w:rPr>
          <w:rFonts w:ascii="Arial" w:hAnsi="Arial" w:cs="Arial"/>
        </w:rPr>
        <w:t xml:space="preserve">tępnego </w:t>
      </w:r>
      <w:r w:rsidR="008013E7" w:rsidRPr="00880ED8">
        <w:rPr>
          <w:rFonts w:ascii="Arial" w:hAnsi="Arial" w:cs="Arial"/>
        </w:rPr>
        <w:t xml:space="preserve">bezpośrednio </w:t>
      </w:r>
      <w:r w:rsidR="00DC0497" w:rsidRPr="00880ED8">
        <w:rPr>
          <w:rFonts w:ascii="Arial" w:hAnsi="Arial" w:cs="Arial"/>
        </w:rPr>
        <w:t>na Platformie Zakupowej.</w:t>
      </w:r>
    </w:p>
    <w:p w14:paraId="4A4B8D71" w14:textId="77777777" w:rsidR="00554EB7" w:rsidRPr="00880ED8" w:rsidRDefault="009906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Wykonawca jest zobowiązany wskazać w Formularzu złożenia oferty</w:t>
      </w:r>
      <w:r w:rsidR="009F1372" w:rsidRPr="00880ED8">
        <w:rPr>
          <w:rFonts w:ascii="Arial" w:hAnsi="Arial" w:cs="Arial"/>
        </w:rPr>
        <w:t>, w </w:t>
      </w:r>
      <w:r w:rsidRPr="00880ED8">
        <w:rPr>
          <w:rFonts w:ascii="Arial" w:hAnsi="Arial" w:cs="Arial"/>
        </w:rPr>
        <w:t>pozycji:</w:t>
      </w:r>
    </w:p>
    <w:p w14:paraId="4F7DF992" w14:textId="61B3BCD8" w:rsidR="00544B46" w:rsidRPr="00880ED8" w:rsidRDefault="007E12E3">
      <w:pPr>
        <w:pStyle w:val="Akapitzlist"/>
        <w:numPr>
          <w:ilvl w:val="0"/>
          <w:numId w:val="8"/>
        </w:numPr>
        <w:spacing w:before="120" w:line="360" w:lineRule="auto"/>
        <w:rPr>
          <w:rFonts w:ascii="Arial" w:hAnsi="Arial" w:cs="Arial"/>
          <w:b/>
          <w:bCs/>
        </w:rPr>
      </w:pPr>
      <w:r w:rsidRPr="00880ED8">
        <w:rPr>
          <w:rFonts w:ascii="Arial" w:hAnsi="Arial" w:cs="Arial"/>
        </w:rPr>
        <w:lastRenderedPageBreak/>
        <w:t>„</w:t>
      </w:r>
      <w:r w:rsidR="0063333E" w:rsidRPr="0063333E">
        <w:rPr>
          <w:rFonts w:ascii="Arial" w:hAnsi="Arial" w:cs="Arial"/>
          <w:b/>
          <w:bCs/>
        </w:rPr>
        <w:t>Wykonanie przeglądu specjalnego, opracowania dokumentacji projektowej przebudowy wraz z wykonaniem robót odkrywkowych przepustu w km 40,444 linii kolejowej nr 207 Toruń Wschodni – Malbork</w:t>
      </w:r>
      <w:r w:rsidR="00554EB7" w:rsidRPr="00880ED8">
        <w:rPr>
          <w:rFonts w:ascii="Arial" w:hAnsi="Arial" w:cs="Arial"/>
        </w:rPr>
        <w:t>”</w:t>
      </w:r>
      <w:r w:rsidR="00880ED8">
        <w:rPr>
          <w:rFonts w:ascii="Arial" w:hAnsi="Arial" w:cs="Arial"/>
        </w:rPr>
        <w:t xml:space="preserve"> </w:t>
      </w:r>
      <w:r w:rsidR="00554EB7" w:rsidRPr="00880ED8">
        <w:rPr>
          <w:rFonts w:ascii="Arial" w:hAnsi="Arial" w:cs="Arial"/>
        </w:rPr>
        <w:t xml:space="preserve">– oferowaną </w:t>
      </w:r>
      <w:r w:rsidR="00554EB7" w:rsidRPr="00880ED8">
        <w:rPr>
          <w:rFonts w:ascii="Arial" w:hAnsi="Arial" w:cs="Arial"/>
          <w:b/>
        </w:rPr>
        <w:t>cenę netto oraz brutto</w:t>
      </w:r>
      <w:r w:rsidR="00880ED8">
        <w:rPr>
          <w:rFonts w:ascii="Arial" w:hAnsi="Arial" w:cs="Arial"/>
          <w:b/>
        </w:rPr>
        <w:t xml:space="preserve"> za całość.</w:t>
      </w:r>
    </w:p>
    <w:p w14:paraId="53BD7306" w14:textId="77777777" w:rsidR="0034174F" w:rsidRPr="00880ED8" w:rsidRDefault="0069546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880ED8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880ED8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41014F26" w:rsidR="004262EB" w:rsidRPr="00880ED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Kryteria oceny ofert</w:t>
      </w:r>
    </w:p>
    <w:p w14:paraId="67B933E1" w14:textId="77777777" w:rsidR="004C6A8F" w:rsidRPr="00880ED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880ED8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Cena – 100%</w:t>
      </w:r>
    </w:p>
    <w:p w14:paraId="1E1F265E" w14:textId="77777777" w:rsidR="004C6A8F" w:rsidRPr="00880ED8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Każdej z ofert Zamawiający przydzieli </w:t>
      </w:r>
      <w:r w:rsidR="00676206" w:rsidRPr="00880ED8">
        <w:rPr>
          <w:rFonts w:ascii="Arial" w:hAnsi="Arial" w:cs="Arial"/>
        </w:rPr>
        <w:t>punkty</w:t>
      </w:r>
      <w:r w:rsidRPr="00880ED8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880ED8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880ED8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880ED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gdzie:</w:t>
      </w:r>
    </w:p>
    <w:p w14:paraId="0742F83D" w14:textId="77777777" w:rsidR="004C6A8F" w:rsidRPr="00880ED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P</w:t>
      </w:r>
      <w:r w:rsidRPr="00880ED8">
        <w:rPr>
          <w:rFonts w:ascii="Arial" w:hAnsi="Arial" w:cs="Arial"/>
          <w:vertAlign w:val="subscript"/>
        </w:rPr>
        <w:t>b</w:t>
      </w:r>
      <w:r w:rsidRPr="00880ED8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880ED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C</w:t>
      </w:r>
      <w:r w:rsidRPr="00880ED8">
        <w:rPr>
          <w:rFonts w:ascii="Arial" w:hAnsi="Arial" w:cs="Arial"/>
          <w:vertAlign w:val="subscript"/>
        </w:rPr>
        <w:t>b</w:t>
      </w:r>
      <w:r w:rsidRPr="00880ED8">
        <w:rPr>
          <w:rFonts w:ascii="Arial" w:hAnsi="Arial" w:cs="Arial"/>
        </w:rPr>
        <w:t xml:space="preserve"> – cena </w:t>
      </w:r>
      <w:r w:rsidR="00695467" w:rsidRPr="00880ED8">
        <w:rPr>
          <w:rFonts w:ascii="Arial" w:hAnsi="Arial" w:cs="Arial"/>
        </w:rPr>
        <w:t xml:space="preserve">łączna </w:t>
      </w:r>
      <w:r w:rsidRPr="00880ED8">
        <w:rPr>
          <w:rFonts w:ascii="Arial" w:hAnsi="Arial" w:cs="Arial"/>
        </w:rPr>
        <w:t>oferty badanej</w:t>
      </w:r>
    </w:p>
    <w:p w14:paraId="5B2FA2F5" w14:textId="77777777" w:rsidR="00676206" w:rsidRPr="00880ED8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C</w:t>
      </w:r>
      <w:r w:rsidRPr="00880ED8">
        <w:rPr>
          <w:rFonts w:ascii="Arial" w:hAnsi="Arial" w:cs="Arial"/>
          <w:vertAlign w:val="subscript"/>
        </w:rPr>
        <w:t>n</w:t>
      </w:r>
      <w:r w:rsidRPr="00880ED8">
        <w:rPr>
          <w:rFonts w:ascii="Arial" w:hAnsi="Arial" w:cs="Arial"/>
        </w:rPr>
        <w:t xml:space="preserve"> – cena </w:t>
      </w:r>
      <w:r w:rsidR="00695467" w:rsidRPr="00880ED8">
        <w:rPr>
          <w:rFonts w:ascii="Arial" w:hAnsi="Arial" w:cs="Arial"/>
        </w:rPr>
        <w:t xml:space="preserve">łączna </w:t>
      </w:r>
      <w:r w:rsidRPr="00880ED8">
        <w:rPr>
          <w:rFonts w:ascii="Arial" w:hAnsi="Arial" w:cs="Arial"/>
        </w:rPr>
        <w:t>oferty najkorzystniejszej</w:t>
      </w:r>
    </w:p>
    <w:p w14:paraId="4D8B7149" w14:textId="6FA7A2BB" w:rsidR="00B13D8B" w:rsidRPr="00880ED8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Wynik punktacji zostanie zaokrąglony do </w:t>
      </w:r>
      <w:r w:rsidR="00880ED8">
        <w:rPr>
          <w:rFonts w:ascii="Arial" w:hAnsi="Arial" w:cs="Arial"/>
        </w:rPr>
        <w:t>dwóch</w:t>
      </w:r>
      <w:r w:rsidR="00015E9B" w:rsidRPr="00880ED8">
        <w:rPr>
          <w:rFonts w:ascii="Arial" w:hAnsi="Arial" w:cs="Arial"/>
        </w:rPr>
        <w:t xml:space="preserve"> </w:t>
      </w:r>
      <w:r w:rsidRPr="00880ED8">
        <w:rPr>
          <w:rFonts w:ascii="Arial" w:hAnsi="Arial" w:cs="Arial"/>
        </w:rPr>
        <w:t>miejsc po przecinku.</w:t>
      </w:r>
    </w:p>
    <w:p w14:paraId="7985E704" w14:textId="77777777" w:rsidR="004262EB" w:rsidRPr="00880ED8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880ED8">
        <w:rPr>
          <w:rFonts w:ascii="Arial" w:hAnsi="Arial" w:cs="Arial"/>
          <w:b/>
        </w:rPr>
        <w:t>Informacje dodatkowe</w:t>
      </w:r>
    </w:p>
    <w:p w14:paraId="20FC7B11" w14:textId="02F4A14C" w:rsidR="00A92F0C" w:rsidRPr="00880ED8" w:rsidRDefault="00A92F0C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>Zamawiający informuje, że zastosuje odwróconą ocenę ofert</w:t>
      </w:r>
      <w:r w:rsidR="009C0D3D" w:rsidRPr="00880ED8">
        <w:rPr>
          <w:rFonts w:ascii="Arial" w:hAnsi="Arial" w:cs="Arial"/>
        </w:rPr>
        <w:t>,</w:t>
      </w:r>
      <w:r w:rsidRPr="00880ED8">
        <w:rPr>
          <w:rFonts w:ascii="Arial" w:hAnsi="Arial" w:cs="Arial"/>
        </w:rPr>
        <w:t xml:space="preserve"> o której mowa w § 28 Regulaminu.</w:t>
      </w:r>
    </w:p>
    <w:p w14:paraId="110A0356" w14:textId="117A8EC2" w:rsidR="00BD26A3" w:rsidRPr="00880ED8" w:rsidRDefault="00126C3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Termin związania ofertą wynosi </w:t>
      </w:r>
      <w:r w:rsidR="00880ED8">
        <w:rPr>
          <w:rFonts w:ascii="Arial" w:hAnsi="Arial" w:cs="Arial"/>
        </w:rPr>
        <w:t>30</w:t>
      </w:r>
      <w:r w:rsidR="0060271E" w:rsidRPr="00880ED8">
        <w:rPr>
          <w:rFonts w:ascii="Arial" w:hAnsi="Arial" w:cs="Arial"/>
        </w:rPr>
        <w:t xml:space="preserve"> dni</w:t>
      </w:r>
      <w:r w:rsidR="00BD26A3" w:rsidRPr="00880ED8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880ED8" w:rsidRDefault="00251B2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880ED8">
        <w:rPr>
          <w:rFonts w:ascii="Arial" w:hAnsi="Arial" w:cs="Arial"/>
        </w:rPr>
        <w:t>30</w:t>
      </w:r>
      <w:r w:rsidRPr="00880ED8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880ED8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80ED8">
        <w:rPr>
          <w:rFonts w:ascii="Arial" w:hAnsi="Arial" w:cs="Arial"/>
          <w:u w:val="single"/>
        </w:rPr>
        <w:t xml:space="preserve">Wszelka komunikacja pomiędzy </w:t>
      </w:r>
      <w:r w:rsidR="005F65A3" w:rsidRPr="00880ED8">
        <w:rPr>
          <w:rFonts w:ascii="Arial" w:hAnsi="Arial" w:cs="Arial"/>
          <w:u w:val="single"/>
        </w:rPr>
        <w:t xml:space="preserve">Zamawiającym a Wykonawcami </w:t>
      </w:r>
      <w:r w:rsidRPr="00880ED8">
        <w:rPr>
          <w:rFonts w:ascii="Arial" w:hAnsi="Arial" w:cs="Arial"/>
          <w:u w:val="single"/>
        </w:rPr>
        <w:t>odbywa się przy pomocy Platfo</w:t>
      </w:r>
      <w:r w:rsidR="0072749B" w:rsidRPr="00880ED8">
        <w:rPr>
          <w:rFonts w:ascii="Arial" w:hAnsi="Arial" w:cs="Arial"/>
          <w:u w:val="single"/>
        </w:rPr>
        <w:t>rmy Zakupowej za pośrednictwem m</w:t>
      </w:r>
      <w:r w:rsidR="00DC0497" w:rsidRPr="00880ED8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880ED8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lastRenderedPageBreak/>
        <w:t xml:space="preserve">Pod adresem: </w:t>
      </w:r>
      <w:hyperlink r:id="rId12" w:tooltip="https://platformazakupowa.plk-sa.pl" w:history="1">
        <w:r w:rsidR="00FF3926" w:rsidRPr="00880ED8">
          <w:rPr>
            <w:rFonts w:ascii="Arial" w:hAnsi="Arial" w:cs="Arial"/>
          </w:rPr>
          <w:t>https://platformazakupowa.plk-sa.pl</w:t>
        </w:r>
      </w:hyperlink>
      <w:r w:rsidR="00FF3926" w:rsidRPr="00880ED8">
        <w:rPr>
          <w:rFonts w:ascii="Arial" w:hAnsi="Arial" w:cs="Arial"/>
        </w:rPr>
        <w:t xml:space="preserve"> w zakładce Regulacje i procedury procesu zakupowego </w:t>
      </w:r>
      <w:r w:rsidR="007E1CF5" w:rsidRPr="00880ED8">
        <w:rPr>
          <w:rFonts w:ascii="Arial" w:hAnsi="Arial" w:cs="Arial"/>
        </w:rPr>
        <w:t>jest dostępny P</w:t>
      </w:r>
      <w:r w:rsidR="00434BA3" w:rsidRPr="00880ED8">
        <w:rPr>
          <w:rFonts w:ascii="Arial" w:hAnsi="Arial" w:cs="Arial"/>
        </w:rPr>
        <w:t>odręcznik dla Wykonawców opisujący sposób korzystania z Platformy Zakupowej.</w:t>
      </w:r>
      <w:r w:rsidR="00501E6B" w:rsidRPr="00880ED8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880ED8">
        <w:rPr>
          <w:rFonts w:ascii="Arial" w:hAnsi="Arial" w:cs="Arial"/>
        </w:rPr>
        <w:t>48 22 576 87 56</w:t>
      </w:r>
      <w:r w:rsidR="00501E6B" w:rsidRPr="00880ED8">
        <w:rPr>
          <w:rFonts w:ascii="Arial" w:hAnsi="Arial" w:cs="Arial"/>
        </w:rPr>
        <w:t xml:space="preserve"> e-mail: </w:t>
      </w:r>
      <w:r w:rsidR="007F14F6" w:rsidRPr="00880ED8">
        <w:rPr>
          <w:rFonts w:ascii="Arial" w:hAnsi="Arial" w:cs="Arial"/>
        </w:rPr>
        <w:t>pomoc-pz2@marketplanet.pl</w:t>
      </w:r>
      <w:r w:rsidR="00501E6B" w:rsidRPr="00880ED8">
        <w:rPr>
          <w:rFonts w:ascii="Arial" w:hAnsi="Arial" w:cs="Arial"/>
        </w:rPr>
        <w:t xml:space="preserve"> </w:t>
      </w:r>
      <w:r w:rsidR="007D0179" w:rsidRPr="00880ED8">
        <w:rPr>
          <w:rFonts w:ascii="Arial" w:hAnsi="Arial" w:cs="Arial"/>
        </w:rPr>
        <w:t>w dni robocze od poniedziałku do piątku w godz. 8:00 – 16:00</w:t>
      </w:r>
    </w:p>
    <w:p w14:paraId="7E3D87E1" w14:textId="09A26E05" w:rsidR="00676206" w:rsidRPr="00880ED8" w:rsidRDefault="009F7CA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Do realizacji zamówienia zastosowanie będą miały </w:t>
      </w:r>
      <w:r w:rsidR="007E1CF5" w:rsidRPr="00880ED8">
        <w:rPr>
          <w:rFonts w:ascii="Arial" w:hAnsi="Arial" w:cs="Arial"/>
        </w:rPr>
        <w:t xml:space="preserve">Ogólne Warunki </w:t>
      </w:r>
      <w:r w:rsidR="007F3AB4" w:rsidRPr="00880ED8">
        <w:rPr>
          <w:rFonts w:ascii="Arial" w:hAnsi="Arial" w:cs="Arial"/>
        </w:rPr>
        <w:t xml:space="preserve">Umowy </w:t>
      </w:r>
      <w:r w:rsidRPr="00880ED8">
        <w:rPr>
          <w:rFonts w:ascii="Arial" w:hAnsi="Arial" w:cs="Arial"/>
        </w:rPr>
        <w:t xml:space="preserve">stanowiące </w:t>
      </w:r>
      <w:r w:rsidR="007E1CF5" w:rsidRPr="00880ED8">
        <w:rPr>
          <w:rFonts w:ascii="Arial" w:hAnsi="Arial" w:cs="Arial"/>
        </w:rPr>
        <w:t>Z</w:t>
      </w:r>
      <w:r w:rsidRPr="00880ED8">
        <w:rPr>
          <w:rFonts w:ascii="Arial" w:hAnsi="Arial" w:cs="Arial"/>
        </w:rPr>
        <w:t xml:space="preserve">ałącznik nr </w:t>
      </w:r>
      <w:r w:rsidR="004302B3">
        <w:rPr>
          <w:rFonts w:ascii="Arial" w:hAnsi="Arial" w:cs="Arial"/>
        </w:rPr>
        <w:t>3</w:t>
      </w:r>
      <w:r w:rsidRPr="00880ED8">
        <w:rPr>
          <w:rFonts w:ascii="Arial" w:hAnsi="Arial" w:cs="Arial"/>
        </w:rPr>
        <w:t xml:space="preserve"> do </w:t>
      </w:r>
      <w:r w:rsidR="007E1CF5" w:rsidRPr="00880ED8">
        <w:rPr>
          <w:rFonts w:ascii="Arial" w:hAnsi="Arial" w:cs="Arial"/>
        </w:rPr>
        <w:t>Informacji o postępowaniu</w:t>
      </w:r>
      <w:r w:rsidR="004302B3">
        <w:rPr>
          <w:rFonts w:ascii="Arial" w:hAnsi="Arial" w:cs="Arial"/>
        </w:rPr>
        <w:t>.</w:t>
      </w:r>
      <w:r w:rsidR="00072BEC" w:rsidRPr="00880ED8">
        <w:rPr>
          <w:rFonts w:ascii="Arial" w:hAnsi="Arial" w:cs="Arial"/>
        </w:rPr>
        <w:t xml:space="preserve"> </w:t>
      </w:r>
    </w:p>
    <w:p w14:paraId="1992ABCA" w14:textId="2C2A508E" w:rsidR="00416D32" w:rsidRPr="00880ED8" w:rsidRDefault="005F65A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 w:rsidRPr="00880ED8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Pr="00880ED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1" w:name="_Hlk161139180"/>
      <w:r w:rsidRPr="00880ED8">
        <w:rPr>
          <w:rFonts w:ascii="Arial" w:hAnsi="Arial" w:cs="Arial"/>
          <w:b/>
        </w:rPr>
        <w:t>Klauzula informacyjna RODO</w:t>
      </w:r>
    </w:p>
    <w:p w14:paraId="1C33D1BA" w14:textId="77777777" w:rsidR="00FD0458" w:rsidRPr="00880ED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880ED8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 w:rsidRPr="00880ED8">
        <w:rPr>
          <w:rStyle w:val="Odwoanieprzypisudolnego"/>
          <w:rFonts w:ascii="Arial" w:hAnsi="Arial" w:cs="Arial"/>
          <w:bCs/>
        </w:rPr>
        <w:footnoteReference w:id="2"/>
      </w:r>
      <w:r w:rsidRPr="00880ED8">
        <w:rPr>
          <w:rFonts w:ascii="Arial" w:hAnsi="Arial" w:cs="Arial"/>
          <w:bCs/>
        </w:rPr>
        <w:t>, że:</w:t>
      </w:r>
    </w:p>
    <w:p w14:paraId="56D318EA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880ED8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880ED8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880ED8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880ED8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880ED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lastRenderedPageBreak/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880ED8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880ED8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880ED8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lastRenderedPageBreak/>
        <w:t>ma Pani/Pan prawo do wniesienia skargi do organu nadzorczego, tzn. Prezesa Urzędu Ochrony Danych Osobowych;</w:t>
      </w:r>
    </w:p>
    <w:p w14:paraId="730F3323" w14:textId="77777777" w:rsidR="00FD0458" w:rsidRPr="00880ED8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880ED8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880ED8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880ED8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880ED8" w:rsidRDefault="00FD0458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880ED8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1"/>
    <w:p w14:paraId="02A917D7" w14:textId="77777777" w:rsidR="0090017D" w:rsidRPr="00880ED8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880ED8">
        <w:rPr>
          <w:rFonts w:ascii="Arial" w:hAnsi="Arial" w:cs="Arial"/>
          <w:b/>
          <w:u w:val="single"/>
        </w:rPr>
        <w:br/>
      </w:r>
      <w:r w:rsidR="0090017D" w:rsidRPr="00880ED8">
        <w:rPr>
          <w:rFonts w:ascii="Arial" w:hAnsi="Arial" w:cs="Arial"/>
          <w:b/>
          <w:u w:val="single"/>
        </w:rPr>
        <w:t>Załączniki:</w:t>
      </w:r>
    </w:p>
    <w:p w14:paraId="2C0456C4" w14:textId="3B5F19C7" w:rsidR="0090017D" w:rsidRPr="00880ED8" w:rsidRDefault="000D7EA0" w:rsidP="00F6359F">
      <w:pPr>
        <w:spacing w:before="120" w:after="120" w:line="360" w:lineRule="auto"/>
        <w:contextualSpacing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Załącznik nr </w:t>
      </w:r>
      <w:r w:rsidR="004302B3">
        <w:rPr>
          <w:rFonts w:ascii="Arial" w:hAnsi="Arial" w:cs="Arial"/>
        </w:rPr>
        <w:t>1</w:t>
      </w:r>
      <w:r w:rsidR="00977005" w:rsidRPr="00880ED8">
        <w:rPr>
          <w:rFonts w:ascii="Arial" w:hAnsi="Arial" w:cs="Arial"/>
        </w:rPr>
        <w:t xml:space="preserve"> – </w:t>
      </w:r>
      <w:r w:rsidR="0090017D" w:rsidRPr="00880ED8">
        <w:rPr>
          <w:rFonts w:ascii="Arial" w:hAnsi="Arial" w:cs="Arial"/>
        </w:rPr>
        <w:t>Opis Przedmiotu Zamówienia</w:t>
      </w:r>
      <w:r w:rsidR="00464C33" w:rsidRPr="00880ED8">
        <w:rPr>
          <w:rFonts w:ascii="Arial" w:hAnsi="Arial" w:cs="Arial"/>
        </w:rPr>
        <w:t xml:space="preserve"> </w:t>
      </w:r>
    </w:p>
    <w:p w14:paraId="3D8177DF" w14:textId="477C7B12" w:rsidR="00527FAE" w:rsidRPr="00880ED8" w:rsidRDefault="000D7EA0" w:rsidP="00527FAE">
      <w:pPr>
        <w:tabs>
          <w:tab w:val="left" w:pos="1843"/>
        </w:tabs>
        <w:spacing w:before="120" w:after="120" w:line="360" w:lineRule="auto"/>
        <w:ind w:right="-6"/>
        <w:contextualSpacing/>
        <w:rPr>
          <w:rFonts w:ascii="Arial" w:hAnsi="Arial" w:cs="Arial"/>
        </w:rPr>
      </w:pPr>
      <w:r w:rsidRPr="00880ED8">
        <w:rPr>
          <w:rFonts w:ascii="Arial" w:hAnsi="Arial" w:cs="Arial"/>
        </w:rPr>
        <w:t xml:space="preserve">Załącznik nr </w:t>
      </w:r>
      <w:r w:rsidR="004302B3">
        <w:rPr>
          <w:rFonts w:ascii="Arial" w:hAnsi="Arial" w:cs="Arial"/>
        </w:rPr>
        <w:t>2</w:t>
      </w:r>
      <w:r w:rsidR="00527FAE" w:rsidRPr="00880ED8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18D78D2F" w:rsidR="0090017D" w:rsidRPr="00B43343" w:rsidRDefault="000D7EA0" w:rsidP="00F6359F">
      <w:pPr>
        <w:tabs>
          <w:tab w:val="left" w:pos="1843"/>
        </w:tabs>
        <w:spacing w:before="120" w:after="120" w:line="360" w:lineRule="auto"/>
        <w:ind w:right="-6"/>
        <w:contextualSpacing/>
        <w:rPr>
          <w:rFonts w:ascii="Arial" w:hAnsi="Arial" w:cs="Arial"/>
        </w:rPr>
      </w:pPr>
      <w:bookmarkStart w:id="2" w:name="_Hlk181886620"/>
      <w:r w:rsidRPr="00880ED8">
        <w:rPr>
          <w:rFonts w:ascii="Arial" w:hAnsi="Arial" w:cs="Arial"/>
        </w:rPr>
        <w:t xml:space="preserve">Załącznik nr </w:t>
      </w:r>
      <w:r w:rsidR="004302B3">
        <w:rPr>
          <w:rFonts w:ascii="Arial" w:hAnsi="Arial" w:cs="Arial"/>
        </w:rPr>
        <w:t>3</w:t>
      </w:r>
      <w:r w:rsidR="0090017D" w:rsidRPr="00880ED8">
        <w:rPr>
          <w:rFonts w:ascii="Arial" w:hAnsi="Arial" w:cs="Arial"/>
        </w:rPr>
        <w:t xml:space="preserve"> </w:t>
      </w:r>
      <w:r w:rsidR="00977005" w:rsidRPr="00880ED8">
        <w:rPr>
          <w:rFonts w:ascii="Arial" w:hAnsi="Arial" w:cs="Arial"/>
        </w:rPr>
        <w:t>–</w:t>
      </w:r>
      <w:r w:rsidR="00DF22B2" w:rsidRPr="00880ED8">
        <w:rPr>
          <w:rFonts w:ascii="Arial" w:hAnsi="Arial" w:cs="Arial"/>
        </w:rPr>
        <w:t xml:space="preserve"> </w:t>
      </w:r>
      <w:bookmarkEnd w:id="2"/>
      <w:r w:rsidR="00DF22B2" w:rsidRPr="00880ED8">
        <w:rPr>
          <w:rFonts w:ascii="Arial" w:hAnsi="Arial" w:cs="Arial"/>
        </w:rPr>
        <w:t>Ogólne W</w:t>
      </w:r>
      <w:r w:rsidR="003E26E8" w:rsidRPr="00880ED8">
        <w:rPr>
          <w:rFonts w:ascii="Arial" w:hAnsi="Arial" w:cs="Arial"/>
        </w:rPr>
        <w:t>arunki</w:t>
      </w:r>
      <w:r w:rsidR="00DF22B2" w:rsidRPr="00880ED8">
        <w:rPr>
          <w:rFonts w:ascii="Arial" w:hAnsi="Arial" w:cs="Arial"/>
        </w:rPr>
        <w:t xml:space="preserve"> </w:t>
      </w:r>
      <w:r w:rsidR="007F3AB4" w:rsidRPr="00880ED8">
        <w:rPr>
          <w:rFonts w:ascii="Arial" w:hAnsi="Arial" w:cs="Arial"/>
        </w:rPr>
        <w:t>Umowy</w:t>
      </w:r>
      <w:r w:rsidR="003E26E8" w:rsidRPr="00880ED8">
        <w:rPr>
          <w:rFonts w:ascii="Arial" w:hAnsi="Arial" w:cs="Arial"/>
        </w:rPr>
        <w:t xml:space="preserve"> </w:t>
      </w:r>
    </w:p>
    <w:p w14:paraId="337E957B" w14:textId="6766986F" w:rsidR="00982424" w:rsidRDefault="004302B3" w:rsidP="00F6359F">
      <w:pPr>
        <w:tabs>
          <w:tab w:val="left" w:pos="1843"/>
        </w:tabs>
        <w:spacing w:before="120" w:after="120" w:line="360" w:lineRule="auto"/>
        <w:ind w:right="-6"/>
        <w:contextualSpacing/>
        <w:rPr>
          <w:rFonts w:ascii="Arial" w:hAnsi="Arial" w:cs="Arial"/>
        </w:rPr>
      </w:pPr>
      <w:bookmarkStart w:id="3" w:name="_Hlk182382287"/>
      <w:r w:rsidRPr="004302B3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4302B3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Wzór zamówienia</w:t>
      </w:r>
    </w:p>
    <w:p w14:paraId="5D0A2A53" w14:textId="0CD11F49" w:rsidR="00CE0134" w:rsidRPr="00307751" w:rsidRDefault="00CE0134" w:rsidP="00F6359F">
      <w:pPr>
        <w:tabs>
          <w:tab w:val="left" w:pos="1843"/>
        </w:tabs>
        <w:spacing w:before="120" w:after="120" w:line="360" w:lineRule="auto"/>
        <w:ind w:right="-6"/>
        <w:contextualSpacing/>
        <w:rPr>
          <w:rFonts w:ascii="Arial" w:hAnsi="Arial" w:cs="Arial"/>
        </w:rPr>
      </w:pPr>
      <w:r w:rsidRPr="00CE0134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</w:t>
      </w:r>
      <w:r w:rsidRPr="00CE0134">
        <w:rPr>
          <w:rFonts w:ascii="Arial" w:hAnsi="Arial" w:cs="Arial"/>
        </w:rPr>
        <w:t xml:space="preserve"> –</w:t>
      </w:r>
      <w:r w:rsidR="005F3C07">
        <w:rPr>
          <w:rFonts w:ascii="Arial" w:hAnsi="Arial" w:cs="Arial"/>
        </w:rPr>
        <w:t xml:space="preserve"> Pr</w:t>
      </w:r>
      <w:r w:rsidR="0063333E">
        <w:rPr>
          <w:rFonts w:ascii="Arial" w:hAnsi="Arial" w:cs="Arial"/>
        </w:rPr>
        <w:t>zedmiary</w:t>
      </w:r>
    </w:p>
    <w:sectPr w:rsidR="00CE0134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60B3" w14:textId="77777777" w:rsidR="00915258" w:rsidRDefault="00915258" w:rsidP="004262EB">
      <w:pPr>
        <w:spacing w:after="0" w:line="240" w:lineRule="auto"/>
      </w:pPr>
      <w:r>
        <w:separator/>
      </w:r>
    </w:p>
  </w:endnote>
  <w:endnote w:type="continuationSeparator" w:id="0">
    <w:p w14:paraId="3F3C3083" w14:textId="77777777" w:rsidR="00915258" w:rsidRDefault="00915258" w:rsidP="004262EB">
      <w:pPr>
        <w:spacing w:after="0" w:line="240" w:lineRule="auto"/>
      </w:pPr>
      <w:r>
        <w:continuationSeparator/>
      </w:r>
    </w:p>
  </w:endnote>
  <w:endnote w:type="continuationNotice" w:id="1">
    <w:p w14:paraId="2AE6CEC7" w14:textId="77777777" w:rsidR="00915258" w:rsidRDefault="009152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66A148C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980178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6B3A" w14:textId="77777777" w:rsidR="00915258" w:rsidRDefault="00915258" w:rsidP="004262EB">
      <w:pPr>
        <w:spacing w:after="0" w:line="240" w:lineRule="auto"/>
      </w:pPr>
      <w:r>
        <w:separator/>
      </w:r>
    </w:p>
  </w:footnote>
  <w:footnote w:type="continuationSeparator" w:id="0">
    <w:p w14:paraId="7F0CC976" w14:textId="77777777" w:rsidR="00915258" w:rsidRDefault="00915258" w:rsidP="004262EB">
      <w:pPr>
        <w:spacing w:after="0" w:line="240" w:lineRule="auto"/>
      </w:pPr>
      <w:r>
        <w:continuationSeparator/>
      </w:r>
    </w:p>
  </w:footnote>
  <w:footnote w:type="continuationNotice" w:id="1">
    <w:p w14:paraId="2A397853" w14:textId="77777777" w:rsidR="00915258" w:rsidRDefault="00915258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FC364640"/>
    <w:lvl w:ilvl="0" w:tplc="907EB816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77AEB62"/>
    <w:lvl w:ilvl="0" w:tplc="99A6F406">
      <w:start w:val="1"/>
      <w:numFmt w:val="decimal"/>
      <w:lvlText w:val="%1."/>
      <w:lvlJc w:val="left"/>
      <w:pPr>
        <w:ind w:left="1004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84798"/>
    <w:multiLevelType w:val="hybridMultilevel"/>
    <w:tmpl w:val="B2FA9B16"/>
    <w:lvl w:ilvl="0" w:tplc="11069A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1"/>
  </w:num>
  <w:num w:numId="8" w16cid:durableId="971862306">
    <w:abstractNumId w:val="14"/>
  </w:num>
  <w:num w:numId="9" w16cid:durableId="1839037261">
    <w:abstractNumId w:val="6"/>
  </w:num>
  <w:num w:numId="10" w16cid:durableId="926812056">
    <w:abstractNumId w:val="4"/>
  </w:num>
  <w:num w:numId="11" w16cid:durableId="1987396911">
    <w:abstractNumId w:val="12"/>
  </w:num>
  <w:num w:numId="12" w16cid:durableId="1791508770">
    <w:abstractNumId w:val="15"/>
  </w:num>
  <w:num w:numId="13" w16cid:durableId="1733111657">
    <w:abstractNumId w:val="10"/>
  </w:num>
  <w:num w:numId="14" w16cid:durableId="2049447831">
    <w:abstractNumId w:val="7"/>
  </w:num>
  <w:num w:numId="15" w16cid:durableId="1005941066">
    <w:abstractNumId w:val="3"/>
  </w:num>
  <w:num w:numId="16" w16cid:durableId="695460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364F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84EB4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02B3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3C07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33E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4DCB"/>
    <w:rsid w:val="0068583E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1D2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0DA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0ED8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4735"/>
    <w:rsid w:val="008F6E46"/>
    <w:rsid w:val="008F7EA9"/>
    <w:rsid w:val="0090017D"/>
    <w:rsid w:val="00901B98"/>
    <w:rsid w:val="009029DD"/>
    <w:rsid w:val="00915258"/>
    <w:rsid w:val="00925695"/>
    <w:rsid w:val="00947D4C"/>
    <w:rsid w:val="00947FBD"/>
    <w:rsid w:val="009500B1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0316"/>
    <w:rsid w:val="00B6135E"/>
    <w:rsid w:val="00B61612"/>
    <w:rsid w:val="00B67D93"/>
    <w:rsid w:val="00B76328"/>
    <w:rsid w:val="00B91BF6"/>
    <w:rsid w:val="00B972C8"/>
    <w:rsid w:val="00BA1C06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6A04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0134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E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303469-F6ED-4A08-80BC-F831A063DF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1578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Ryngwelska Anna</cp:lastModifiedBy>
  <cp:revision>14</cp:revision>
  <cp:lastPrinted>2024-11-20T14:11:00Z</cp:lastPrinted>
  <dcterms:created xsi:type="dcterms:W3CDTF">2024-08-06T10:57:00Z</dcterms:created>
  <dcterms:modified xsi:type="dcterms:W3CDTF">2024-12-18T15:57:00Z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