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7071" w14:textId="53DC903F" w:rsidR="00E74937" w:rsidRDefault="00E74937" w:rsidP="00C86446">
      <w:pPr>
        <w:spacing w:line="360" w:lineRule="auto"/>
        <w:jc w:val="center"/>
        <w:rPr>
          <w:rFonts w:ascii="Arial" w:hAnsi="Arial" w:cs="Arial"/>
          <w:b/>
          <w:color w:val="FF0000"/>
          <w:sz w:val="28"/>
          <w:szCs w:val="28"/>
        </w:rPr>
      </w:pPr>
      <w:bookmarkStart w:id="0" w:name="Umowa"/>
      <w:r w:rsidRPr="00E74937">
        <w:rPr>
          <w:rFonts w:ascii="Arial" w:hAnsi="Arial" w:cs="Arial"/>
          <w:b/>
          <w:color w:val="FF0000"/>
          <w:sz w:val="28"/>
          <w:szCs w:val="28"/>
        </w:rPr>
        <w:t>PROJEKT</w:t>
      </w:r>
    </w:p>
    <w:p w14:paraId="37040CCC" w14:textId="77777777" w:rsidR="00A977BC" w:rsidRDefault="00FE68C9" w:rsidP="00A977BC">
      <w:pPr>
        <w:spacing w:line="360" w:lineRule="auto"/>
        <w:jc w:val="center"/>
        <w:rPr>
          <w:rFonts w:ascii="Arial" w:hAnsi="Arial" w:cs="Arial"/>
          <w:b/>
          <w:color w:val="FF0000"/>
          <w:sz w:val="20"/>
          <w:szCs w:val="20"/>
        </w:rPr>
      </w:pPr>
      <w:r w:rsidRPr="00FE68C9">
        <w:rPr>
          <w:rFonts w:ascii="Arial" w:hAnsi="Arial" w:cs="Arial"/>
          <w:b/>
          <w:color w:val="FF0000"/>
          <w:sz w:val="20"/>
          <w:szCs w:val="20"/>
        </w:rPr>
        <w:t>dotyczy</w:t>
      </w:r>
      <w:r w:rsidR="00A977BC">
        <w:rPr>
          <w:rFonts w:ascii="Arial" w:hAnsi="Arial" w:cs="Arial"/>
          <w:b/>
          <w:color w:val="FF0000"/>
          <w:sz w:val="20"/>
          <w:szCs w:val="20"/>
        </w:rPr>
        <w:t>:</w:t>
      </w:r>
    </w:p>
    <w:p w14:paraId="3944A73A" w14:textId="4F789761" w:rsidR="00A977BC" w:rsidRDefault="00FE68C9" w:rsidP="00A977BC">
      <w:pPr>
        <w:spacing w:line="360" w:lineRule="auto"/>
        <w:rPr>
          <w:rFonts w:ascii="Arial" w:hAnsi="Arial" w:cs="Arial"/>
          <w:b/>
          <w:color w:val="FF0000"/>
          <w:sz w:val="20"/>
          <w:szCs w:val="20"/>
        </w:rPr>
      </w:pPr>
      <w:r w:rsidRPr="00FE68C9">
        <w:rPr>
          <w:rFonts w:ascii="Arial" w:hAnsi="Arial" w:cs="Arial"/>
          <w:b/>
          <w:color w:val="FF0000"/>
          <w:sz w:val="20"/>
          <w:szCs w:val="20"/>
        </w:rPr>
        <w:t>„</w:t>
      </w:r>
      <w:r w:rsidR="00267764" w:rsidRPr="00267764">
        <w:rPr>
          <w:rFonts w:ascii="Arial" w:hAnsi="Arial" w:cs="Arial"/>
          <w:b/>
          <w:color w:val="FF0000"/>
          <w:sz w:val="20"/>
          <w:szCs w:val="20"/>
        </w:rPr>
        <w:t>Remont budynków i pomieszczeń na terenie Zakładu Linii Kolejowych w Gdyni. Zadanie</w:t>
      </w:r>
      <w:r w:rsidR="00A977BC">
        <w:rPr>
          <w:rFonts w:ascii="Arial" w:hAnsi="Arial" w:cs="Arial"/>
          <w:b/>
          <w:color w:val="FF0000"/>
          <w:sz w:val="20"/>
          <w:szCs w:val="20"/>
        </w:rPr>
        <w:t xml:space="preserve"> </w:t>
      </w:r>
      <w:r w:rsidR="00A64F72">
        <w:rPr>
          <w:rFonts w:ascii="Arial" w:hAnsi="Arial" w:cs="Arial"/>
          <w:b/>
          <w:color w:val="FF0000"/>
          <w:sz w:val="20"/>
          <w:szCs w:val="20"/>
        </w:rPr>
        <w:t>pn.: „</w:t>
      </w:r>
      <w:r w:rsidR="00A64F72" w:rsidRPr="00A64F72">
        <w:rPr>
          <w:rFonts w:ascii="Arial" w:hAnsi="Arial" w:cs="Arial"/>
          <w:b/>
          <w:color w:val="FF0000"/>
          <w:sz w:val="20"/>
          <w:szCs w:val="20"/>
        </w:rPr>
        <w:t xml:space="preserve">Naprawa pokrycia dachowego i elewacji </w:t>
      </w:r>
      <w:r w:rsidR="00A977BC">
        <w:rPr>
          <w:rFonts w:ascii="Arial" w:hAnsi="Arial" w:cs="Arial"/>
          <w:b/>
          <w:color w:val="FF0000"/>
          <w:sz w:val="20"/>
          <w:szCs w:val="20"/>
        </w:rPr>
        <w:t>garaży w Gdańsku, ul. Kolejowa 8, LK202.</w:t>
      </w:r>
      <w:r w:rsidRPr="00FE68C9">
        <w:rPr>
          <w:rFonts w:ascii="Arial" w:hAnsi="Arial" w:cs="Arial"/>
          <w:b/>
          <w:color w:val="FF0000"/>
          <w:sz w:val="20"/>
          <w:szCs w:val="20"/>
        </w:rPr>
        <w:t>”</w:t>
      </w:r>
    </w:p>
    <w:p w14:paraId="55286306" w14:textId="77777777" w:rsidR="00A977BC" w:rsidRDefault="00A977BC" w:rsidP="00A977BC">
      <w:pPr>
        <w:spacing w:line="360" w:lineRule="auto"/>
        <w:rPr>
          <w:rFonts w:ascii="Arial" w:hAnsi="Arial" w:cs="Arial"/>
          <w:b/>
          <w:color w:val="FF0000"/>
          <w:sz w:val="20"/>
          <w:szCs w:val="20"/>
        </w:rPr>
      </w:pPr>
    </w:p>
    <w:p w14:paraId="6845B9AC" w14:textId="77777777"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 xml:space="preserve">Remont budynków i pomieszczeń na terenie Zakładu Linii Kolejowych w Gdyni. </w:t>
      </w:r>
    </w:p>
    <w:p w14:paraId="60BCFF54" w14:textId="60543D8D"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Zadanie</w:t>
      </w:r>
      <w:r>
        <w:rPr>
          <w:rFonts w:ascii="Arial" w:hAnsi="Arial" w:cs="Arial"/>
          <w:b/>
          <w:color w:val="FF0000"/>
          <w:sz w:val="20"/>
          <w:szCs w:val="20"/>
        </w:rPr>
        <w:t xml:space="preserve"> </w:t>
      </w:r>
      <w:r>
        <w:rPr>
          <w:rFonts w:ascii="Arial" w:hAnsi="Arial" w:cs="Arial"/>
          <w:b/>
          <w:color w:val="FF0000"/>
          <w:sz w:val="20"/>
          <w:szCs w:val="20"/>
        </w:rPr>
        <w:t>pn.: „</w:t>
      </w:r>
      <w:r>
        <w:rPr>
          <w:rFonts w:ascii="Arial" w:hAnsi="Arial" w:cs="Arial"/>
          <w:b/>
          <w:color w:val="FF0000"/>
          <w:sz w:val="20"/>
          <w:szCs w:val="20"/>
        </w:rPr>
        <w:t>Remont pomieszczeń nastawni Sb i schroniska na stacji Subkowy, LK131.”</w:t>
      </w:r>
    </w:p>
    <w:p w14:paraId="02E35D4E" w14:textId="77777777" w:rsidR="00A977BC" w:rsidRDefault="00A977BC" w:rsidP="00A977BC">
      <w:pPr>
        <w:spacing w:line="360" w:lineRule="auto"/>
        <w:rPr>
          <w:rFonts w:ascii="Arial" w:hAnsi="Arial" w:cs="Arial"/>
          <w:b/>
          <w:color w:val="FF0000"/>
          <w:sz w:val="20"/>
          <w:szCs w:val="20"/>
        </w:rPr>
      </w:pPr>
    </w:p>
    <w:p w14:paraId="6467609C" w14:textId="77777777" w:rsidR="00A977BC"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 xml:space="preserve">Remont budynków i pomieszczeń na terenie Zakładu Linii Kolejowych w Gdyni. </w:t>
      </w:r>
    </w:p>
    <w:p w14:paraId="23EDEE40" w14:textId="04BC864B" w:rsidR="00A977BC" w:rsidRPr="00FE68C9" w:rsidRDefault="00A977BC" w:rsidP="00A977BC">
      <w:pPr>
        <w:spacing w:line="360" w:lineRule="auto"/>
        <w:rPr>
          <w:rFonts w:ascii="Arial" w:hAnsi="Arial" w:cs="Arial"/>
          <w:b/>
          <w:color w:val="FF0000"/>
          <w:sz w:val="20"/>
          <w:szCs w:val="20"/>
        </w:rPr>
      </w:pPr>
      <w:r w:rsidRPr="00267764">
        <w:rPr>
          <w:rFonts w:ascii="Arial" w:hAnsi="Arial" w:cs="Arial"/>
          <w:b/>
          <w:color w:val="FF0000"/>
          <w:sz w:val="20"/>
          <w:szCs w:val="20"/>
        </w:rPr>
        <w:t>Zadanie</w:t>
      </w:r>
      <w:r>
        <w:rPr>
          <w:rFonts w:ascii="Arial" w:hAnsi="Arial" w:cs="Arial"/>
          <w:b/>
          <w:color w:val="FF0000"/>
          <w:sz w:val="20"/>
          <w:szCs w:val="20"/>
        </w:rPr>
        <w:t xml:space="preserve"> pn.: „</w:t>
      </w:r>
      <w:r>
        <w:rPr>
          <w:rFonts w:ascii="Arial" w:hAnsi="Arial" w:cs="Arial"/>
          <w:b/>
          <w:color w:val="FF0000"/>
          <w:sz w:val="20"/>
          <w:szCs w:val="20"/>
        </w:rPr>
        <w:t>Remont pomieszczeń zaplecza technicznego w Malborku, LK9.”</w:t>
      </w:r>
    </w:p>
    <w:p w14:paraId="1DC6EB16" w14:textId="79C16755" w:rsidR="00AF528C" w:rsidRPr="00C86446" w:rsidRDefault="00B27911" w:rsidP="00C86446">
      <w:pPr>
        <w:spacing w:line="360" w:lineRule="auto"/>
        <w:jc w:val="center"/>
        <w:rPr>
          <w:rFonts w:ascii="Arial" w:hAnsi="Arial" w:cs="Arial"/>
          <w:b/>
          <w:color w:val="FF0000"/>
          <w:sz w:val="22"/>
          <w:szCs w:val="22"/>
        </w:rPr>
      </w:pPr>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4770AF">
        <w:rPr>
          <w:rFonts w:ascii="Arial" w:hAnsi="Arial" w:cs="Arial"/>
          <w:b/>
          <w:sz w:val="22"/>
          <w:szCs w:val="22"/>
        </w:rPr>
        <w:t>4</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30F1E433"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4770AF">
        <w:rPr>
          <w:rFonts w:ascii="Arial" w:hAnsi="Arial" w:cs="Arial"/>
          <w:b/>
          <w:sz w:val="22"/>
          <w:szCs w:val="22"/>
        </w:rPr>
        <w:t>4</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79ED0461" w14:textId="7975CAA7" w:rsidR="00354774" w:rsidRPr="00B27911" w:rsidRDefault="00AF528C" w:rsidP="00E74937">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14A1FC58" w14:textId="77777777" w:rsidR="00A977BC" w:rsidRDefault="00A977BC" w:rsidP="00E74937">
      <w:pPr>
        <w:spacing w:line="360" w:lineRule="auto"/>
        <w:jc w:val="center"/>
        <w:rPr>
          <w:rFonts w:ascii="Arial" w:hAnsi="Arial" w:cs="Arial"/>
          <w:b/>
          <w:sz w:val="22"/>
          <w:szCs w:val="22"/>
        </w:rPr>
      </w:pPr>
    </w:p>
    <w:p w14:paraId="1A668F19" w14:textId="77777777" w:rsidR="00A977BC" w:rsidRDefault="00A977BC" w:rsidP="00E74937">
      <w:pPr>
        <w:spacing w:line="360" w:lineRule="auto"/>
        <w:jc w:val="center"/>
        <w:rPr>
          <w:rFonts w:ascii="Arial" w:hAnsi="Arial" w:cs="Arial"/>
          <w:b/>
          <w:sz w:val="22"/>
          <w:szCs w:val="22"/>
        </w:rPr>
      </w:pPr>
    </w:p>
    <w:p w14:paraId="034F1A11" w14:textId="77777777" w:rsidR="00A977BC" w:rsidRDefault="00A977BC" w:rsidP="00E74937">
      <w:pPr>
        <w:spacing w:line="360" w:lineRule="auto"/>
        <w:jc w:val="center"/>
        <w:rPr>
          <w:rFonts w:ascii="Arial" w:hAnsi="Arial" w:cs="Arial"/>
          <w:b/>
          <w:sz w:val="22"/>
          <w:szCs w:val="22"/>
        </w:rPr>
      </w:pPr>
    </w:p>
    <w:p w14:paraId="0B9779AF" w14:textId="6B8C6016"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lastRenderedPageBreak/>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03099498" w:rsidR="0040577D" w:rsidRPr="0029095B" w:rsidRDefault="0051564D" w:rsidP="00B843AF">
      <w:pPr>
        <w:numPr>
          <w:ilvl w:val="0"/>
          <w:numId w:val="1"/>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9095B">
        <w:rPr>
          <w:rFonts w:ascii="Arial" w:hAnsi="Arial" w:cs="Arial"/>
          <w:sz w:val="22"/>
          <w:szCs w:val="22"/>
        </w:rPr>
        <w:t xml:space="preserve"> </w:t>
      </w:r>
      <w:r w:rsidR="0021712A" w:rsidRPr="00AD102F">
        <w:rPr>
          <w:rFonts w:ascii="Arial" w:hAnsi="Arial" w:cs="Arial"/>
          <w:b/>
          <w:sz w:val="22"/>
          <w:szCs w:val="22"/>
        </w:rPr>
        <w:t>„</w:t>
      </w:r>
      <w:bookmarkStart w:id="2" w:name="_Hlk167094264"/>
      <w:r w:rsidR="002723D7">
        <w:rPr>
          <w:rFonts w:ascii="Arial" w:hAnsi="Arial" w:cs="Arial"/>
          <w:b/>
          <w:sz w:val="22"/>
          <w:szCs w:val="22"/>
        </w:rPr>
        <w:t xml:space="preserve">Remont budynków i </w:t>
      </w:r>
      <w:r w:rsidR="00417BFE">
        <w:rPr>
          <w:rFonts w:ascii="Arial" w:hAnsi="Arial" w:cs="Arial"/>
          <w:b/>
          <w:sz w:val="22"/>
          <w:szCs w:val="22"/>
        </w:rPr>
        <w:t>pomieszczeń na terenie Zakładu Linii Kolejowych w Gdyni</w:t>
      </w:r>
      <w:r w:rsidR="002723D7">
        <w:rPr>
          <w:rFonts w:ascii="Arial" w:hAnsi="Arial" w:cs="Arial"/>
          <w:b/>
          <w:sz w:val="22"/>
          <w:szCs w:val="22"/>
        </w:rPr>
        <w:t>. Zadanie</w:t>
      </w:r>
      <w:r w:rsidR="00A977BC">
        <w:rPr>
          <w:rFonts w:ascii="Arial" w:hAnsi="Arial" w:cs="Arial"/>
          <w:b/>
          <w:sz w:val="22"/>
          <w:szCs w:val="22"/>
        </w:rPr>
        <w:t xml:space="preserve"> pn.:</w:t>
      </w:r>
      <w:r w:rsidR="00A64F72">
        <w:rPr>
          <w:rFonts w:ascii="Arial" w:hAnsi="Arial" w:cs="Arial"/>
          <w:b/>
          <w:sz w:val="22"/>
          <w:szCs w:val="22"/>
        </w:rPr>
        <w:t xml:space="preserve"> </w:t>
      </w:r>
      <w:bookmarkEnd w:id="2"/>
      <w:r w:rsidR="00A977BC">
        <w:rPr>
          <w:rFonts w:ascii="Arial" w:hAnsi="Arial" w:cs="Arial"/>
          <w:b/>
          <w:sz w:val="22"/>
          <w:szCs w:val="22"/>
        </w:rPr>
        <w:t>„…</w:t>
      </w:r>
      <w:r w:rsidR="00267764">
        <w:rPr>
          <w:rFonts w:ascii="Arial" w:hAnsi="Arial" w:cs="Arial"/>
          <w:b/>
          <w:bCs/>
          <w:color w:val="000000"/>
          <w:sz w:val="22"/>
          <w:szCs w:val="22"/>
        </w:rPr>
        <w:t>”</w:t>
      </w:r>
      <w:r w:rsidR="0021712A" w:rsidRPr="00BC10F3">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40577D">
        <w:rPr>
          <w:rFonts w:ascii="Arial" w:hAnsi="Arial" w:cs="Arial"/>
          <w:sz w:val="22"/>
          <w:szCs w:val="22"/>
        </w:rPr>
        <w:t>staroużyteczne</w:t>
      </w:r>
      <w:proofErr w:type="spellEnd"/>
      <w:r w:rsidRPr="0040577D">
        <w:rPr>
          <w:rFonts w:ascii="Arial" w:hAnsi="Arial" w:cs="Arial"/>
          <w:sz w:val="22"/>
          <w:szCs w:val="22"/>
        </w:rPr>
        <w:t>,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E74937">
      <w:pPr>
        <w:pStyle w:val="Tekstpodstawowywcity"/>
        <w:numPr>
          <w:ilvl w:val="0"/>
          <w:numId w:val="14"/>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E74937">
      <w:pPr>
        <w:pStyle w:val="Tekstpodstawowywcity"/>
        <w:numPr>
          <w:ilvl w:val="0"/>
          <w:numId w:val="14"/>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E74937">
      <w:pPr>
        <w:pStyle w:val="Tekstpodstawowywcity"/>
        <w:numPr>
          <w:ilvl w:val="0"/>
          <w:numId w:val="14"/>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E74937">
      <w:pPr>
        <w:pStyle w:val="Tekstpodstawowywcity"/>
        <w:numPr>
          <w:ilvl w:val="0"/>
          <w:numId w:val="14"/>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1A241908"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C606AF">
        <w:rPr>
          <w:rFonts w:ascii="Arial" w:hAnsi="Arial" w:cs="Arial"/>
          <w:b/>
          <w:sz w:val="22"/>
          <w:szCs w:val="22"/>
        </w:rPr>
        <w:t>30.1</w:t>
      </w:r>
      <w:r w:rsidR="00A977BC">
        <w:rPr>
          <w:rFonts w:ascii="Arial" w:hAnsi="Arial" w:cs="Arial"/>
          <w:b/>
          <w:sz w:val="22"/>
          <w:szCs w:val="22"/>
        </w:rPr>
        <w:t>1</w:t>
      </w:r>
      <w:r w:rsidR="00C606AF">
        <w:rPr>
          <w:rFonts w:ascii="Arial" w:hAnsi="Arial" w:cs="Arial"/>
          <w:b/>
          <w:sz w:val="22"/>
          <w:szCs w:val="22"/>
        </w:rPr>
        <w:t>.</w:t>
      </w:r>
      <w:r w:rsidR="0040577D" w:rsidRPr="00200AC2">
        <w:rPr>
          <w:rFonts w:ascii="Arial" w:hAnsi="Arial" w:cs="Arial"/>
          <w:b/>
          <w:sz w:val="22"/>
          <w:szCs w:val="22"/>
        </w:rPr>
        <w:t>202</w:t>
      </w:r>
      <w:r w:rsidR="004770AF">
        <w:rPr>
          <w:rFonts w:ascii="Arial" w:hAnsi="Arial" w:cs="Arial"/>
          <w:b/>
          <w:sz w:val="22"/>
          <w:szCs w:val="22"/>
        </w:rPr>
        <w:t>4</w:t>
      </w:r>
      <w:r w:rsidR="0040577D" w:rsidRPr="00200AC2">
        <w:rPr>
          <w:rFonts w:ascii="Arial" w:hAnsi="Arial" w:cs="Arial"/>
          <w:b/>
          <w:sz w:val="22"/>
          <w:szCs w:val="22"/>
        </w:rPr>
        <w:t xml:space="preserve"> r.</w:t>
      </w:r>
    </w:p>
    <w:p w14:paraId="5E2EE732" w14:textId="6941ABC6"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lastRenderedPageBreak/>
        <w:t xml:space="preserve">Roboty będą wykonywane </w:t>
      </w:r>
      <w:r w:rsidR="0016378D">
        <w:rPr>
          <w:rFonts w:ascii="Arial" w:hAnsi="Arial" w:cs="Arial"/>
          <w:b/>
          <w:sz w:val="22"/>
          <w:szCs w:val="22"/>
        </w:rPr>
        <w:t>w</w:t>
      </w:r>
      <w:r w:rsidR="002723D7">
        <w:rPr>
          <w:rFonts w:ascii="Arial" w:hAnsi="Arial" w:cs="Arial"/>
          <w:b/>
          <w:sz w:val="22"/>
          <w:szCs w:val="22"/>
        </w:rPr>
        <w:t xml:space="preserve"> </w:t>
      </w:r>
      <w:r w:rsidR="0016378D" w:rsidRPr="0016378D">
        <w:rPr>
          <w:rFonts w:ascii="Arial" w:hAnsi="Arial" w:cs="Arial"/>
          <w:b/>
          <w:sz w:val="22"/>
          <w:szCs w:val="22"/>
        </w:rPr>
        <w:t>budyn</w:t>
      </w:r>
      <w:r w:rsidR="0016378D">
        <w:rPr>
          <w:rFonts w:ascii="Arial" w:hAnsi="Arial" w:cs="Arial"/>
          <w:b/>
          <w:sz w:val="22"/>
          <w:szCs w:val="22"/>
        </w:rPr>
        <w:t>ku</w:t>
      </w:r>
      <w:r w:rsidR="00A64F72">
        <w:rPr>
          <w:rFonts w:ascii="Arial" w:hAnsi="Arial" w:cs="Arial"/>
          <w:b/>
          <w:sz w:val="22"/>
          <w:szCs w:val="22"/>
        </w:rPr>
        <w:t xml:space="preserve"> i jego sąsiedztwie na działce </w:t>
      </w:r>
      <w:r w:rsidR="00A977BC">
        <w:rPr>
          <w:rFonts w:ascii="Arial" w:hAnsi="Arial" w:cs="Arial"/>
          <w:b/>
          <w:sz w:val="22"/>
          <w:szCs w:val="22"/>
        </w:rPr>
        <w:t>…..</w:t>
      </w:r>
      <w:r w:rsidR="00A64F72">
        <w:rPr>
          <w:rFonts w:ascii="Arial" w:hAnsi="Arial" w:cs="Arial"/>
          <w:b/>
          <w:sz w:val="22"/>
          <w:szCs w:val="22"/>
        </w:rPr>
        <w:t xml:space="preserve">, </w:t>
      </w:r>
      <w:r w:rsidR="00A977BC">
        <w:rPr>
          <w:rFonts w:ascii="Arial" w:hAnsi="Arial" w:cs="Arial"/>
          <w:b/>
          <w:sz w:val="22"/>
          <w:szCs w:val="22"/>
        </w:rPr>
        <w:t>…..</w:t>
      </w:r>
      <w:r w:rsidR="000075A2" w:rsidRPr="00A64F72">
        <w:rPr>
          <w:rFonts w:ascii="Arial" w:hAnsi="Arial" w:cs="Arial"/>
          <w:sz w:val="22"/>
          <w:szCs w:val="22"/>
        </w:rPr>
        <w:t xml:space="preserve">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4BA6977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7C42694C" w14:textId="77777777" w:rsidR="00EE79AA" w:rsidRDefault="00EE79AA" w:rsidP="00E74937">
      <w:pPr>
        <w:spacing w:line="360" w:lineRule="auto"/>
        <w:jc w:val="center"/>
        <w:rPr>
          <w:rFonts w:ascii="Arial" w:hAnsi="Arial" w:cs="Arial"/>
          <w:b/>
          <w:sz w:val="22"/>
          <w:szCs w:val="22"/>
        </w:rPr>
      </w:pPr>
    </w:p>
    <w:p w14:paraId="02F733E4" w14:textId="77777777" w:rsidR="00A977BC" w:rsidRDefault="00A977BC" w:rsidP="00E74937">
      <w:pPr>
        <w:spacing w:line="360" w:lineRule="auto"/>
        <w:jc w:val="center"/>
        <w:rPr>
          <w:rFonts w:ascii="Arial" w:hAnsi="Arial" w:cs="Arial"/>
          <w:b/>
          <w:sz w:val="22"/>
          <w:szCs w:val="22"/>
        </w:rPr>
      </w:pPr>
    </w:p>
    <w:p w14:paraId="51E2723C" w14:textId="77777777" w:rsidR="00A977BC" w:rsidRDefault="00A977BC" w:rsidP="00E74937">
      <w:pPr>
        <w:spacing w:line="360" w:lineRule="auto"/>
        <w:jc w:val="center"/>
        <w:rPr>
          <w:rFonts w:ascii="Arial" w:hAnsi="Arial" w:cs="Arial"/>
          <w:b/>
          <w:sz w:val="22"/>
          <w:szCs w:val="22"/>
        </w:rPr>
      </w:pPr>
    </w:p>
    <w:p w14:paraId="2D885DA4" w14:textId="608E65C0"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lastRenderedPageBreak/>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E74937">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niezwłocznie przedstawić Zamawiającemu konieczne aprobaty, wyniki badań i ocen oraz ekspertyzy,</w:t>
      </w:r>
    </w:p>
    <w:p w14:paraId="38A773C7" w14:textId="625C788C" w:rsidR="00613A09" w:rsidRPr="007A06EA" w:rsidRDefault="00613A09"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stanie uprzątniętym z wszelkich pozostałości wykonanych Robót, nie gorszym niż przekazany Wykonawcy przez </w:t>
      </w:r>
      <w:r w:rsidRPr="007A06EA">
        <w:rPr>
          <w:rFonts w:ascii="Arial" w:hAnsi="Arial" w:cs="Arial"/>
          <w:sz w:val="22"/>
          <w:szCs w:val="22"/>
        </w:rPr>
        <w:lastRenderedPageBreak/>
        <w:t>Zamawiającego i umożliwiającym przystąpienie do natychmiastowego korzystania z tych terenów zgodnie z ich przeznaczeniem,</w:t>
      </w:r>
    </w:p>
    <w:p w14:paraId="2040F179" w14:textId="56A7CC5D" w:rsidR="001E6DEA"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E74937">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40461E3" w14:textId="742E28D2" w:rsidR="000075A2" w:rsidRPr="00A977BC" w:rsidRDefault="00250394" w:rsidP="002723D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 xml:space="preserve">w zakresie realizacji przedmiotu niniejszej Umowy, audytowi wewnętrznemu ze strony Zamawiającego, audytowi zewnętrznemu zleconemu przez Zamawiającego, a także wszelkim niezbędnym kontrolom dokonywanym przez, np. jednostki dofinansowujące lub inne </w:t>
      </w:r>
      <w:r w:rsidRPr="00F91362">
        <w:rPr>
          <w:rFonts w:ascii="Arial" w:hAnsi="Arial" w:cs="Arial"/>
          <w:sz w:val="22"/>
          <w:szCs w:val="22"/>
        </w:rPr>
        <w:lastRenderedPageBreak/>
        <w:t>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3" w:name="Paragraf_od_6_do_11"/>
      <w:bookmarkEnd w:id="1"/>
    </w:p>
    <w:p w14:paraId="1C9AC1B4" w14:textId="5719CE1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E74937">
      <w:pPr>
        <w:pStyle w:val="Tekstpodstawowywcity"/>
        <w:numPr>
          <w:ilvl w:val="0"/>
          <w:numId w:val="17"/>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E74937">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E74937">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E74937">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0B2E059E" w14:textId="46FB668E" w:rsidR="004E7998" w:rsidRPr="00A977BC" w:rsidRDefault="00784803" w:rsidP="00A977BC">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260E6166" w14:textId="760DD19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E74937">
      <w:pPr>
        <w:numPr>
          <w:ilvl w:val="0"/>
          <w:numId w:val="8"/>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E74937">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E74937">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E74937">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E74937">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E74937">
      <w:pPr>
        <w:pStyle w:val="Akapitzlist"/>
        <w:numPr>
          <w:ilvl w:val="0"/>
          <w:numId w:val="5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E74937">
      <w:pPr>
        <w:pStyle w:val="Akapitzlist"/>
        <w:numPr>
          <w:ilvl w:val="0"/>
          <w:numId w:val="5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w:t>
      </w:r>
      <w:r w:rsidR="002B4773" w:rsidRPr="00100ACD">
        <w:rPr>
          <w:rFonts w:ascii="Arial" w:hAnsi="Arial" w:cs="Arial"/>
          <w:sz w:val="22"/>
          <w:szCs w:val="22"/>
        </w:rPr>
        <w:lastRenderedPageBreak/>
        <w:t>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BF1A6D">
      <w:pPr>
        <w:pStyle w:val="Akapitzlist"/>
        <w:numPr>
          <w:ilvl w:val="0"/>
          <w:numId w:val="5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19983AE8" w14:textId="2E2A11C1" w:rsidR="00B37800" w:rsidRPr="007A06EA" w:rsidRDefault="0051564D" w:rsidP="00E7493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44175C">
        <w:rPr>
          <w:rFonts w:ascii="Arial" w:hAnsi="Arial" w:cs="Arial"/>
          <w:sz w:val="22"/>
          <w:szCs w:val="22"/>
        </w:rPr>
        <w:t>jednorazowo.</w:t>
      </w:r>
    </w:p>
    <w:p w14:paraId="7AC78510" w14:textId="311A6718" w:rsidR="009C74F1" w:rsidRPr="0044175C" w:rsidRDefault="009C74F1" w:rsidP="00E74937">
      <w:pPr>
        <w:numPr>
          <w:ilvl w:val="0"/>
          <w:numId w:val="5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B91CEB" w:rsidRPr="0044175C">
        <w:rPr>
          <w:rFonts w:ascii="Arial" w:hAnsi="Arial" w:cs="Arial"/>
          <w:sz w:val="22"/>
          <w:szCs w:val="22"/>
        </w:rPr>
        <w:t xml:space="preserve"> 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E74937">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BF5F36">
        <w:rPr>
          <w:rFonts w:ascii="Arial" w:hAnsi="Arial" w:cs="Arial"/>
          <w:sz w:val="22"/>
          <w:szCs w:val="22"/>
        </w:rPr>
        <w:t>t.j</w:t>
      </w:r>
      <w:proofErr w:type="spellEnd"/>
      <w:r w:rsidR="00BF5F36">
        <w:rPr>
          <w:rFonts w:ascii="Arial" w:hAnsi="Arial" w:cs="Arial"/>
          <w:sz w:val="22"/>
          <w:szCs w:val="22"/>
        </w:rPr>
        <w:t>. Dz. U. 2020 poz. 1666</w:t>
      </w:r>
      <w:r w:rsidR="00B106EE">
        <w:rPr>
          <w:rFonts w:ascii="Arial" w:hAnsi="Arial" w:cs="Arial"/>
          <w:sz w:val="22"/>
          <w:szCs w:val="22"/>
        </w:rPr>
        <w:t xml:space="preserve"> z </w:t>
      </w:r>
      <w:proofErr w:type="spellStart"/>
      <w:r w:rsidR="00B106EE">
        <w:rPr>
          <w:rFonts w:ascii="Arial" w:hAnsi="Arial" w:cs="Arial"/>
          <w:sz w:val="22"/>
          <w:szCs w:val="22"/>
        </w:rPr>
        <w:t>późn</w:t>
      </w:r>
      <w:proofErr w:type="spellEnd"/>
      <w:r w:rsidR="00B106EE">
        <w:rPr>
          <w:rFonts w:ascii="Arial" w:hAnsi="Arial" w:cs="Arial"/>
          <w:sz w:val="22"/>
          <w:szCs w:val="22"/>
        </w:rPr>
        <w:t>.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E74937">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E74937">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E74937">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lastRenderedPageBreak/>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E74937">
      <w:pPr>
        <w:numPr>
          <w:ilvl w:val="0"/>
          <w:numId w:val="5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E74937">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E74937">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4" w:name="Paragraf_od_12_do_15"/>
      <w:bookmarkEnd w:id="3"/>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w:t>
      </w:r>
      <w:r w:rsidRPr="007A06EA">
        <w:rPr>
          <w:rFonts w:ascii="Arial" w:hAnsi="Arial" w:cs="Arial"/>
          <w:sz w:val="22"/>
          <w:szCs w:val="22"/>
        </w:rPr>
        <w:lastRenderedPageBreak/>
        <w:t xml:space="preserve">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E74937">
      <w:pPr>
        <w:numPr>
          <w:ilvl w:val="0"/>
          <w:numId w:val="9"/>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E74937">
      <w:pPr>
        <w:numPr>
          <w:ilvl w:val="0"/>
          <w:numId w:val="9"/>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 xml:space="preserve">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w:t>
      </w:r>
      <w:r w:rsidR="0051564D" w:rsidRPr="007A06EA">
        <w:rPr>
          <w:rFonts w:ascii="Arial" w:hAnsi="Arial" w:cs="Arial"/>
          <w:sz w:val="22"/>
          <w:szCs w:val="22"/>
        </w:rPr>
        <w:lastRenderedPageBreak/>
        <w:t>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E7493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4A3B50">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E74937">
      <w:pPr>
        <w:numPr>
          <w:ilvl w:val="0"/>
          <w:numId w:val="10"/>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E74937">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w:t>
      </w:r>
      <w:r w:rsidRPr="007A06EA">
        <w:rPr>
          <w:rFonts w:ascii="Arial" w:hAnsi="Arial" w:cs="Arial"/>
          <w:sz w:val="22"/>
          <w:szCs w:val="22"/>
        </w:rPr>
        <w:lastRenderedPageBreak/>
        <w:t>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z zabezpieczenia należytego wykonania Umowy, 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E74937">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E74937">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E74937">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E74937">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lastRenderedPageBreak/>
        <w:t>powódź,</w:t>
      </w:r>
    </w:p>
    <w:p w14:paraId="74E25123" w14:textId="77777777" w:rsidR="00056FB9" w:rsidRPr="007A06EA" w:rsidRDefault="00056FB9" w:rsidP="00E74937">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E74937">
      <w:pPr>
        <w:numPr>
          <w:ilvl w:val="0"/>
          <w:numId w:val="73"/>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E74937">
      <w:pPr>
        <w:numPr>
          <w:ilvl w:val="3"/>
          <w:numId w:val="72"/>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lastRenderedPageBreak/>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Pracownik Zamawiającego, dokonujący przekazania informacji o zagrożeniach dla bezpieczeństwa 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E74937">
      <w:pPr>
        <w:numPr>
          <w:ilvl w:val="1"/>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E74937">
      <w:pPr>
        <w:numPr>
          <w:ilvl w:val="0"/>
          <w:numId w:val="74"/>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lastRenderedPageBreak/>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E74937">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4E7998">
      <w:pPr>
        <w:numPr>
          <w:ilvl w:val="0"/>
          <w:numId w:val="75"/>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5" w:name="Paragraf_od_16_do_26"/>
      <w:bookmarkEnd w:id="4"/>
      <w:r>
        <w:rPr>
          <w:rFonts w:ascii="Arial" w:hAnsi="Arial" w:cs="Arial"/>
          <w:b/>
          <w:sz w:val="22"/>
          <w:szCs w:val="22"/>
        </w:rPr>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E74937">
      <w:pPr>
        <w:pStyle w:val="Tekstpodstawowywcity"/>
        <w:numPr>
          <w:ilvl w:val="0"/>
          <w:numId w:val="45"/>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E74937">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E74937">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E74937">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E74937">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44717C" w14:textId="07B151B0" w:rsidR="00E74937" w:rsidRPr="00A977BC" w:rsidRDefault="00056FB9" w:rsidP="00EC25C9">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309AF840" w14:textId="242B9B54"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lastRenderedPageBreak/>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E74937">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E74937">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lastRenderedPageBreak/>
        <w:t>Komisja Europejska stwierdziła, że to państwo trzecie lub organizacja międzynarodowa zapewnia odpowiedni stopień ochrony danych osobowych, zgodnie z art. 45 RODO,</w:t>
      </w:r>
    </w:p>
    <w:p w14:paraId="60B50137" w14:textId="264703D0"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E74937">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E74937">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E74937">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E74937">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E74937">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E74937">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77791E6" w14:textId="3913976C" w:rsidR="00D95A59" w:rsidRPr="00A977BC" w:rsidRDefault="00A41B50" w:rsidP="00A977BC">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37F7840C" w14:textId="77777777" w:rsidR="00D95A59" w:rsidRDefault="00D95A59" w:rsidP="00E74937">
      <w:pPr>
        <w:spacing w:line="360" w:lineRule="auto"/>
        <w:ind w:left="-284"/>
        <w:jc w:val="center"/>
        <w:rPr>
          <w:rFonts w:ascii="Arial" w:hAnsi="Arial" w:cs="Arial"/>
          <w:b/>
          <w:sz w:val="22"/>
          <w:szCs w:val="22"/>
        </w:rPr>
      </w:pPr>
    </w:p>
    <w:p w14:paraId="7D740DA9" w14:textId="71251DDC"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E74937">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E74937">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E74937">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E74937">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E74937">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E74937">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E74937">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CC42652" w14:textId="6AFCFDF8" w:rsidR="003F3363" w:rsidRPr="00A977BC" w:rsidRDefault="000705F6" w:rsidP="00A977BC">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E74937">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E74937">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lastRenderedPageBreak/>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E74937">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E74937">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4BDBEF5D" w14:textId="02C5F5F6" w:rsidR="00867D6A" w:rsidRPr="00E90D1D" w:rsidRDefault="003F7FB2" w:rsidP="00E74937">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E74937">
      <w:pPr>
        <w:pStyle w:val="Akapitzlist"/>
        <w:numPr>
          <w:ilvl w:val="1"/>
          <w:numId w:val="21"/>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E74937">
      <w:pPr>
        <w:pStyle w:val="Akapitzlist"/>
        <w:numPr>
          <w:ilvl w:val="0"/>
          <w:numId w:val="12"/>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E74937">
      <w:pPr>
        <w:pStyle w:val="Akapitzlist"/>
        <w:numPr>
          <w:ilvl w:val="0"/>
          <w:numId w:val="12"/>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E74937">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E74937">
      <w:pPr>
        <w:numPr>
          <w:ilvl w:val="4"/>
          <w:numId w:val="11"/>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EC25C9">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372099F" w14:textId="06A80D9B" w:rsidR="00D95A59" w:rsidRPr="00A977BC" w:rsidRDefault="0051564D" w:rsidP="00A977BC">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1570CCEB"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E74937">
      <w:pPr>
        <w:numPr>
          <w:ilvl w:val="0"/>
          <w:numId w:val="13"/>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albo kwalifikowanej formy elektronicznej w rozumieniu art. 781 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E74937">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E74937">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ADA3FBA" w14:textId="77777777" w:rsidR="00A977BC" w:rsidRDefault="00A977BC" w:rsidP="00E74937">
      <w:pPr>
        <w:spacing w:line="360" w:lineRule="auto"/>
        <w:ind w:hanging="284"/>
        <w:rPr>
          <w:rFonts w:ascii="Arial" w:hAnsi="Arial" w:cs="Arial"/>
          <w:b/>
          <w:sz w:val="22"/>
          <w:szCs w:val="22"/>
          <w:u w:val="single"/>
        </w:rPr>
      </w:pPr>
    </w:p>
    <w:p w14:paraId="6A61C3A5" w14:textId="77777777" w:rsidR="00A977BC" w:rsidRDefault="00A977BC" w:rsidP="00E74937">
      <w:pPr>
        <w:spacing w:line="360" w:lineRule="auto"/>
        <w:ind w:hanging="284"/>
        <w:rPr>
          <w:rFonts w:ascii="Arial" w:hAnsi="Arial" w:cs="Arial"/>
          <w:b/>
          <w:sz w:val="22"/>
          <w:szCs w:val="22"/>
          <w:u w:val="single"/>
        </w:rPr>
      </w:pPr>
    </w:p>
    <w:p w14:paraId="3D3C823E" w14:textId="77777777" w:rsidR="00A977BC" w:rsidRDefault="00A977BC" w:rsidP="00E74937">
      <w:pPr>
        <w:spacing w:line="360" w:lineRule="auto"/>
        <w:ind w:hanging="284"/>
        <w:rPr>
          <w:rFonts w:ascii="Arial" w:hAnsi="Arial" w:cs="Arial"/>
          <w:b/>
          <w:sz w:val="22"/>
          <w:szCs w:val="22"/>
          <w:u w:val="single"/>
        </w:rPr>
      </w:pPr>
    </w:p>
    <w:p w14:paraId="77BB0152" w14:textId="77777777" w:rsidR="00A977BC" w:rsidRDefault="00A977BC" w:rsidP="00E74937">
      <w:pPr>
        <w:spacing w:line="360" w:lineRule="auto"/>
        <w:ind w:hanging="284"/>
        <w:rPr>
          <w:rFonts w:ascii="Arial" w:hAnsi="Arial" w:cs="Arial"/>
          <w:b/>
          <w:sz w:val="22"/>
          <w:szCs w:val="22"/>
          <w:u w:val="single"/>
        </w:rPr>
      </w:pPr>
    </w:p>
    <w:p w14:paraId="01C112F1" w14:textId="77777777" w:rsidR="00A977BC" w:rsidRDefault="00A977BC" w:rsidP="00E74937">
      <w:pPr>
        <w:spacing w:line="360" w:lineRule="auto"/>
        <w:ind w:hanging="284"/>
        <w:rPr>
          <w:rFonts w:ascii="Arial" w:hAnsi="Arial" w:cs="Arial"/>
          <w:b/>
          <w:sz w:val="22"/>
          <w:szCs w:val="22"/>
          <w:u w:val="single"/>
        </w:rPr>
      </w:pPr>
    </w:p>
    <w:p w14:paraId="14B0C1B6" w14:textId="77777777" w:rsidR="00A977BC" w:rsidRDefault="00A977BC" w:rsidP="00E74937">
      <w:pPr>
        <w:spacing w:line="360" w:lineRule="auto"/>
        <w:ind w:hanging="284"/>
        <w:rPr>
          <w:rFonts w:ascii="Arial" w:hAnsi="Arial" w:cs="Arial"/>
          <w:b/>
          <w:sz w:val="22"/>
          <w:szCs w:val="22"/>
          <w:u w:val="single"/>
        </w:rPr>
      </w:pPr>
    </w:p>
    <w:p w14:paraId="240BD515" w14:textId="77777777" w:rsidR="00A977BC" w:rsidRDefault="00A977BC" w:rsidP="00E74937">
      <w:pPr>
        <w:spacing w:line="360" w:lineRule="auto"/>
        <w:ind w:hanging="284"/>
        <w:rPr>
          <w:rFonts w:ascii="Arial" w:hAnsi="Arial" w:cs="Arial"/>
          <w:b/>
          <w:sz w:val="22"/>
          <w:szCs w:val="22"/>
          <w:u w:val="single"/>
        </w:rPr>
      </w:pPr>
    </w:p>
    <w:p w14:paraId="415CCF68" w14:textId="77777777" w:rsidR="00A977BC" w:rsidRDefault="00A977BC" w:rsidP="00E74937">
      <w:pPr>
        <w:spacing w:line="360" w:lineRule="auto"/>
        <w:ind w:hanging="284"/>
        <w:rPr>
          <w:rFonts w:ascii="Arial" w:hAnsi="Arial" w:cs="Arial"/>
          <w:b/>
          <w:sz w:val="22"/>
          <w:szCs w:val="22"/>
          <w:u w:val="single"/>
        </w:rPr>
      </w:pPr>
    </w:p>
    <w:p w14:paraId="76A9E827" w14:textId="77777777" w:rsidR="00A977BC" w:rsidRDefault="00A977BC" w:rsidP="00E74937">
      <w:pPr>
        <w:spacing w:line="360" w:lineRule="auto"/>
        <w:ind w:hanging="284"/>
        <w:rPr>
          <w:rFonts w:ascii="Arial" w:hAnsi="Arial" w:cs="Arial"/>
          <w:b/>
          <w:sz w:val="22"/>
          <w:szCs w:val="22"/>
          <w:u w:val="single"/>
        </w:rPr>
      </w:pPr>
    </w:p>
    <w:p w14:paraId="6EB30547" w14:textId="77777777" w:rsidR="00A977BC" w:rsidRDefault="00A977BC" w:rsidP="00E74937">
      <w:pPr>
        <w:spacing w:line="360" w:lineRule="auto"/>
        <w:ind w:hanging="284"/>
        <w:rPr>
          <w:rFonts w:ascii="Arial" w:hAnsi="Arial" w:cs="Arial"/>
          <w:b/>
          <w:sz w:val="22"/>
          <w:szCs w:val="22"/>
          <w:u w:val="single"/>
        </w:rPr>
      </w:pPr>
    </w:p>
    <w:p w14:paraId="412A9B33" w14:textId="77777777" w:rsidR="00A977BC" w:rsidRDefault="00A977BC" w:rsidP="00E74937">
      <w:pPr>
        <w:spacing w:line="360" w:lineRule="auto"/>
        <w:ind w:hanging="284"/>
        <w:rPr>
          <w:rFonts w:ascii="Arial" w:hAnsi="Arial" w:cs="Arial"/>
          <w:b/>
          <w:sz w:val="22"/>
          <w:szCs w:val="22"/>
          <w:u w:val="single"/>
        </w:rPr>
      </w:pPr>
    </w:p>
    <w:p w14:paraId="4076BD12" w14:textId="77777777" w:rsidR="00A977BC" w:rsidRDefault="00A977BC" w:rsidP="00E74937">
      <w:pPr>
        <w:spacing w:line="360" w:lineRule="auto"/>
        <w:ind w:hanging="284"/>
        <w:rPr>
          <w:rFonts w:ascii="Arial" w:hAnsi="Arial" w:cs="Arial"/>
          <w:b/>
          <w:sz w:val="22"/>
          <w:szCs w:val="22"/>
          <w:u w:val="single"/>
        </w:rPr>
      </w:pPr>
    </w:p>
    <w:p w14:paraId="0791C452" w14:textId="77777777" w:rsidR="00A977BC" w:rsidRDefault="00A977BC" w:rsidP="00E74937">
      <w:pPr>
        <w:spacing w:line="360" w:lineRule="auto"/>
        <w:ind w:hanging="284"/>
        <w:rPr>
          <w:rFonts w:ascii="Arial" w:hAnsi="Arial" w:cs="Arial"/>
          <w:b/>
          <w:sz w:val="22"/>
          <w:szCs w:val="22"/>
          <w:u w:val="single"/>
        </w:rPr>
      </w:pPr>
    </w:p>
    <w:p w14:paraId="73B4B150" w14:textId="77777777" w:rsidR="00A977BC" w:rsidRDefault="00A977BC" w:rsidP="00E74937">
      <w:pPr>
        <w:spacing w:line="360" w:lineRule="auto"/>
        <w:ind w:hanging="284"/>
        <w:rPr>
          <w:rFonts w:ascii="Arial" w:hAnsi="Arial" w:cs="Arial"/>
          <w:b/>
          <w:sz w:val="22"/>
          <w:szCs w:val="22"/>
          <w:u w:val="single"/>
        </w:rPr>
      </w:pPr>
    </w:p>
    <w:p w14:paraId="74FA7ED4" w14:textId="77777777" w:rsidR="00A977BC" w:rsidRDefault="00A977BC" w:rsidP="00E74937">
      <w:pPr>
        <w:spacing w:line="360" w:lineRule="auto"/>
        <w:ind w:hanging="284"/>
        <w:rPr>
          <w:rFonts w:ascii="Arial" w:hAnsi="Arial" w:cs="Arial"/>
          <w:b/>
          <w:sz w:val="22"/>
          <w:szCs w:val="22"/>
          <w:u w:val="single"/>
        </w:rPr>
      </w:pPr>
    </w:p>
    <w:p w14:paraId="69C82F66" w14:textId="77777777" w:rsidR="00A977BC" w:rsidRDefault="00A977BC" w:rsidP="00E74937">
      <w:pPr>
        <w:spacing w:line="360" w:lineRule="auto"/>
        <w:ind w:hanging="284"/>
        <w:rPr>
          <w:rFonts w:ascii="Arial" w:hAnsi="Arial" w:cs="Arial"/>
          <w:b/>
          <w:sz w:val="22"/>
          <w:szCs w:val="22"/>
          <w:u w:val="single"/>
        </w:rPr>
      </w:pPr>
    </w:p>
    <w:p w14:paraId="0DDFE682" w14:textId="77777777" w:rsidR="00A977BC" w:rsidRDefault="00A977BC" w:rsidP="00E74937">
      <w:pPr>
        <w:spacing w:line="360" w:lineRule="auto"/>
        <w:ind w:hanging="284"/>
        <w:rPr>
          <w:rFonts w:ascii="Arial" w:hAnsi="Arial" w:cs="Arial"/>
          <w:b/>
          <w:sz w:val="22"/>
          <w:szCs w:val="22"/>
          <w:u w:val="single"/>
        </w:rPr>
      </w:pPr>
    </w:p>
    <w:p w14:paraId="0BBE4F1B" w14:textId="77777777" w:rsidR="00A977BC" w:rsidRDefault="00A977BC" w:rsidP="00E74937">
      <w:pPr>
        <w:spacing w:line="360" w:lineRule="auto"/>
        <w:ind w:hanging="284"/>
        <w:rPr>
          <w:rFonts w:ascii="Arial" w:hAnsi="Arial" w:cs="Arial"/>
          <w:b/>
          <w:sz w:val="22"/>
          <w:szCs w:val="22"/>
          <w:u w:val="single"/>
        </w:rPr>
      </w:pPr>
    </w:p>
    <w:p w14:paraId="7C2F37E9" w14:textId="619AD3DA"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lastRenderedPageBreak/>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0BB64761" w14:textId="5491E31B" w:rsidR="001F0963"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2ACA9D66" w14:textId="77777777" w:rsidR="004152BC" w:rsidRDefault="004152BC" w:rsidP="00E74937">
      <w:pPr>
        <w:tabs>
          <w:tab w:val="left" w:pos="142"/>
          <w:tab w:val="left" w:pos="1560"/>
        </w:tabs>
        <w:spacing w:line="360" w:lineRule="auto"/>
        <w:jc w:val="both"/>
        <w:rPr>
          <w:rFonts w:ascii="Arial" w:hAnsi="Arial" w:cs="Arial"/>
          <w:sz w:val="22"/>
          <w:szCs w:val="22"/>
        </w:rPr>
      </w:pPr>
    </w:p>
    <w:p w14:paraId="3809A59B" w14:textId="77777777" w:rsidR="00960C79" w:rsidRDefault="00960C79" w:rsidP="00E74937">
      <w:pPr>
        <w:tabs>
          <w:tab w:val="left" w:pos="142"/>
          <w:tab w:val="left" w:pos="1560"/>
        </w:tabs>
        <w:spacing w:line="360" w:lineRule="auto"/>
        <w:jc w:val="both"/>
        <w:rPr>
          <w:rFonts w:ascii="Arial" w:hAnsi="Arial" w:cs="Arial"/>
          <w:sz w:val="22"/>
          <w:szCs w:val="22"/>
        </w:rPr>
      </w:pPr>
    </w:p>
    <w:p w14:paraId="0B30387D" w14:textId="77777777" w:rsidR="00960C79" w:rsidRDefault="00960C79" w:rsidP="00E74937">
      <w:pPr>
        <w:tabs>
          <w:tab w:val="left" w:pos="142"/>
          <w:tab w:val="left" w:pos="1560"/>
        </w:tabs>
        <w:spacing w:line="360" w:lineRule="auto"/>
        <w:jc w:val="both"/>
        <w:rPr>
          <w:rFonts w:ascii="Arial" w:hAnsi="Arial" w:cs="Arial"/>
          <w:sz w:val="22"/>
          <w:szCs w:val="22"/>
        </w:rPr>
      </w:pPr>
    </w:p>
    <w:p w14:paraId="4BF64F0E" w14:textId="77777777" w:rsidR="00960C79" w:rsidRDefault="00960C79" w:rsidP="00E74937">
      <w:pPr>
        <w:tabs>
          <w:tab w:val="left" w:pos="142"/>
          <w:tab w:val="left" w:pos="1560"/>
        </w:tabs>
        <w:spacing w:line="360" w:lineRule="auto"/>
        <w:jc w:val="both"/>
        <w:rPr>
          <w:rFonts w:ascii="Arial" w:hAnsi="Arial" w:cs="Arial"/>
          <w:sz w:val="22"/>
          <w:szCs w:val="22"/>
        </w:rPr>
      </w:pPr>
    </w:p>
    <w:p w14:paraId="18018716" w14:textId="77777777" w:rsidR="00960C79" w:rsidRDefault="00960C79" w:rsidP="00E74937">
      <w:pPr>
        <w:tabs>
          <w:tab w:val="left" w:pos="142"/>
          <w:tab w:val="left" w:pos="1560"/>
        </w:tabs>
        <w:spacing w:line="360" w:lineRule="auto"/>
        <w:jc w:val="both"/>
        <w:rPr>
          <w:rFonts w:ascii="Arial" w:hAnsi="Arial" w:cs="Arial"/>
          <w:sz w:val="22"/>
          <w:szCs w:val="22"/>
        </w:rPr>
      </w:pPr>
    </w:p>
    <w:p w14:paraId="068062E9" w14:textId="77777777" w:rsidR="00960C79" w:rsidRDefault="00960C79" w:rsidP="00E74937">
      <w:pPr>
        <w:tabs>
          <w:tab w:val="left" w:pos="142"/>
          <w:tab w:val="left" w:pos="1560"/>
        </w:tabs>
        <w:spacing w:line="360" w:lineRule="auto"/>
        <w:jc w:val="both"/>
        <w:rPr>
          <w:rFonts w:ascii="Arial" w:hAnsi="Arial" w:cs="Arial"/>
          <w:sz w:val="22"/>
          <w:szCs w:val="22"/>
        </w:rPr>
      </w:pPr>
    </w:p>
    <w:p w14:paraId="0ECAA57F" w14:textId="77777777" w:rsidR="00960C79" w:rsidRDefault="00960C79" w:rsidP="00E74937">
      <w:pPr>
        <w:tabs>
          <w:tab w:val="left" w:pos="142"/>
          <w:tab w:val="left" w:pos="1560"/>
        </w:tabs>
        <w:spacing w:line="360" w:lineRule="auto"/>
        <w:jc w:val="both"/>
        <w:rPr>
          <w:rFonts w:ascii="Arial" w:hAnsi="Arial" w:cs="Arial"/>
          <w:sz w:val="22"/>
          <w:szCs w:val="22"/>
        </w:rPr>
      </w:pPr>
    </w:p>
    <w:p w14:paraId="00316B03" w14:textId="77777777" w:rsidR="00960C79" w:rsidRDefault="00960C79" w:rsidP="00E74937">
      <w:pPr>
        <w:tabs>
          <w:tab w:val="left" w:pos="142"/>
          <w:tab w:val="left" w:pos="1560"/>
        </w:tabs>
        <w:spacing w:line="360" w:lineRule="auto"/>
        <w:jc w:val="both"/>
        <w:rPr>
          <w:rFonts w:ascii="Arial" w:hAnsi="Arial" w:cs="Arial"/>
          <w:sz w:val="22"/>
          <w:szCs w:val="22"/>
        </w:rPr>
      </w:pPr>
    </w:p>
    <w:p w14:paraId="59F4C1E0" w14:textId="77777777" w:rsidR="00960C79" w:rsidRDefault="00960C79" w:rsidP="00E74937">
      <w:pPr>
        <w:tabs>
          <w:tab w:val="left" w:pos="142"/>
          <w:tab w:val="left" w:pos="1560"/>
        </w:tabs>
        <w:spacing w:line="360" w:lineRule="auto"/>
        <w:jc w:val="both"/>
        <w:rPr>
          <w:rFonts w:ascii="Arial" w:hAnsi="Arial" w:cs="Arial"/>
          <w:sz w:val="22"/>
          <w:szCs w:val="22"/>
        </w:rPr>
      </w:pP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6" w:name="Załącznik_nr_7"/>
      <w:bookmarkEnd w:id="5"/>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060CBD1A"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324E286A" w:rsidR="00E7238C" w:rsidRPr="00F5787A"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w:t>
      </w:r>
      <w:r w:rsidR="00A977BC">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Pr="000079AE">
        <w:rPr>
          <w:rFonts w:ascii="Arial" w:hAnsi="Arial" w:cs="Arial"/>
          <w:sz w:val="22"/>
          <w:szCs w:val="22"/>
        </w:rPr>
        <w:t xml:space="preserve"> (dalej: „</w:t>
      </w:r>
      <w:r w:rsidRPr="000079AE">
        <w:rPr>
          <w:rFonts w:ascii="Arial" w:hAnsi="Arial" w:cs="Arial"/>
          <w:b/>
          <w:sz w:val="22"/>
          <w:szCs w:val="22"/>
        </w:rPr>
        <w:t>Umowa</w:t>
      </w:r>
      <w:r w:rsidR="00F5787A">
        <w:rPr>
          <w:rFonts w:ascii="Arial" w:hAnsi="Arial" w:cs="Arial"/>
          <w:sz w:val="22"/>
          <w:szCs w:val="22"/>
        </w:rPr>
        <w:t xml:space="preserve">”), w imieniu </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lastRenderedPageBreak/>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72F2EC9A"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4E65F2">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4E65F2">
        <w:rPr>
          <w:rFonts w:ascii="Arial" w:hAnsi="Arial" w:cs="Arial"/>
          <w:b/>
          <w:sz w:val="22"/>
          <w:szCs w:val="22"/>
        </w:rPr>
        <w:t>4</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w:t>
      </w:r>
      <w:r w:rsidR="00A977BC">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0079AE">
      <w:pPr>
        <w:numPr>
          <w:ilvl w:val="0"/>
          <w:numId w:val="76"/>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3FF0E331" w14:textId="77777777" w:rsidR="00A977BC" w:rsidRDefault="00A977BC" w:rsidP="00E7238C">
      <w:pPr>
        <w:jc w:val="right"/>
        <w:rPr>
          <w:rFonts w:ascii="Arial" w:hAnsi="Arial" w:cs="Arial"/>
          <w:b/>
          <w:sz w:val="22"/>
          <w:szCs w:val="22"/>
        </w:rPr>
      </w:pPr>
    </w:p>
    <w:p w14:paraId="56D40BC5" w14:textId="77777777" w:rsidR="00A977BC" w:rsidRDefault="00A977BC" w:rsidP="00E7238C">
      <w:pPr>
        <w:jc w:val="right"/>
        <w:rPr>
          <w:rFonts w:ascii="Arial" w:hAnsi="Arial" w:cs="Arial"/>
          <w:b/>
          <w:sz w:val="22"/>
          <w:szCs w:val="22"/>
        </w:rPr>
      </w:pPr>
    </w:p>
    <w:p w14:paraId="332AB6F4" w14:textId="77777777" w:rsidR="00A977BC" w:rsidRDefault="00A977BC" w:rsidP="00E7238C">
      <w:pPr>
        <w:jc w:val="right"/>
        <w:rPr>
          <w:rFonts w:ascii="Arial" w:hAnsi="Arial" w:cs="Arial"/>
          <w:b/>
          <w:sz w:val="22"/>
          <w:szCs w:val="22"/>
        </w:rPr>
      </w:pPr>
    </w:p>
    <w:p w14:paraId="72314094" w14:textId="1FD46B72" w:rsidR="00E7238C" w:rsidRPr="00930592" w:rsidRDefault="00930592" w:rsidP="00E7238C">
      <w:pPr>
        <w:jc w:val="right"/>
        <w:rPr>
          <w:rFonts w:ascii="Arial" w:hAnsi="Arial" w:cs="Arial"/>
          <w:b/>
          <w:sz w:val="22"/>
          <w:szCs w:val="22"/>
        </w:rPr>
      </w:pPr>
      <w:r w:rsidRPr="00930592">
        <w:rPr>
          <w:rFonts w:ascii="Arial" w:hAnsi="Arial" w:cs="Arial"/>
          <w:b/>
          <w:sz w:val="22"/>
          <w:szCs w:val="22"/>
        </w:rPr>
        <w:lastRenderedPageBreak/>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1784665A"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4E65F2">
        <w:rPr>
          <w:rFonts w:ascii="Arial" w:hAnsi="Arial" w:cs="Arial"/>
          <w:b/>
          <w:sz w:val="22"/>
          <w:szCs w:val="22"/>
        </w:rPr>
        <w:t>4</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A64F72">
        <w:rPr>
          <w:rFonts w:ascii="Arial" w:hAnsi="Arial" w:cs="Arial"/>
          <w:b/>
          <w:sz w:val="22"/>
          <w:szCs w:val="22"/>
        </w:rPr>
        <w:t>Remont budynków i pomieszczeń na terenie Zakładu Linii Kolejowych w Gdyni. Zadanie</w:t>
      </w:r>
      <w:r w:rsidR="00666024">
        <w:rPr>
          <w:rFonts w:ascii="Arial" w:hAnsi="Arial" w:cs="Arial"/>
          <w:b/>
          <w:sz w:val="22"/>
          <w:szCs w:val="22"/>
        </w:rPr>
        <w:t xml:space="preserve"> pn.</w:t>
      </w:r>
      <w:r w:rsidR="00A64F72">
        <w:rPr>
          <w:rFonts w:ascii="Arial" w:hAnsi="Arial" w:cs="Arial"/>
          <w:b/>
          <w:sz w:val="22"/>
          <w:szCs w:val="22"/>
        </w:rPr>
        <w:t>: „</w:t>
      </w:r>
      <w:r w:rsidR="00666024">
        <w:rPr>
          <w:rFonts w:ascii="Arial" w:hAnsi="Arial" w:cs="Arial"/>
          <w:b/>
          <w:sz w:val="22"/>
          <w:szCs w:val="22"/>
        </w:rPr>
        <w:t>…</w:t>
      </w:r>
      <w:r w:rsidR="00A64F72">
        <w:rPr>
          <w:rFonts w:ascii="Arial" w:hAnsi="Arial" w:cs="Arial"/>
          <w:b/>
          <w:sz w:val="22"/>
          <w:szCs w:val="22"/>
        </w:rPr>
        <w:t>.</w:t>
      </w:r>
      <w:r w:rsidR="00A64F72">
        <w:rPr>
          <w:rFonts w:ascii="Arial" w:hAnsi="Arial" w:cs="Arial"/>
          <w:b/>
          <w:bCs/>
          <w:color w:val="000000"/>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66EDABF2"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4E65F2">
        <w:rPr>
          <w:rFonts w:ascii="Arial" w:hAnsi="Arial" w:cs="Arial"/>
          <w:sz w:val="22"/>
          <w:szCs w:val="22"/>
          <w:lang w:val="pl-PL"/>
        </w:rPr>
        <w:t>4</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4E65F2">
        <w:rPr>
          <w:rFonts w:ascii="Arial" w:hAnsi="Arial" w:cs="Arial"/>
          <w:color w:val="000000"/>
          <w:sz w:val="22"/>
          <w:szCs w:val="22"/>
          <w:lang w:val="pl-PL"/>
        </w:rPr>
        <w:t>4</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666024">
        <w:rPr>
          <w:rFonts w:ascii="Arial" w:hAnsi="Arial" w:cs="Arial"/>
          <w:sz w:val="22"/>
          <w:szCs w:val="22"/>
        </w:rPr>
        <w:t xml:space="preserve"> pn.</w:t>
      </w:r>
      <w:r w:rsidR="00A64F72">
        <w:rPr>
          <w:rFonts w:ascii="Arial" w:hAnsi="Arial" w:cs="Arial"/>
          <w:b w:val="0"/>
          <w:sz w:val="22"/>
          <w:szCs w:val="22"/>
        </w:rPr>
        <w:t>:</w:t>
      </w:r>
      <w:r w:rsidR="00A64F72">
        <w:rPr>
          <w:rFonts w:ascii="Arial" w:hAnsi="Arial" w:cs="Arial"/>
          <w:sz w:val="22"/>
          <w:szCs w:val="22"/>
        </w:rPr>
        <w:t xml:space="preserve"> </w:t>
      </w:r>
      <w:r w:rsidR="00A64F72">
        <w:rPr>
          <w:rFonts w:ascii="Arial" w:hAnsi="Arial" w:cs="Arial"/>
          <w:b w:val="0"/>
          <w:sz w:val="22"/>
          <w:szCs w:val="22"/>
        </w:rPr>
        <w:t>„</w:t>
      </w:r>
      <w:r w:rsidR="00666024">
        <w:rPr>
          <w:rFonts w:ascii="Arial" w:hAnsi="Arial" w:cs="Arial"/>
          <w:sz w:val="22"/>
          <w:szCs w:val="22"/>
        </w:rPr>
        <w:t>…</w:t>
      </w:r>
      <w:r w:rsidR="00A64F72">
        <w:rPr>
          <w:rFonts w:ascii="Arial" w:hAnsi="Arial" w:cs="Arial"/>
          <w:bCs/>
          <w:color w:val="000000"/>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736849">
      <w:pPr>
        <w:pStyle w:val="Tekstpodstawowy"/>
        <w:numPr>
          <w:ilvl w:val="0"/>
          <w:numId w:val="48"/>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736849">
      <w:pPr>
        <w:pStyle w:val="Tekstpodstawowy"/>
        <w:numPr>
          <w:ilvl w:val="0"/>
          <w:numId w:val="48"/>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736849">
      <w:pPr>
        <w:pStyle w:val="Tekstpodstawowy"/>
        <w:numPr>
          <w:ilvl w:val="0"/>
          <w:numId w:val="48"/>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736849">
      <w:pPr>
        <w:pStyle w:val="Tekstpodstawowy"/>
        <w:numPr>
          <w:ilvl w:val="0"/>
          <w:numId w:val="48"/>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736849">
      <w:pPr>
        <w:pStyle w:val="Tekstpodstawowy"/>
        <w:numPr>
          <w:ilvl w:val="0"/>
          <w:numId w:val="32"/>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52A433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4E65F2">
        <w:rPr>
          <w:rFonts w:ascii="Arial" w:hAnsi="Arial" w:cs="Arial"/>
          <w:sz w:val="22"/>
          <w:szCs w:val="22"/>
        </w:rPr>
        <w:t>4</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6F7E14A9"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4E65F2">
        <w:rPr>
          <w:rFonts w:ascii="Arial" w:hAnsi="Arial" w:cs="Arial"/>
          <w:sz w:val="22"/>
          <w:szCs w:val="22"/>
        </w:rPr>
        <w:t>4</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6"/>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4985A" w14:textId="77777777" w:rsidR="00D71099" w:rsidRDefault="00D71099" w:rsidP="0039734C">
      <w:r>
        <w:separator/>
      </w:r>
    </w:p>
  </w:endnote>
  <w:endnote w:type="continuationSeparator" w:id="0">
    <w:p w14:paraId="358C4261" w14:textId="77777777" w:rsidR="00D71099" w:rsidRDefault="00D71099" w:rsidP="0039734C">
      <w:r>
        <w:continuationSeparator/>
      </w:r>
    </w:p>
  </w:endnote>
  <w:endnote w:type="continuationNotice" w:id="1">
    <w:p w14:paraId="5B5AB0C1" w14:textId="77777777" w:rsidR="00D71099" w:rsidRDefault="00D71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Content>
      <w:sdt>
        <w:sdtPr>
          <w:id w:val="-1769616900"/>
          <w:docPartObj>
            <w:docPartGallery w:val="Page Numbers (Top of Page)"/>
            <w:docPartUnique/>
          </w:docPartObj>
        </w:sdt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87E86" w14:textId="77777777" w:rsidR="00D71099" w:rsidRDefault="00D71099" w:rsidP="0039734C">
      <w:r>
        <w:separator/>
      </w:r>
    </w:p>
  </w:footnote>
  <w:footnote w:type="continuationSeparator" w:id="0">
    <w:p w14:paraId="7D87D961" w14:textId="77777777" w:rsidR="00D71099" w:rsidRDefault="00D71099" w:rsidP="0039734C">
      <w:r>
        <w:continuationSeparator/>
      </w:r>
    </w:p>
  </w:footnote>
  <w:footnote w:type="continuationNotice" w:id="1">
    <w:p w14:paraId="4D5B5AE6" w14:textId="77777777" w:rsidR="00D71099" w:rsidRDefault="00D71099"/>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D66000A"/>
    <w:multiLevelType w:val="multilevel"/>
    <w:tmpl w:val="FA7E3890"/>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0406950"/>
    <w:multiLevelType w:val="hybridMultilevel"/>
    <w:tmpl w:val="E72E582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8"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5"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4" w15:restartNumberingAfterBreak="0">
    <w:nsid w:val="59196266"/>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6"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077704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61247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70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18330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1972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9956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5122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99858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436161">
    <w:abstractNumId w:val="51"/>
  </w:num>
  <w:num w:numId="15" w16cid:durableId="897516449">
    <w:abstractNumId w:val="35"/>
  </w:num>
  <w:num w:numId="16" w16cid:durableId="2054190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980782">
    <w:abstractNumId w:val="18"/>
  </w:num>
  <w:num w:numId="18" w16cid:durableId="9888973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4568451">
    <w:abstractNumId w:val="47"/>
  </w:num>
  <w:num w:numId="20" w16cid:durableId="1574584242">
    <w:abstractNumId w:val="3"/>
  </w:num>
  <w:num w:numId="21" w16cid:durableId="14764127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005857">
    <w:abstractNumId w:val="28"/>
  </w:num>
  <w:num w:numId="23" w16cid:durableId="751659060">
    <w:abstractNumId w:val="24"/>
  </w:num>
  <w:num w:numId="24" w16cid:durableId="1169519712">
    <w:abstractNumId w:val="23"/>
  </w:num>
  <w:num w:numId="25" w16cid:durableId="1123963606">
    <w:abstractNumId w:val="50"/>
  </w:num>
  <w:num w:numId="26" w16cid:durableId="1266499058">
    <w:abstractNumId w:val="40"/>
  </w:num>
  <w:num w:numId="27" w16cid:durableId="1351491130">
    <w:abstractNumId w:val="22"/>
  </w:num>
  <w:num w:numId="28" w16cid:durableId="1599562412">
    <w:abstractNumId w:val="54"/>
  </w:num>
  <w:num w:numId="29" w16cid:durableId="812983442">
    <w:abstractNumId w:val="59"/>
  </w:num>
  <w:num w:numId="30" w16cid:durableId="898857732">
    <w:abstractNumId w:val="8"/>
  </w:num>
  <w:num w:numId="31" w16cid:durableId="1448966595">
    <w:abstractNumId w:val="18"/>
  </w:num>
  <w:num w:numId="32" w16cid:durableId="686561718">
    <w:abstractNumId w:val="71"/>
  </w:num>
  <w:num w:numId="33" w16cid:durableId="1484657684">
    <w:abstractNumId w:val="0"/>
  </w:num>
  <w:num w:numId="34" w16cid:durableId="1372732033">
    <w:abstractNumId w:val="60"/>
  </w:num>
  <w:num w:numId="35" w16cid:durableId="445000799">
    <w:abstractNumId w:val="72"/>
  </w:num>
  <w:num w:numId="36" w16cid:durableId="52506599">
    <w:abstractNumId w:val="27"/>
  </w:num>
  <w:num w:numId="37" w16cid:durableId="1832914739">
    <w:abstractNumId w:val="61"/>
  </w:num>
  <w:num w:numId="38" w16cid:durableId="830026875">
    <w:abstractNumId w:val="12"/>
  </w:num>
  <w:num w:numId="39" w16cid:durableId="449203362">
    <w:abstractNumId w:val="30"/>
  </w:num>
  <w:num w:numId="40" w16cid:durableId="1744133592">
    <w:abstractNumId w:val="43"/>
  </w:num>
  <w:num w:numId="41" w16cid:durableId="888613756">
    <w:abstractNumId w:val="38"/>
  </w:num>
  <w:num w:numId="42" w16cid:durableId="906381961">
    <w:abstractNumId w:val="57"/>
  </w:num>
  <w:num w:numId="43" w16cid:durableId="1234197614">
    <w:abstractNumId w:val="41"/>
  </w:num>
  <w:num w:numId="44" w16cid:durableId="1806967602">
    <w:abstractNumId w:val="58"/>
  </w:num>
  <w:num w:numId="45" w16cid:durableId="569194841">
    <w:abstractNumId w:val="29"/>
  </w:num>
  <w:num w:numId="46" w16cid:durableId="1185751051">
    <w:abstractNumId w:val="55"/>
  </w:num>
  <w:num w:numId="47" w16cid:durableId="1066339619">
    <w:abstractNumId w:val="1"/>
  </w:num>
  <w:num w:numId="48" w16cid:durableId="1077555111">
    <w:abstractNumId w:val="49"/>
  </w:num>
  <w:num w:numId="49" w16cid:durableId="429007635">
    <w:abstractNumId w:val="48"/>
  </w:num>
  <w:num w:numId="50" w16cid:durableId="1797404513">
    <w:abstractNumId w:val="42"/>
  </w:num>
  <w:num w:numId="51" w16cid:durableId="1510828558">
    <w:abstractNumId w:val="70"/>
  </w:num>
  <w:num w:numId="52" w16cid:durableId="59639903">
    <w:abstractNumId w:val="20"/>
  </w:num>
  <w:num w:numId="53" w16cid:durableId="9362110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94140294">
    <w:abstractNumId w:val="9"/>
  </w:num>
  <w:num w:numId="55" w16cid:durableId="1601329306">
    <w:abstractNumId w:val="65"/>
  </w:num>
  <w:num w:numId="56" w16cid:durableId="1408646298">
    <w:abstractNumId w:val="45"/>
  </w:num>
  <w:num w:numId="57" w16cid:durableId="887717110">
    <w:abstractNumId w:val="67"/>
  </w:num>
  <w:num w:numId="58" w16cid:durableId="1255944553">
    <w:abstractNumId w:val="37"/>
  </w:num>
  <w:num w:numId="59" w16cid:durableId="1807548908">
    <w:abstractNumId w:val="39"/>
  </w:num>
  <w:num w:numId="60" w16cid:durableId="541212740">
    <w:abstractNumId w:val="34"/>
  </w:num>
  <w:num w:numId="61" w16cid:durableId="1722361756">
    <w:abstractNumId w:val="10"/>
  </w:num>
  <w:num w:numId="62" w16cid:durableId="878130483">
    <w:abstractNumId w:val="44"/>
  </w:num>
  <w:num w:numId="63" w16cid:durableId="1938757602">
    <w:abstractNumId w:val="52"/>
  </w:num>
  <w:num w:numId="64" w16cid:durableId="1916167311">
    <w:abstractNumId w:val="62"/>
  </w:num>
  <w:num w:numId="65" w16cid:durableId="526024565">
    <w:abstractNumId w:val="13"/>
  </w:num>
  <w:num w:numId="66" w16cid:durableId="1770806823">
    <w:abstractNumId w:val="19"/>
  </w:num>
  <w:num w:numId="67" w16cid:durableId="1409619397">
    <w:abstractNumId w:val="32"/>
  </w:num>
  <w:num w:numId="68" w16cid:durableId="12581727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8934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39301374">
    <w:abstractNumId w:val="21"/>
  </w:num>
  <w:num w:numId="71" w16cid:durableId="1917399498">
    <w:abstractNumId w:val="5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08558862">
    <w:abstractNumId w:val="2"/>
  </w:num>
  <w:num w:numId="73" w16cid:durableId="1963657761">
    <w:abstractNumId w:val="4"/>
  </w:num>
  <w:num w:numId="74" w16cid:durableId="12956039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0840499">
    <w:abstractNumId w:val="1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51024049">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F0963"/>
    <w:rsid w:val="001F6457"/>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024"/>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D369C"/>
    <w:rsid w:val="007E0F8F"/>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977BC"/>
    <w:rsid w:val="00AA0035"/>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17EC"/>
    <w:rsid w:val="00D622AE"/>
    <w:rsid w:val="00D673F3"/>
    <w:rsid w:val="00D67A26"/>
    <w:rsid w:val="00D707CD"/>
    <w:rsid w:val="00D71099"/>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11651</Words>
  <Characters>69910</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Czajkowski Daniel</cp:lastModifiedBy>
  <cp:revision>2</cp:revision>
  <cp:lastPrinted>2024-08-08T09:48:00Z</cp:lastPrinted>
  <dcterms:created xsi:type="dcterms:W3CDTF">2024-09-16T08:20:00Z</dcterms:created>
  <dcterms:modified xsi:type="dcterms:W3CDTF">2024-09-16T08:20:00Z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