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7E3AD" w14:textId="77777777" w:rsidR="00EA3FBD" w:rsidRPr="007B2AB1" w:rsidRDefault="00EA3FBD" w:rsidP="008037E3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63CD4D13" w14:textId="07746E77" w:rsidR="007B2AB1" w:rsidRPr="006237C9" w:rsidRDefault="00B55BF6" w:rsidP="00B55BF6">
      <w:pPr>
        <w:autoSpaceDE w:val="0"/>
        <w:autoSpaceDN w:val="0"/>
        <w:adjustRightInd w:val="0"/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Kosztorys Ofertowy</w:t>
      </w:r>
    </w:p>
    <w:p w14:paraId="5438949E" w14:textId="15FA17E8" w:rsidR="00A73252" w:rsidRPr="00F0055D" w:rsidRDefault="00A73252" w:rsidP="00A73252">
      <w:pPr>
        <w:ind w:left="862"/>
        <w:jc w:val="center"/>
        <w:rPr>
          <w:rFonts w:ascii="Arial" w:hAnsi="Arial" w:cs="Arial"/>
          <w:b/>
        </w:rPr>
      </w:pPr>
      <w:r w:rsidRPr="00F0055D">
        <w:rPr>
          <w:rFonts w:ascii="Arial" w:hAnsi="Arial" w:cs="Arial"/>
          <w:b/>
        </w:rPr>
        <w:t xml:space="preserve">Koszty branży </w:t>
      </w:r>
      <w:r w:rsidR="003E60CF">
        <w:rPr>
          <w:rFonts w:ascii="Arial" w:hAnsi="Arial" w:cs="Arial"/>
          <w:b/>
        </w:rPr>
        <w:t>nawierzchni i podtorza</w:t>
      </w:r>
    </w:p>
    <w:tbl>
      <w:tblPr>
        <w:tblW w:w="129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4553"/>
        <w:gridCol w:w="2000"/>
        <w:gridCol w:w="1380"/>
        <w:gridCol w:w="1960"/>
        <w:gridCol w:w="2467"/>
      </w:tblGrid>
      <w:tr w:rsidR="00A73252" w:rsidRPr="00F0055D" w14:paraId="0D721CD1" w14:textId="77777777" w:rsidTr="003E60CF">
        <w:trPr>
          <w:trHeight w:val="315"/>
          <w:jc w:val="center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8BCAD4" w14:textId="1BC754E4" w:rsidR="00A73252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L.p.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4654B" w14:textId="04F5EBCC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Opis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EEBFA" w14:textId="51230B80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J.m.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A7DE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Ilość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7C584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Cena jednostkowa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138F0" w14:textId="1D9ADAA3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Wartość</w:t>
            </w:r>
            <w:r>
              <w:rPr>
                <w:rFonts w:ascii="Arial" w:eastAsia="Times New Roman" w:hAnsi="Arial" w:cs="Arial"/>
                <w:color w:val="000000"/>
              </w:rPr>
              <w:t xml:space="preserve"> robót [zł] </w:t>
            </w:r>
          </w:p>
        </w:tc>
      </w:tr>
      <w:tr w:rsidR="00A73252" w:rsidRPr="00F0055D" w14:paraId="4A540128" w14:textId="77777777" w:rsidTr="006237C9">
        <w:trPr>
          <w:trHeight w:val="501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7CFC27" w14:textId="491064B4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8384B" w14:textId="750D9173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Przygotowanie dokumentacji</w:t>
            </w:r>
            <w:r w:rsidRPr="00F0055D">
              <w:rPr>
                <w:rFonts w:ascii="Arial" w:eastAsia="Times New Roman" w:hAnsi="Arial" w:cs="Arial"/>
                <w:color w:val="000000"/>
              </w:rPr>
              <w:t xml:space="preserve"> projektow</w:t>
            </w:r>
            <w:r>
              <w:rPr>
                <w:rFonts w:ascii="Arial" w:eastAsia="Times New Roman" w:hAnsi="Arial" w:cs="Arial"/>
                <w:color w:val="000000"/>
              </w:rPr>
              <w:t>ej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48231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6FD6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63D03" w14:textId="4401A1F5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F4E85" w14:textId="33439D98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73252" w:rsidRPr="00F0055D" w14:paraId="40F3FE61" w14:textId="77777777" w:rsidTr="006237C9">
        <w:trPr>
          <w:trHeight w:val="339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AE76C" w14:textId="14F417DF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4841" w14:textId="3DE220C9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Zabudowa rozjazdów - materiał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9AE98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BD3E9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FD718E" w14:textId="0E64083F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A1B3F" w14:textId="0DAF051E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73252" w:rsidRPr="00F0055D" w14:paraId="719CB31B" w14:textId="77777777" w:rsidTr="006237C9">
        <w:trPr>
          <w:trHeight w:val="417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D80DEF" w14:textId="73448E9D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29572" w14:textId="56BCDA12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Zabudowa rozjazdów - robocizna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C17D3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AB23A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E413DD" w14:textId="5D59F624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AF959" w14:textId="2E9D2324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73252" w:rsidRPr="00F0055D" w14:paraId="57428645" w14:textId="77777777" w:rsidTr="006237C9">
        <w:trPr>
          <w:trHeight w:val="411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1C352D" w14:textId="28201D9D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0029B" w14:textId="359B4265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Zabudowa wstawek torowych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0A815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D1B2E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085642" w14:textId="682D5F0E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1CB57" w14:textId="5F44A9A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73252" w:rsidRPr="00F0055D" w14:paraId="4DCED742" w14:textId="77777777" w:rsidTr="006237C9">
        <w:trPr>
          <w:trHeight w:val="263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9D6602" w14:textId="731CDE2F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5F1B7" w14:textId="6330E58C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 xml:space="preserve">Materiały nawierzchniowe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6BB7F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3AB95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1A7907" w14:textId="577A26A9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1D757" w14:textId="2FA491CD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73252" w:rsidRPr="00F0055D" w14:paraId="099BF09A" w14:textId="77777777" w:rsidTr="006237C9">
        <w:trPr>
          <w:trHeight w:val="398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90C0D7" w14:textId="35849C39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4D0BA" w14:textId="765F176A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Materiały podsypkowe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82992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</w:t>
            </w:r>
            <w:r w:rsidRPr="00FC185F"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F69C7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380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59E9C9" w14:textId="59C03CA8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6A8C79" w14:textId="0429FC49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73252" w:rsidRPr="00F0055D" w14:paraId="0FA6A677" w14:textId="77777777" w:rsidTr="006237C9">
        <w:trPr>
          <w:trHeight w:val="607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E0DB1C" w14:textId="3B6A06F5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9F3FA" w14:textId="7142D5B0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Podbicie rozjazdu podbijarką mechaniczną wraz z regulacją w planie i profilu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181DC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Jr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F85B2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D90763" w14:textId="47E6669C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D25F9" w14:textId="3EE3E574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73252" w:rsidRPr="00F0055D" w14:paraId="72D5C9C1" w14:textId="77777777" w:rsidTr="006237C9">
        <w:trPr>
          <w:trHeight w:val="801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42BD09" w14:textId="6D99AD15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CD104" w14:textId="57428462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Podbicie torów wraz ze strefami najazdowymi podbijarką mechaniczną wraz z regulacją w planie i profilu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B3942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Kmt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0524C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1,0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F205B9" w14:textId="0119443F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27B6D" w14:textId="6CFB55D9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73252" w:rsidRPr="00F0055D" w14:paraId="5283454A" w14:textId="77777777" w:rsidTr="006237C9">
        <w:trPr>
          <w:trHeight w:val="543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AAA769" w14:textId="3B91F4CB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9E40E" w14:textId="095AECE6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Wykonanie regulacji zamknięć nastawczych oraz stabilizatorów położenia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EB924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15B91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929A13" w14:textId="7AC4C240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DA0EB" w14:textId="415BD345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73252" w:rsidRPr="00F0055D" w14:paraId="4568BFC9" w14:textId="77777777" w:rsidTr="006237C9">
        <w:trPr>
          <w:trHeight w:val="405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E0A2B2" w14:textId="75AB55A2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613A2" w14:textId="3EE52FAD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Transport materiałów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BE8F9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557FE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5DACAE" w14:textId="7B7CE6C0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63700" w14:textId="762EC65D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73252" w:rsidRPr="00F0055D" w14:paraId="6DF05594" w14:textId="77777777" w:rsidTr="006237C9">
        <w:trPr>
          <w:trHeight w:val="480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1083E0" w14:textId="4848A26D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4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2521E" w14:textId="1ECE5DA8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Utylizacja odpadów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52968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Kpl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252D2" w14:textId="77777777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602C89" w14:textId="71B406CC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9737C" w14:textId="01AD5574" w:rsidR="00A73252" w:rsidRPr="00F0055D" w:rsidRDefault="00A73252" w:rsidP="000403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E65FCEC" w14:textId="77777777" w:rsidR="00A73252" w:rsidRDefault="00A73252" w:rsidP="003E60C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5A419E4" w14:textId="1077AD0A" w:rsidR="00A73252" w:rsidRPr="003E60CF" w:rsidRDefault="003E60CF" w:rsidP="003E60CF">
      <w:pPr>
        <w:ind w:left="862"/>
        <w:jc w:val="center"/>
        <w:rPr>
          <w:rFonts w:ascii="Arial" w:hAnsi="Arial" w:cs="Arial"/>
          <w:b/>
        </w:rPr>
      </w:pPr>
      <w:r w:rsidRPr="00F0055D">
        <w:rPr>
          <w:rFonts w:ascii="Arial" w:hAnsi="Arial" w:cs="Arial"/>
          <w:b/>
        </w:rPr>
        <w:t>Koszty branży</w:t>
      </w:r>
      <w:r>
        <w:rPr>
          <w:rFonts w:ascii="Arial" w:hAnsi="Arial" w:cs="Arial"/>
          <w:b/>
        </w:rPr>
        <w:t xml:space="preserve"> automatyki i </w:t>
      </w:r>
      <w:r w:rsidR="009B0362">
        <w:rPr>
          <w:rFonts w:ascii="Arial" w:hAnsi="Arial" w:cs="Arial"/>
          <w:b/>
        </w:rPr>
        <w:t>telekomunikacji</w:t>
      </w:r>
    </w:p>
    <w:tbl>
      <w:tblPr>
        <w:tblW w:w="129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"/>
        <w:gridCol w:w="4545"/>
        <w:gridCol w:w="2000"/>
        <w:gridCol w:w="1380"/>
        <w:gridCol w:w="1960"/>
        <w:gridCol w:w="2467"/>
      </w:tblGrid>
      <w:tr w:rsidR="003E60CF" w:rsidRPr="00F0055D" w14:paraId="49C01DB2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076748" w14:textId="23081A7B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L.p.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21750" w14:textId="08ECA7A5" w:rsidR="003E60CF" w:rsidRPr="00497C37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</w:rPr>
              <w:t>Opis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52FF4" w14:textId="79E818F0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J.m.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DD7FF4" w14:textId="5811B1A3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Ilość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828516" w14:textId="39D89D32" w:rsidR="003E60CF" w:rsidRPr="00497C37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Cena jednostkowa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887D7" w14:textId="46135EFB" w:rsidR="003E60CF" w:rsidRPr="00497C37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Wartość</w:t>
            </w:r>
            <w:r>
              <w:rPr>
                <w:rFonts w:ascii="Arial" w:eastAsia="Times New Roman" w:hAnsi="Arial" w:cs="Arial"/>
                <w:color w:val="000000"/>
              </w:rPr>
              <w:t xml:space="preserve"> robót [zł] </w:t>
            </w:r>
          </w:p>
        </w:tc>
      </w:tr>
      <w:tr w:rsidR="003E60CF" w:rsidRPr="00F0055D" w14:paraId="1A68DC57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E3F3BA" w14:textId="54729B67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9F9D0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97C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Rozbudowa zasilania do urządzeń </w:t>
            </w:r>
            <w:proofErr w:type="spellStart"/>
            <w:r w:rsidRPr="00497C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srk</w:t>
            </w:r>
            <w:proofErr w:type="spellEnd"/>
            <w:r w:rsidRPr="00497C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dla potrzeb dodatkowych napędów i sygnalizatorów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C19932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1EFDF1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00B3E2" w14:textId="71E5F2C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1BAD1" w14:textId="26D91ACD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E60CF" w:rsidRPr="00F0055D" w14:paraId="3E12D31C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D9A51C" w14:textId="35701B3B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00329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97C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Rozbudowa systemu licznika osi - dobudowa dodatkowych sekcji torowych i zwrotnicowych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A5E329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085643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E23549" w14:textId="0FF03546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0F68" w14:textId="1D9FA100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E60CF" w:rsidRPr="00F0055D" w14:paraId="6780B11A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39BA34" w14:textId="03FCDF9A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93F5A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97C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Rozbudowa urządzeń wewnętrznych komputerowych  MOR-3 na stacji Warszawa Centralna dla potrzeb sterowania dodatkowymi napędami; sygnalizatorami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F006E2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44E5DE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334059" w14:textId="4BD527AA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89A36" w14:textId="0D3881B8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E60CF" w:rsidRPr="00F0055D" w14:paraId="0C0E04AE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172815" w14:textId="7B63F0ED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98E36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97C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Dostawa i zabudowa nowych napędów elektrycznych zwrotnicowych wraz z mocowaniami (4 napędy zwrotnicowe)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818CA0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CBC41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CED332" w14:textId="2B62CFEB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8E6E0" w14:textId="4B5F8AF6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E60CF" w:rsidRPr="00F0055D" w14:paraId="6DDED105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D650DE" w14:textId="694B1BE4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E91D55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97C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Dostawa i zabudowa nowych sygnalizatorów świetlnych (semaforów, tarcz manewrowych, tarcz ostrzegawczych, wskaźniki) wraz z podstawami.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1700B2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829D0E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D00D9B" w14:textId="0E3CEE0C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6E654" w14:textId="08CF27F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E60CF" w:rsidRPr="00F0055D" w14:paraId="5293B84C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05A8FA" w14:textId="3EBEFEFC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0318C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97C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Wykonanie okablowania dodatkowych urządzeń zewnętrznych (sygnalizatory świetlne, napędy elektryczny zwrotnicowe, system kontroli </w:t>
            </w:r>
            <w:proofErr w:type="spellStart"/>
            <w:r w:rsidRPr="00497C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niezajętości</w:t>
            </w:r>
            <w:proofErr w:type="spellEnd"/>
            <w:r w:rsidRPr="00497C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torów  i rozjazdów), rozbudowa szaf kablowych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E9A093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C203A3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12750F" w14:textId="54A3A436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1890E" w14:textId="5285087E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F70A888" w14:textId="77777777" w:rsidR="00A73252" w:rsidRDefault="00A73252" w:rsidP="007B2A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D3A922" w14:textId="04F3EBE0" w:rsidR="00A73252" w:rsidRPr="003E60CF" w:rsidRDefault="003E60CF" w:rsidP="003E60CF">
      <w:pPr>
        <w:ind w:left="862"/>
        <w:jc w:val="center"/>
        <w:rPr>
          <w:rFonts w:ascii="Arial" w:hAnsi="Arial" w:cs="Arial"/>
          <w:b/>
        </w:rPr>
      </w:pPr>
      <w:r w:rsidRPr="00F0055D">
        <w:rPr>
          <w:rFonts w:ascii="Arial" w:hAnsi="Arial" w:cs="Arial"/>
          <w:b/>
        </w:rPr>
        <w:t>Koszty branży</w:t>
      </w:r>
      <w:r>
        <w:rPr>
          <w:rFonts w:ascii="Arial" w:hAnsi="Arial" w:cs="Arial"/>
          <w:b/>
        </w:rPr>
        <w:t xml:space="preserve"> energetyki</w:t>
      </w:r>
    </w:p>
    <w:tbl>
      <w:tblPr>
        <w:tblW w:w="129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"/>
        <w:gridCol w:w="4545"/>
        <w:gridCol w:w="2000"/>
        <w:gridCol w:w="1380"/>
        <w:gridCol w:w="1960"/>
        <w:gridCol w:w="2467"/>
      </w:tblGrid>
      <w:tr w:rsidR="003E60CF" w:rsidRPr="00F0055D" w14:paraId="5F8F3C4D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DA5CC3" w14:textId="47B7BFE1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L.p.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6414" w14:textId="6F48FB51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Opis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7D38CB" w14:textId="5DDE57CC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J.m.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F8A24F" w14:textId="35DB133D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Ilość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776D03" w14:textId="307DD4BE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Cena jednostkowa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E14C3" w14:textId="66573EBC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Wartość</w:t>
            </w:r>
            <w:r>
              <w:rPr>
                <w:rFonts w:ascii="Arial" w:eastAsia="Times New Roman" w:hAnsi="Arial" w:cs="Arial"/>
                <w:color w:val="000000"/>
              </w:rPr>
              <w:t xml:space="preserve"> robót [zł] </w:t>
            </w:r>
          </w:p>
        </w:tc>
      </w:tr>
      <w:tr w:rsidR="003E60CF" w:rsidRPr="00F0055D" w14:paraId="50FAD516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BF9DD" w14:textId="5ECB8F88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D8195" w14:textId="77777777" w:rsidR="003E60CF" w:rsidRPr="00F0055D" w:rsidRDefault="003E60CF" w:rsidP="006D00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>Wykonanie dokumentacji technicznej branża energetyczna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70F2FD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26C727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B2E495" w14:textId="59F493D0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7F18E" w14:textId="39E9D09B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E60CF" w:rsidRPr="00F0055D" w14:paraId="516CABAB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CD9A8A" w14:textId="6CDDBC67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E690B" w14:textId="77777777" w:rsidR="003E60CF" w:rsidRPr="00F0055D" w:rsidRDefault="003E60CF" w:rsidP="006D00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 xml:space="preserve">Zabudowa sieci trakcyjnej typu C95-C z zastosowaniem drutu jezdnego z miedzi srebrowej nad przejściami rozjazdowymi  (trapez) z uwzględnieniem rozwiązań (materiałów) niestandardowych (niedostępnych na rynku) wykonywanych według indywidualnego zamówienia. Dla każdego przejścia rozjazdowego odrębne odcinki naprężenia. Zabudowa kotwień bez ciężarowych.  Dostosowanie i </w:t>
            </w: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profilacja</w:t>
            </w:r>
            <w:proofErr w:type="spellEnd"/>
            <w:r w:rsidRPr="00F0055D">
              <w:rPr>
                <w:rFonts w:ascii="Arial" w:eastAsia="Times New Roman" w:hAnsi="Arial" w:cs="Arial"/>
                <w:color w:val="000000"/>
              </w:rPr>
              <w:t xml:space="preserve"> sieci trakcyjnej  istniejącej torów 1 i 2. Włączenie podwieszeń sieci trakcyjnej do istniejącego </w:t>
            </w:r>
            <w:r w:rsidRPr="00F0055D">
              <w:rPr>
                <w:rFonts w:ascii="Arial" w:eastAsia="Times New Roman" w:hAnsi="Arial" w:cs="Arial"/>
                <w:color w:val="000000"/>
              </w:rPr>
              <w:lastRenderedPageBreak/>
              <w:t xml:space="preserve">systemu </w:t>
            </w: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uszynienia</w:t>
            </w:r>
            <w:proofErr w:type="spellEnd"/>
            <w:r w:rsidRPr="00F0055D">
              <w:rPr>
                <w:rFonts w:ascii="Arial" w:eastAsia="Times New Roman" w:hAnsi="Arial" w:cs="Arial"/>
                <w:color w:val="000000"/>
              </w:rPr>
              <w:t xml:space="preserve">. W obszarze odcinków naprężenia sieci trakcyjnej przejść rozjazdowych (trapez)  wymiana izolatorów </w:t>
            </w: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podwieszeniowych</w:t>
            </w:r>
            <w:proofErr w:type="spellEnd"/>
            <w:r w:rsidRPr="00F0055D">
              <w:rPr>
                <w:rFonts w:ascii="Arial" w:eastAsia="Times New Roman" w:hAnsi="Arial" w:cs="Arial"/>
                <w:color w:val="000000"/>
              </w:rPr>
              <w:t xml:space="preserve"> z ceramicznych na kompozytowe dla podwieszeń sieci trakcyjnej toru 1 i 2.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00745B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JD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7CAB17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BC57A4" w14:textId="5FCE3348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AF097" w14:textId="197605EE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E60CF" w:rsidRPr="00F0055D" w14:paraId="3E9F3449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029EA7" w14:textId="1CF78A09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D5D35" w14:textId="77777777" w:rsidR="003E60CF" w:rsidRPr="00F0055D" w:rsidRDefault="003E60CF" w:rsidP="006D00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 xml:space="preserve">Koszty </w:t>
            </w:r>
            <w:proofErr w:type="spellStart"/>
            <w:r w:rsidRPr="00F0055D">
              <w:rPr>
                <w:rFonts w:ascii="Arial" w:eastAsia="Times New Roman" w:hAnsi="Arial" w:cs="Arial"/>
                <w:color w:val="000000"/>
              </w:rPr>
              <w:t>wyłączeń</w:t>
            </w:r>
            <w:proofErr w:type="spellEnd"/>
            <w:r w:rsidRPr="00F0055D">
              <w:rPr>
                <w:rFonts w:ascii="Arial" w:eastAsia="Times New Roman" w:hAnsi="Arial" w:cs="Arial"/>
                <w:color w:val="000000"/>
              </w:rPr>
              <w:t xml:space="preserve"> napięcia , nadzorów , regulaminów  PGE Energetyka Kolejowa dla zakresu robót wielobranżowych.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DB3B7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2437E5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0F972" w14:textId="786294F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E7F88" w14:textId="0492375D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E60CF" w:rsidRPr="00F0055D" w14:paraId="2781A61A" w14:textId="77777777" w:rsidTr="003E60CF">
        <w:trPr>
          <w:trHeight w:val="480"/>
          <w:jc w:val="center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A5B0FA" w14:textId="16AC4620" w:rsidR="003E60CF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836C90" w14:textId="13048492" w:rsidR="003E60CF" w:rsidRPr="00F0055D" w:rsidRDefault="003E60CF" w:rsidP="006D00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055D">
              <w:rPr>
                <w:rFonts w:ascii="Arial" w:eastAsia="Times New Roman" w:hAnsi="Arial" w:cs="Arial"/>
                <w:color w:val="000000"/>
              </w:rPr>
              <w:t xml:space="preserve">Wykonanie izolacji </w:t>
            </w:r>
            <w:r>
              <w:rPr>
                <w:rFonts w:ascii="Arial" w:eastAsia="Times New Roman" w:hAnsi="Arial" w:cs="Arial"/>
                <w:color w:val="000000"/>
              </w:rPr>
              <w:t xml:space="preserve">tj. warstwy </w:t>
            </w:r>
            <w:r w:rsidRPr="00F0055D">
              <w:rPr>
                <w:rFonts w:ascii="Arial" w:eastAsia="Times New Roman" w:hAnsi="Arial" w:cs="Arial"/>
                <w:color w:val="000000"/>
              </w:rPr>
              <w:t xml:space="preserve">dielektrycznej stropu w obszarze sieci trakcyjnej  (w przypadku ,gdy elementy sieci trakcyjnej będące po napięciem będą mogły zbliżyć się do elementów stropu na odległość mniejszą niż </w:t>
            </w:r>
            <w:r>
              <w:rPr>
                <w:rFonts w:ascii="Arial" w:eastAsia="Times New Roman" w:hAnsi="Arial" w:cs="Arial"/>
                <w:color w:val="000000"/>
              </w:rPr>
              <w:t>przepisowa)</w:t>
            </w:r>
            <w:r w:rsidRPr="00F0055D">
              <w:rPr>
                <w:rFonts w:ascii="Arial" w:eastAsia="Times New Roman" w:hAnsi="Arial" w:cs="Arial"/>
                <w:color w:val="000000"/>
              </w:rPr>
              <w:t>. Gdyby zaszła taka konieczność) nałożenie warstwy dielektrycznej na elementy stropu.</w:t>
            </w:r>
            <w:r w:rsidRPr="00F0055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Zakres określi projektant na chwilę obecną brak możliwości określenia.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8D95A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75A71" w14:textId="77777777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85678E" w14:textId="22FBFC30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2AFDE" w14:textId="78F9D20C" w:rsidR="003E60CF" w:rsidRPr="00F0055D" w:rsidRDefault="003E60CF" w:rsidP="003E60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29F2784D" w14:textId="77777777" w:rsidR="00A73252" w:rsidRDefault="00A73252" w:rsidP="007B2A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B514E7A" w14:textId="77777777" w:rsidR="006D0092" w:rsidRPr="007B2AB1" w:rsidRDefault="006D0092" w:rsidP="007B2A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346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2551"/>
        <w:gridCol w:w="2552"/>
      </w:tblGrid>
      <w:tr w:rsidR="00ED145B" w:rsidRPr="007B2AB1" w14:paraId="18AB37E9" w14:textId="77777777" w:rsidTr="00ED145B">
        <w:trPr>
          <w:gridBefore w:val="1"/>
          <w:wBefore w:w="8364" w:type="dxa"/>
          <w:trHeight w:val="85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DDD2" w14:textId="675117D8" w:rsidR="00ED145B" w:rsidRPr="00ED145B" w:rsidRDefault="00ED145B" w:rsidP="00ED145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Wartość robót w zł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858C" w14:textId="2D0CB69A" w:rsidR="00ED145B" w:rsidRDefault="00ED145B" w:rsidP="00ED145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Wartość robót w euro</w:t>
            </w:r>
          </w:p>
        </w:tc>
      </w:tr>
      <w:tr w:rsidR="00EA3FBD" w:rsidRPr="007B2AB1" w14:paraId="36467735" w14:textId="77777777" w:rsidTr="00ED145B">
        <w:trPr>
          <w:trHeight w:val="85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C799A" w14:textId="77777777" w:rsidR="00135A18" w:rsidRPr="007B2AB1" w:rsidRDefault="00135A18" w:rsidP="00135A18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D125F2A" w14:textId="468B5C17" w:rsidR="00EA3FBD" w:rsidRPr="00ED145B" w:rsidRDefault="00020E87" w:rsidP="00020E87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ED145B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Ogólna wartość </w:t>
            </w:r>
            <w:r w:rsidR="00ED145B" w:rsidRPr="00ED145B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dla całego zakresu </w:t>
            </w:r>
            <w:r w:rsidRPr="00ED145B">
              <w:rPr>
                <w:rFonts w:ascii="Arial" w:hAnsi="Arial" w:cs="Arial"/>
                <w:b/>
                <w:bCs/>
                <w:i/>
                <w:iCs/>
                <w:color w:val="000000"/>
              </w:rPr>
              <w:t>robót</w:t>
            </w:r>
          </w:p>
          <w:p w14:paraId="012FB4C4" w14:textId="77777777" w:rsidR="000A05D5" w:rsidRPr="007B2AB1" w:rsidRDefault="000A05D5" w:rsidP="000A05D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6CF1" w14:textId="38069195" w:rsidR="00EA3FBD" w:rsidRPr="00ED145B" w:rsidRDefault="00EA3FBD" w:rsidP="00EA59B7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13B3" w14:textId="53E8FC7D" w:rsidR="00EA3FBD" w:rsidRPr="00ED145B" w:rsidRDefault="00EA3FBD" w:rsidP="00EA59B7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</w:tr>
    </w:tbl>
    <w:p w14:paraId="72D654F6" w14:textId="77777777" w:rsidR="00E54532" w:rsidRDefault="00410CD2" w:rsidP="00636DF9">
      <w:pPr>
        <w:spacing w:before="120" w:after="120"/>
        <w:jc w:val="both"/>
        <w:rPr>
          <w:rFonts w:ascii="Arial" w:hAnsi="Arial" w:cs="Arial"/>
          <w:sz w:val="18"/>
        </w:rPr>
      </w:pPr>
      <w:r w:rsidRPr="00AE1E09">
        <w:rPr>
          <w:rFonts w:ascii="Arial" w:hAnsi="Arial" w:cs="Arial"/>
          <w:sz w:val="18"/>
        </w:rPr>
        <w:t>Uwaga:</w:t>
      </w:r>
      <w:r w:rsidR="00591EC2">
        <w:rPr>
          <w:rFonts w:ascii="Arial" w:hAnsi="Arial" w:cs="Arial"/>
          <w:sz w:val="18"/>
        </w:rPr>
        <w:t xml:space="preserve"> </w:t>
      </w:r>
    </w:p>
    <w:p w14:paraId="23864972" w14:textId="7543F166" w:rsidR="00E54532" w:rsidRPr="00EA3FBD" w:rsidRDefault="00636DF9" w:rsidP="00EA3FB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*</w:t>
      </w:r>
      <w:r w:rsidR="00EA3FBD" w:rsidRPr="00EA3FBD">
        <w:rPr>
          <w:rFonts w:ascii="Arial" w:hAnsi="Arial" w:cs="Arial"/>
          <w:sz w:val="18"/>
          <w:szCs w:val="18"/>
        </w:rPr>
        <w:t xml:space="preserve"> </w:t>
      </w:r>
      <w:r w:rsidR="00EA3FBD" w:rsidRPr="007C5317">
        <w:rPr>
          <w:szCs w:val="16"/>
          <w:vertAlign w:val="superscript"/>
        </w:rPr>
        <w:t>Aktualny kurs euro w stosunku do złotego służący ustalaniu wartości zamówienia</w:t>
      </w:r>
      <w:r w:rsidR="00EA3FBD">
        <w:rPr>
          <w:szCs w:val="16"/>
          <w:vertAlign w:val="superscript"/>
        </w:rPr>
        <w:t xml:space="preserve"> w 202</w:t>
      </w:r>
      <w:r w:rsidR="00DE125C">
        <w:rPr>
          <w:szCs w:val="16"/>
          <w:vertAlign w:val="superscript"/>
        </w:rPr>
        <w:t>5</w:t>
      </w:r>
      <w:r w:rsidR="00EA3FBD">
        <w:rPr>
          <w:szCs w:val="16"/>
          <w:vertAlign w:val="superscript"/>
        </w:rPr>
        <w:t xml:space="preserve"> r. został określony w Obwieszczeniu</w:t>
      </w:r>
      <w:r w:rsidR="00EA3FBD" w:rsidRPr="007C5317">
        <w:rPr>
          <w:szCs w:val="16"/>
          <w:vertAlign w:val="superscript"/>
        </w:rPr>
        <w:t xml:space="preserve"> Prezesa Ur</w:t>
      </w:r>
      <w:r w:rsidR="00EA3FBD">
        <w:rPr>
          <w:szCs w:val="16"/>
          <w:vertAlign w:val="superscript"/>
        </w:rPr>
        <w:t>zędu Zamówień Publicznych wydanym</w:t>
      </w:r>
      <w:r w:rsidR="00EA3FBD" w:rsidRPr="007C5317">
        <w:rPr>
          <w:szCs w:val="16"/>
          <w:vertAlign w:val="superscript"/>
        </w:rPr>
        <w:t xml:space="preserve"> na podstawie art. 3 ust. </w:t>
      </w:r>
      <w:r w:rsidR="00EA3FBD">
        <w:rPr>
          <w:szCs w:val="16"/>
          <w:vertAlign w:val="superscript"/>
        </w:rPr>
        <w:t>3</w:t>
      </w:r>
      <w:r w:rsidR="00EA3FBD" w:rsidRPr="007C5317">
        <w:rPr>
          <w:szCs w:val="16"/>
          <w:vertAlign w:val="superscript"/>
        </w:rPr>
        <w:t xml:space="preserve"> PZP</w:t>
      </w:r>
      <w:r w:rsidR="00EA3FBD">
        <w:rPr>
          <w:szCs w:val="16"/>
          <w:vertAlign w:val="superscript"/>
        </w:rPr>
        <w:t xml:space="preserve"> i wynosi </w:t>
      </w:r>
      <w:r w:rsidR="00EA3FBD" w:rsidRPr="00106FBE">
        <w:rPr>
          <w:b/>
          <w:szCs w:val="16"/>
          <w:vertAlign w:val="superscript"/>
        </w:rPr>
        <w:t>4,</w:t>
      </w:r>
      <w:r w:rsidR="00EA3FBD">
        <w:rPr>
          <w:b/>
          <w:szCs w:val="16"/>
          <w:vertAlign w:val="superscript"/>
        </w:rPr>
        <w:t>6371.</w:t>
      </w:r>
      <w:r w:rsidR="00EA3FBD">
        <w:rPr>
          <w:szCs w:val="16"/>
          <w:vertAlign w:val="superscript"/>
        </w:rPr>
        <w:t xml:space="preserve">  </w:t>
      </w:r>
    </w:p>
    <w:sectPr w:rsidR="00E54532" w:rsidRPr="00EA3FBD" w:rsidSect="001666E3">
      <w:footerReference w:type="default" r:id="rId8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E867C" w14:textId="77777777" w:rsidR="005439CC" w:rsidRDefault="005439CC" w:rsidP="005D5AB4">
      <w:pPr>
        <w:spacing w:after="0" w:line="240" w:lineRule="auto"/>
      </w:pPr>
      <w:r>
        <w:separator/>
      </w:r>
    </w:p>
  </w:endnote>
  <w:endnote w:type="continuationSeparator" w:id="0">
    <w:p w14:paraId="1BF4A70A" w14:textId="77777777" w:rsidR="005439CC" w:rsidRDefault="005439CC" w:rsidP="005D5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C8D0" w14:textId="77777777" w:rsidR="000A05D5" w:rsidRDefault="000A05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B6F48" w14:textId="77777777" w:rsidR="005439CC" w:rsidRDefault="005439CC" w:rsidP="005D5AB4">
      <w:pPr>
        <w:spacing w:after="0" w:line="240" w:lineRule="auto"/>
      </w:pPr>
      <w:r>
        <w:separator/>
      </w:r>
    </w:p>
  </w:footnote>
  <w:footnote w:type="continuationSeparator" w:id="0">
    <w:p w14:paraId="36E8F965" w14:textId="77777777" w:rsidR="005439CC" w:rsidRDefault="005439CC" w:rsidP="005D5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4564"/>
    <w:multiLevelType w:val="hybridMultilevel"/>
    <w:tmpl w:val="CA8634B0"/>
    <w:lvl w:ilvl="0" w:tplc="01ECFC3A">
      <w:start w:val="1"/>
      <w:numFmt w:val="lowerLetter"/>
      <w:lvlText w:val="%1)"/>
      <w:lvlJc w:val="left"/>
      <w:pPr>
        <w:ind w:left="177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7695286"/>
    <w:multiLevelType w:val="hybridMultilevel"/>
    <w:tmpl w:val="F7A03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51244"/>
    <w:multiLevelType w:val="hybridMultilevel"/>
    <w:tmpl w:val="E1147388"/>
    <w:lvl w:ilvl="0" w:tplc="96746234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F4BC1"/>
    <w:multiLevelType w:val="hybridMultilevel"/>
    <w:tmpl w:val="69685228"/>
    <w:lvl w:ilvl="0" w:tplc="16ECD08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EA17D1"/>
    <w:multiLevelType w:val="multilevel"/>
    <w:tmpl w:val="941EC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color w:val="000000"/>
        <w:sz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Times New Roman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Times New Roman" w:hint="default"/>
        <w:color w:val="000000"/>
        <w:sz w:val="20"/>
      </w:rPr>
    </w:lvl>
  </w:abstractNum>
  <w:num w:numId="1" w16cid:durableId="289364892">
    <w:abstractNumId w:val="4"/>
  </w:num>
  <w:num w:numId="2" w16cid:durableId="1381980844">
    <w:abstractNumId w:val="2"/>
  </w:num>
  <w:num w:numId="3" w16cid:durableId="1568616062">
    <w:abstractNumId w:val="3"/>
  </w:num>
  <w:num w:numId="4" w16cid:durableId="472141966">
    <w:abstractNumId w:val="0"/>
  </w:num>
  <w:num w:numId="5" w16cid:durableId="311252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EDF"/>
    <w:rsid w:val="000032FD"/>
    <w:rsid w:val="000100AD"/>
    <w:rsid w:val="00020E87"/>
    <w:rsid w:val="000369B3"/>
    <w:rsid w:val="00041478"/>
    <w:rsid w:val="0005429B"/>
    <w:rsid w:val="000812CA"/>
    <w:rsid w:val="000A05D5"/>
    <w:rsid w:val="000A06E6"/>
    <w:rsid w:val="000B0B26"/>
    <w:rsid w:val="000B5374"/>
    <w:rsid w:val="000E55F1"/>
    <w:rsid w:val="000F5750"/>
    <w:rsid w:val="00112355"/>
    <w:rsid w:val="00114F06"/>
    <w:rsid w:val="00135A18"/>
    <w:rsid w:val="001457FB"/>
    <w:rsid w:val="00155AE3"/>
    <w:rsid w:val="00165EB2"/>
    <w:rsid w:val="001666E3"/>
    <w:rsid w:val="001710C0"/>
    <w:rsid w:val="00186D76"/>
    <w:rsid w:val="00197D4D"/>
    <w:rsid w:val="001A648A"/>
    <w:rsid w:val="001C18AD"/>
    <w:rsid w:val="001C7453"/>
    <w:rsid w:val="001E346B"/>
    <w:rsid w:val="001E538F"/>
    <w:rsid w:val="001F0348"/>
    <w:rsid w:val="00202ED2"/>
    <w:rsid w:val="00207D65"/>
    <w:rsid w:val="0021716F"/>
    <w:rsid w:val="00230BB8"/>
    <w:rsid w:val="002334F5"/>
    <w:rsid w:val="0023471C"/>
    <w:rsid w:val="00237F4B"/>
    <w:rsid w:val="002719B0"/>
    <w:rsid w:val="00273CC1"/>
    <w:rsid w:val="00292AD9"/>
    <w:rsid w:val="00297A39"/>
    <w:rsid w:val="002A79EF"/>
    <w:rsid w:val="002D43C5"/>
    <w:rsid w:val="00301E16"/>
    <w:rsid w:val="00307EB3"/>
    <w:rsid w:val="003124E0"/>
    <w:rsid w:val="00316666"/>
    <w:rsid w:val="00325E50"/>
    <w:rsid w:val="00330F92"/>
    <w:rsid w:val="00332FE9"/>
    <w:rsid w:val="00345420"/>
    <w:rsid w:val="003677D3"/>
    <w:rsid w:val="00367910"/>
    <w:rsid w:val="003727A2"/>
    <w:rsid w:val="00374969"/>
    <w:rsid w:val="00396971"/>
    <w:rsid w:val="003A1BB3"/>
    <w:rsid w:val="003A26BD"/>
    <w:rsid w:val="003A362A"/>
    <w:rsid w:val="003C2092"/>
    <w:rsid w:val="003D4015"/>
    <w:rsid w:val="003E60CF"/>
    <w:rsid w:val="003F38C5"/>
    <w:rsid w:val="00410CD2"/>
    <w:rsid w:val="00411EAB"/>
    <w:rsid w:val="004219C8"/>
    <w:rsid w:val="00433280"/>
    <w:rsid w:val="00452FB0"/>
    <w:rsid w:val="00472604"/>
    <w:rsid w:val="0048095D"/>
    <w:rsid w:val="0048147B"/>
    <w:rsid w:val="004827E1"/>
    <w:rsid w:val="00490DBE"/>
    <w:rsid w:val="00495D11"/>
    <w:rsid w:val="004A5795"/>
    <w:rsid w:val="004B732F"/>
    <w:rsid w:val="004C5718"/>
    <w:rsid w:val="004D20CD"/>
    <w:rsid w:val="004E7F4C"/>
    <w:rsid w:val="004F429C"/>
    <w:rsid w:val="004F4E54"/>
    <w:rsid w:val="00542471"/>
    <w:rsid w:val="005439CC"/>
    <w:rsid w:val="00545FBF"/>
    <w:rsid w:val="0055315C"/>
    <w:rsid w:val="00567C54"/>
    <w:rsid w:val="00583602"/>
    <w:rsid w:val="005838A6"/>
    <w:rsid w:val="00591EC2"/>
    <w:rsid w:val="005B6872"/>
    <w:rsid w:val="005C6E15"/>
    <w:rsid w:val="005D5AB4"/>
    <w:rsid w:val="005D5E32"/>
    <w:rsid w:val="005E47B4"/>
    <w:rsid w:val="005F3621"/>
    <w:rsid w:val="005F5EDF"/>
    <w:rsid w:val="0060120E"/>
    <w:rsid w:val="00615B80"/>
    <w:rsid w:val="00620779"/>
    <w:rsid w:val="006237C9"/>
    <w:rsid w:val="00627990"/>
    <w:rsid w:val="00632143"/>
    <w:rsid w:val="006365BB"/>
    <w:rsid w:val="00636DF9"/>
    <w:rsid w:val="00657DD3"/>
    <w:rsid w:val="006755A0"/>
    <w:rsid w:val="00677791"/>
    <w:rsid w:val="00692699"/>
    <w:rsid w:val="006D0092"/>
    <w:rsid w:val="006D23B1"/>
    <w:rsid w:val="006F02C0"/>
    <w:rsid w:val="0070101E"/>
    <w:rsid w:val="00704659"/>
    <w:rsid w:val="00724D47"/>
    <w:rsid w:val="0072640A"/>
    <w:rsid w:val="00735D11"/>
    <w:rsid w:val="0075505D"/>
    <w:rsid w:val="00783DDE"/>
    <w:rsid w:val="007A3620"/>
    <w:rsid w:val="007B2AB1"/>
    <w:rsid w:val="007B7183"/>
    <w:rsid w:val="007F4460"/>
    <w:rsid w:val="008037E3"/>
    <w:rsid w:val="00803A69"/>
    <w:rsid w:val="00820316"/>
    <w:rsid w:val="00867A86"/>
    <w:rsid w:val="00881493"/>
    <w:rsid w:val="00887074"/>
    <w:rsid w:val="00894E28"/>
    <w:rsid w:val="008B0C8C"/>
    <w:rsid w:val="008C00DC"/>
    <w:rsid w:val="008C5E4F"/>
    <w:rsid w:val="008C79CA"/>
    <w:rsid w:val="009207A3"/>
    <w:rsid w:val="0092538F"/>
    <w:rsid w:val="009301E6"/>
    <w:rsid w:val="00960B9E"/>
    <w:rsid w:val="009B01E3"/>
    <w:rsid w:val="009B0362"/>
    <w:rsid w:val="009C2979"/>
    <w:rsid w:val="009D72FF"/>
    <w:rsid w:val="009D739D"/>
    <w:rsid w:val="009F6280"/>
    <w:rsid w:val="00A51C89"/>
    <w:rsid w:val="00A54A16"/>
    <w:rsid w:val="00A630E5"/>
    <w:rsid w:val="00A73252"/>
    <w:rsid w:val="00A74A84"/>
    <w:rsid w:val="00A8127E"/>
    <w:rsid w:val="00A83800"/>
    <w:rsid w:val="00AA698C"/>
    <w:rsid w:val="00AB4B2C"/>
    <w:rsid w:val="00AD21A2"/>
    <w:rsid w:val="00AE1E09"/>
    <w:rsid w:val="00B119C7"/>
    <w:rsid w:val="00B30982"/>
    <w:rsid w:val="00B55BF6"/>
    <w:rsid w:val="00B86B2F"/>
    <w:rsid w:val="00BA5BD2"/>
    <w:rsid w:val="00BC25E4"/>
    <w:rsid w:val="00BD45FD"/>
    <w:rsid w:val="00C01F09"/>
    <w:rsid w:val="00C04B92"/>
    <w:rsid w:val="00C27FF0"/>
    <w:rsid w:val="00C361F8"/>
    <w:rsid w:val="00C367C3"/>
    <w:rsid w:val="00C372C6"/>
    <w:rsid w:val="00C41F20"/>
    <w:rsid w:val="00C502F5"/>
    <w:rsid w:val="00C77DAE"/>
    <w:rsid w:val="00C8094A"/>
    <w:rsid w:val="00CA53B8"/>
    <w:rsid w:val="00CB189E"/>
    <w:rsid w:val="00CB2E3B"/>
    <w:rsid w:val="00CB59BC"/>
    <w:rsid w:val="00CC1DB8"/>
    <w:rsid w:val="00CC6D77"/>
    <w:rsid w:val="00CD39AD"/>
    <w:rsid w:val="00CD7282"/>
    <w:rsid w:val="00CE77A2"/>
    <w:rsid w:val="00CF10E3"/>
    <w:rsid w:val="00CF4E1E"/>
    <w:rsid w:val="00D26A6E"/>
    <w:rsid w:val="00D30907"/>
    <w:rsid w:val="00D329E3"/>
    <w:rsid w:val="00D5261C"/>
    <w:rsid w:val="00D61BE0"/>
    <w:rsid w:val="00D736DB"/>
    <w:rsid w:val="00D84B0F"/>
    <w:rsid w:val="00D87893"/>
    <w:rsid w:val="00D97116"/>
    <w:rsid w:val="00DB4393"/>
    <w:rsid w:val="00DE125C"/>
    <w:rsid w:val="00DE230D"/>
    <w:rsid w:val="00DE469C"/>
    <w:rsid w:val="00E05E5D"/>
    <w:rsid w:val="00E52496"/>
    <w:rsid w:val="00E54532"/>
    <w:rsid w:val="00E63D0B"/>
    <w:rsid w:val="00E750A8"/>
    <w:rsid w:val="00E81509"/>
    <w:rsid w:val="00E8332C"/>
    <w:rsid w:val="00E93896"/>
    <w:rsid w:val="00EA3FBD"/>
    <w:rsid w:val="00EA52B5"/>
    <w:rsid w:val="00EA59B7"/>
    <w:rsid w:val="00EB1F87"/>
    <w:rsid w:val="00EC3B60"/>
    <w:rsid w:val="00EC6AC3"/>
    <w:rsid w:val="00EC742C"/>
    <w:rsid w:val="00ED145B"/>
    <w:rsid w:val="00EF2F1E"/>
    <w:rsid w:val="00F1154F"/>
    <w:rsid w:val="00F25943"/>
    <w:rsid w:val="00F33BF1"/>
    <w:rsid w:val="00F40F73"/>
    <w:rsid w:val="00F53DFE"/>
    <w:rsid w:val="00F62517"/>
    <w:rsid w:val="00F71C70"/>
    <w:rsid w:val="00F7434C"/>
    <w:rsid w:val="00F75AE8"/>
    <w:rsid w:val="00F87D86"/>
    <w:rsid w:val="00F9299E"/>
    <w:rsid w:val="00FA3576"/>
    <w:rsid w:val="00FD542C"/>
    <w:rsid w:val="00FD544B"/>
    <w:rsid w:val="00FE3766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F0814"/>
  <w15:docId w15:val="{02ADE943-7CFB-4954-8736-C285647C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ED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3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6DB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5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5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57F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5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57FB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40F7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5A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5AB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AB4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A3FBD"/>
    <w:rPr>
      <w:rFonts w:ascii="Calibri" w:eastAsia="Calibri" w:hAnsi="Calibri" w:cs="Times New Roman"/>
    </w:rPr>
  </w:style>
  <w:style w:type="paragraph" w:customStyle="1" w:styleId="Akapit">
    <w:name w:val="Akapit"/>
    <w:basedOn w:val="Normalny"/>
    <w:link w:val="AkapitZnak"/>
    <w:qFormat/>
    <w:rsid w:val="000A05D5"/>
    <w:pPr>
      <w:widowControl w:val="0"/>
      <w:autoSpaceDE w:val="0"/>
      <w:autoSpaceDN w:val="0"/>
      <w:adjustRightInd w:val="0"/>
      <w:spacing w:before="120" w:after="120"/>
      <w:jc w:val="both"/>
    </w:pPr>
    <w:rPr>
      <w:rFonts w:ascii="Arial" w:eastAsia="Times New Roman" w:hAnsi="Arial" w:cs="Arial"/>
      <w:lang w:eastAsia="pl-PL"/>
    </w:rPr>
  </w:style>
  <w:style w:type="character" w:customStyle="1" w:styleId="AkapitZnak">
    <w:name w:val="Akapit Znak"/>
    <w:link w:val="Akapit"/>
    <w:rsid w:val="000A05D5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0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5D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0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5D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911A9-10A1-44BB-BE15-811B7BE0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Kupras Sławomir</dc:creator>
  <cp:lastModifiedBy>Parys Kinga</cp:lastModifiedBy>
  <cp:revision>76</cp:revision>
  <cp:lastPrinted>2025-04-09T06:54:00Z</cp:lastPrinted>
  <dcterms:created xsi:type="dcterms:W3CDTF">2019-10-04T12:54:00Z</dcterms:created>
  <dcterms:modified xsi:type="dcterms:W3CDTF">2025-05-21T10:13:00Z</dcterms:modified>
</cp:coreProperties>
</file>