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0F0DB411"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BaRNÓWKO 2</w:t>
      </w:r>
      <w:r w:rsidR="00E44C97">
        <w:rPr>
          <w:rFonts w:ascii="Arial" w:hAnsi="Arial" w:cs="Arial"/>
          <w:b/>
          <w:caps/>
          <w:sz w:val="28"/>
          <w:szCs w:val="28"/>
        </w:rPr>
        <w:t>4K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/ych</w:t>
      </w:r>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ą/ym</w:t>
      </w:r>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6349C223"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5C6FFB">
        <w:rPr>
          <w:rFonts w:ascii="Arial" w:hAnsi="Arial" w:cs="Arial"/>
          <w:b/>
          <w:color w:val="auto"/>
          <w:sz w:val="22"/>
          <w:szCs w:val="22"/>
        </w:rPr>
        <w:t>PDC</w:t>
      </w:r>
      <w:bookmarkStart w:id="0" w:name="_GoBack"/>
      <w:bookmarkEnd w:id="0"/>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w:t>
      </w:r>
      <w:r w:rsidR="00E44C97">
        <w:rPr>
          <w:rFonts w:ascii="Arial" w:hAnsi="Arial" w:cs="Arial"/>
          <w:b/>
          <w:color w:val="auto"/>
          <w:sz w:val="22"/>
          <w:szCs w:val="22"/>
        </w:rPr>
        <w:t>4</w:t>
      </w:r>
      <w:r w:rsidR="00E87245" w:rsidRPr="00E87245">
        <w:rPr>
          <w:rFonts w:ascii="Arial" w:hAnsi="Arial" w:cs="Arial"/>
          <w:b/>
          <w:color w:val="auto"/>
          <w:sz w:val="22"/>
          <w:szCs w:val="22"/>
        </w:rPr>
        <w:t>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z formułą DDP (Incoterms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w:t>
      </w:r>
      <w:r w:rsidRPr="00172975">
        <w:rPr>
          <w:rFonts w:ascii="Arial" w:hAnsi="Arial" w:cs="Arial"/>
          <w:sz w:val="22"/>
          <w:szCs w:val="22"/>
        </w:rPr>
        <w:lastRenderedPageBreak/>
        <w:t xml:space="preserve">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lastRenderedPageBreak/>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w tym </w:t>
      </w:r>
      <w:r w:rsidR="009E6434" w:rsidRPr="00172975">
        <w:rPr>
          <w:rFonts w:ascii="Arial" w:hAnsi="Arial" w:cs="Arial"/>
          <w:color w:val="auto"/>
          <w:sz w:val="22"/>
          <w:szCs w:val="22"/>
        </w:rPr>
        <w:lastRenderedPageBreak/>
        <w:t>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lastRenderedPageBreak/>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 xml:space="preserve">i całkowita odpowiedzialność każdej ze Stron Umowy ograniczona jest do szkody rzeczywistej (damnum emergens) i nie obejmuje utraconych korzyści (lucrum cessans).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lastRenderedPageBreak/>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lastRenderedPageBreak/>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lastRenderedPageBreak/>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w:t>
      </w:r>
      <w:r>
        <w:rPr>
          <w:rFonts w:ascii="Arial" w:hAnsi="Arial" w:cs="Arial"/>
          <w:sz w:val="22"/>
          <w:szCs w:val="22"/>
        </w:rPr>
        <w:lastRenderedPageBreak/>
        <w:t xml:space="preserve">(jeśli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 xml:space="preserve">jako osoby </w:t>
      </w:r>
      <w:r w:rsidRPr="00172975">
        <w:rPr>
          <w:rFonts w:ascii="Arial" w:hAnsi="Arial" w:cs="Arial"/>
          <w:color w:val="auto"/>
          <w:sz w:val="22"/>
          <w:szCs w:val="22"/>
        </w:rPr>
        <w:lastRenderedPageBreak/>
        <w:t>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lastRenderedPageBreak/>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lastRenderedPageBreak/>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lastRenderedPageBreak/>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w:t>
      </w:r>
      <w:r w:rsidRPr="003D66A5">
        <w:rPr>
          <w:rStyle w:val="Uwydatnienie"/>
          <w:rFonts w:ascii="Arial" w:hAnsi="Arial" w:cs="Arial"/>
          <w:i w:val="0"/>
          <w:sz w:val="22"/>
          <w:szCs w:val="22"/>
        </w:rPr>
        <w:lastRenderedPageBreak/>
        <w:t xml:space="preserve">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lastRenderedPageBreak/>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lastRenderedPageBreak/>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w:t>
      </w:r>
      <w:r w:rsidRPr="00FA7AC9">
        <w:rPr>
          <w:rFonts w:ascii="Arial" w:hAnsi="Arial" w:cs="Arial"/>
          <w:color w:val="auto"/>
          <w:sz w:val="22"/>
          <w:szCs w:val="22"/>
        </w:rPr>
        <w:lastRenderedPageBreak/>
        <w:t xml:space="preserve">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w:t>
      </w:r>
      <w:r w:rsidRPr="00E13450">
        <w:rPr>
          <w:rFonts w:ascii="Arial" w:eastAsia="Times New Roman" w:hAnsi="Arial" w:cs="Arial"/>
          <w:sz w:val="22"/>
          <w:szCs w:val="22"/>
        </w:rPr>
        <w:lastRenderedPageBreak/>
        <w:t>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r>
      <w:r w:rsidRPr="00E13450">
        <w:rPr>
          <w:rFonts w:ascii="Arial" w:hAnsi="Arial" w:cs="Arial"/>
          <w:szCs w:val="22"/>
        </w:rPr>
        <w:lastRenderedPageBreak/>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lastRenderedPageBreak/>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lastRenderedPageBreak/>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Upstream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4A14" w14:textId="77777777" w:rsidR="00E44C97" w:rsidRDefault="00E44C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06786B65"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2</w:t>
    </w:r>
    <w:r w:rsidR="00E44C97">
      <w:rPr>
        <w:rFonts w:ascii="Arial" w:hAnsi="Arial" w:cs="Arial"/>
        <w:sz w:val="18"/>
        <w:szCs w:val="18"/>
      </w:rPr>
      <w:t>4</w:t>
    </w:r>
    <w:r w:rsidR="00E87245">
      <w:rPr>
        <w:rFonts w:ascii="Arial" w:hAnsi="Arial" w:cs="Arial"/>
        <w:sz w:val="18"/>
        <w:szCs w:val="18"/>
      </w:rPr>
      <w:t>K</w:t>
    </w:r>
    <w:r>
      <w:rPr>
        <w:rFonts w:ascii="Arial" w:hAnsi="Arial" w:cs="Arial"/>
        <w:sz w:val="18"/>
        <w:szCs w:val="18"/>
      </w:rPr>
      <w:t>”</w:t>
    </w:r>
  </w:p>
  <w:p w14:paraId="0C27FF4E" w14:textId="0CB659A3" w:rsidR="003D66A5" w:rsidRPr="00DD1140" w:rsidRDefault="005C6FFB">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20</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DCFB" w14:textId="77777777" w:rsidR="00E44C97" w:rsidRDefault="00E44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7DA" w14:textId="77777777" w:rsidR="00E44C97" w:rsidRDefault="00E44C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6CB8" w14:textId="77777777" w:rsidR="00E44C97" w:rsidRDefault="00E44C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28DD" w14:textId="77777777" w:rsidR="00E44C97" w:rsidRDefault="00E4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C6FFB"/>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44C97"/>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F0CA8-4D46-4672-B0C2-7C4EC70CD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65215</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46</cp:revision>
  <cp:lastPrinted>2024-12-16T11:23:00Z</cp:lastPrinted>
  <dcterms:created xsi:type="dcterms:W3CDTF">2024-12-16T09:26:00Z</dcterms:created>
  <dcterms:modified xsi:type="dcterms:W3CDTF">2024-12-16T12:51:00Z</dcterms:modified>
</cp:coreProperties>
</file>