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bookmarkStart w:id="0" w:name="_GoBack"/>
      <w:bookmarkEnd w:id="0"/>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2F57533" w:rsidR="00F40506" w:rsidRDefault="00650149" w:rsidP="005E4CAF">
      <w:pPr>
        <w:spacing w:line="240"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5E4CAF" w:rsidRPr="005E4CAF">
        <w:rPr>
          <w:rFonts w:cs="Arial"/>
          <w:b/>
          <w:sz w:val="20"/>
          <w:szCs w:val="20"/>
        </w:rPr>
        <w:t>Zakup barytu w celu zabezpieczenie pod względem przeciwerupcyjnym realizowanych wierceń</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03DC3500"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5E4CAF" w:rsidRPr="005E4CAF">
        <w:rPr>
          <w:rFonts w:cs="Arial"/>
          <w:b/>
          <w:sz w:val="20"/>
          <w:szCs w:val="20"/>
        </w:rPr>
        <w:t>NP/ORLEN/25/0487/GE/DWR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063EB16"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8575DB">
        <w:rPr>
          <w:rFonts w:cs="Arial"/>
          <w:sz w:val="20"/>
          <w:szCs w:val="20"/>
        </w:rPr>
        <w:t>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5E4CAF" w:rsidRDefault="00AF5E90" w:rsidP="00AF5E90">
      <w:pPr>
        <w:ind w:left="432"/>
        <w:rPr>
          <w:rFonts w:cs="Arial"/>
          <w:sz w:val="20"/>
          <w:szCs w:val="20"/>
        </w:rPr>
      </w:pPr>
    </w:p>
    <w:p w14:paraId="3A1107A5" w14:textId="77777777" w:rsidR="00AF5E90" w:rsidRPr="005E4CAF" w:rsidRDefault="00AF5E90" w:rsidP="00AF5E90">
      <w:pPr>
        <w:ind w:left="432"/>
        <w:rPr>
          <w:rStyle w:val="Hipercze"/>
          <w:rFonts w:cs="Arial"/>
          <w:color w:val="auto"/>
          <w:sz w:val="20"/>
          <w:szCs w:val="20"/>
          <w:u w:val="none"/>
        </w:rPr>
      </w:pPr>
      <w:r w:rsidRPr="005E4CAF">
        <w:rPr>
          <w:rStyle w:val="Hipercze"/>
          <w:rFonts w:cs="Arial"/>
          <w:color w:val="auto"/>
          <w:sz w:val="20"/>
          <w:szCs w:val="20"/>
          <w:u w:val="none"/>
        </w:rPr>
        <w:t>Postępowanie prowadzane jest przez:</w:t>
      </w:r>
    </w:p>
    <w:p w14:paraId="3A5F0887" w14:textId="77777777" w:rsidR="00AF5E90" w:rsidRPr="005E4CAF" w:rsidRDefault="00AF5E90" w:rsidP="00AF5E90">
      <w:pPr>
        <w:ind w:left="432"/>
        <w:rPr>
          <w:rStyle w:val="Hipercze"/>
          <w:rFonts w:cs="Arial"/>
          <w:color w:val="auto"/>
          <w:sz w:val="20"/>
          <w:szCs w:val="20"/>
          <w:u w:val="none"/>
        </w:rPr>
      </w:pPr>
      <w:r w:rsidRPr="005E4CAF">
        <w:rPr>
          <w:rStyle w:val="Hipercze"/>
          <w:rFonts w:cs="Arial"/>
          <w:color w:val="auto"/>
          <w:sz w:val="20"/>
          <w:szCs w:val="20"/>
          <w:u w:val="none"/>
        </w:rPr>
        <w:t>Oddział Centralny Polskie Górnictwo Naftowe i Gazownictwo w Warszawie</w:t>
      </w:r>
    </w:p>
    <w:p w14:paraId="6AD6F6BC" w14:textId="77777777" w:rsidR="00AF5E90" w:rsidRPr="005E4CAF" w:rsidRDefault="00AF5E90" w:rsidP="00AF5E90">
      <w:pPr>
        <w:ind w:left="432"/>
        <w:rPr>
          <w:rStyle w:val="Hipercze"/>
          <w:rFonts w:cs="Arial"/>
          <w:color w:val="auto"/>
          <w:sz w:val="20"/>
          <w:szCs w:val="20"/>
          <w:u w:val="none"/>
        </w:rPr>
      </w:pPr>
      <w:r w:rsidRPr="005E4CAF">
        <w:rPr>
          <w:rStyle w:val="Hipercze"/>
          <w:rFonts w:cs="Arial"/>
          <w:color w:val="auto"/>
          <w:sz w:val="20"/>
          <w:szCs w:val="20"/>
          <w:u w:val="none"/>
        </w:rPr>
        <w:t>ul. Marcina Kasprzaka 25</w:t>
      </w:r>
    </w:p>
    <w:p w14:paraId="53C48661" w14:textId="77777777" w:rsidR="00AF5E90" w:rsidRPr="005E4CAF" w:rsidRDefault="00AF5E90" w:rsidP="00AF5E90">
      <w:pPr>
        <w:ind w:left="432"/>
        <w:rPr>
          <w:rStyle w:val="Hipercze"/>
          <w:rFonts w:cs="Arial"/>
          <w:color w:val="auto"/>
          <w:sz w:val="20"/>
          <w:szCs w:val="20"/>
          <w:u w:val="none"/>
        </w:rPr>
      </w:pPr>
      <w:r w:rsidRPr="005E4CAF">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6912E757" w:rsidR="00F40506" w:rsidRPr="005E4CAF" w:rsidRDefault="005E4CAF" w:rsidP="00AF5E90">
      <w:pPr>
        <w:spacing w:line="276" w:lineRule="auto"/>
        <w:ind w:left="426"/>
        <w:jc w:val="left"/>
        <w:rPr>
          <w:rFonts w:cs="Arial"/>
          <w:sz w:val="20"/>
          <w:szCs w:val="20"/>
        </w:rPr>
      </w:pPr>
      <w:r>
        <w:rPr>
          <w:rFonts w:cs="Arial"/>
          <w:sz w:val="20"/>
          <w:szCs w:val="20"/>
        </w:rPr>
        <w:t xml:space="preserve">Osoba uprawniona do kontaktu </w:t>
      </w:r>
      <w:r w:rsidR="00F40506" w:rsidRPr="005E4CAF">
        <w:rPr>
          <w:rFonts w:cs="Arial"/>
          <w:sz w:val="20"/>
          <w:szCs w:val="20"/>
        </w:rPr>
        <w:t>z Wykonawcami:</w:t>
      </w:r>
    </w:p>
    <w:p w14:paraId="297520B6" w14:textId="14360076" w:rsidR="00F40506" w:rsidRPr="005E4CAF" w:rsidRDefault="005E4CAF" w:rsidP="00AF5E90">
      <w:pPr>
        <w:spacing w:line="276" w:lineRule="auto"/>
        <w:ind w:left="426"/>
        <w:jc w:val="left"/>
        <w:rPr>
          <w:rFonts w:cs="Arial"/>
          <w:sz w:val="20"/>
          <w:szCs w:val="20"/>
          <w:lang w:val="en-US"/>
        </w:rPr>
      </w:pPr>
      <w:r>
        <w:rPr>
          <w:rFonts w:cs="Arial"/>
          <w:sz w:val="20"/>
          <w:szCs w:val="20"/>
          <w:lang w:val="en-US"/>
        </w:rPr>
        <w:t>Renata Warjas</w:t>
      </w:r>
    </w:p>
    <w:p w14:paraId="0D74A79C" w14:textId="73A6F70C" w:rsidR="00F40506" w:rsidRPr="005E4CAF" w:rsidRDefault="00F40506" w:rsidP="00AF5E90">
      <w:pPr>
        <w:spacing w:line="276" w:lineRule="auto"/>
        <w:ind w:left="426"/>
        <w:jc w:val="left"/>
        <w:rPr>
          <w:rFonts w:cs="Arial"/>
          <w:sz w:val="20"/>
          <w:szCs w:val="20"/>
          <w:lang w:val="en-US"/>
        </w:rPr>
      </w:pPr>
      <w:r w:rsidRPr="005E4CAF">
        <w:rPr>
          <w:rFonts w:cs="Arial"/>
          <w:sz w:val="20"/>
          <w:szCs w:val="20"/>
          <w:lang w:val="en-US"/>
        </w:rPr>
        <w:t xml:space="preserve">e-mail: </w:t>
      </w:r>
      <w:r w:rsidR="005E4CAF">
        <w:rPr>
          <w:rFonts w:cs="Arial"/>
          <w:sz w:val="20"/>
          <w:szCs w:val="20"/>
          <w:lang w:val="en-US"/>
        </w:rPr>
        <w:t>renata.warjas@pgnig.pl</w:t>
      </w:r>
    </w:p>
    <w:p w14:paraId="4F4EB5B5" w14:textId="0FA12229" w:rsidR="00F40506" w:rsidRPr="005E4CAF" w:rsidRDefault="00F40506" w:rsidP="00AF5E90">
      <w:pPr>
        <w:spacing w:line="276" w:lineRule="auto"/>
        <w:ind w:left="426"/>
        <w:jc w:val="left"/>
        <w:rPr>
          <w:rFonts w:cs="Arial"/>
          <w:sz w:val="20"/>
          <w:szCs w:val="20"/>
          <w:lang w:val="en-US"/>
        </w:rPr>
      </w:pPr>
      <w:r w:rsidRPr="005E4CAF">
        <w:rPr>
          <w:rFonts w:cs="Arial"/>
          <w:sz w:val="20"/>
          <w:szCs w:val="20"/>
          <w:lang w:val="en-US"/>
        </w:rPr>
        <w:t>tel.: 22</w:t>
      </w:r>
      <w:r w:rsidR="005E4CAF">
        <w:rPr>
          <w:rFonts w:cs="Arial"/>
          <w:sz w:val="20"/>
          <w:szCs w:val="20"/>
          <w:lang w:val="en-US"/>
        </w:rPr>
        <w:t> 106 41 72</w:t>
      </w:r>
      <w:r w:rsidRPr="005E4CAF">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5E4CAF" w:rsidRDefault="00085E9D" w:rsidP="00D877C6">
      <w:pPr>
        <w:pStyle w:val="Styla"/>
      </w:pPr>
      <w:r w:rsidRPr="005E4CAF">
        <w:t>podniesienia efektywności przedmiotu zamówienia określonego w opisie przedmiotu zamówienia i projekcie umowy,</w:t>
      </w:r>
    </w:p>
    <w:p w14:paraId="7D388B41" w14:textId="3FF15987" w:rsidR="00085E9D" w:rsidRPr="005E4CAF" w:rsidRDefault="00085E9D" w:rsidP="00D877C6">
      <w:pPr>
        <w:pStyle w:val="Styla"/>
      </w:pPr>
      <w:r w:rsidRPr="005E4CAF">
        <w:t>optymalizacji warunków handlowych</w:t>
      </w:r>
      <w:r w:rsidR="005E4CAF" w:rsidRPr="005E4CAF">
        <w:t>.</w:t>
      </w:r>
    </w:p>
    <w:p w14:paraId="359B1FBB" w14:textId="5FD65D13" w:rsidR="000464CE" w:rsidRPr="005E4CAF" w:rsidRDefault="00085E9D" w:rsidP="00D877C6">
      <w:pPr>
        <w:pStyle w:val="Styl111"/>
      </w:pPr>
      <w:r w:rsidRPr="005E4CAF">
        <w:t>W przypadku, o którym mowa w pkt. 2.</w:t>
      </w:r>
      <w:r w:rsidR="000464CE" w:rsidRPr="005E4CAF">
        <w:t>2</w:t>
      </w:r>
      <w:r w:rsidR="005F4403" w:rsidRPr="005E4CAF">
        <w:t>.</w:t>
      </w:r>
      <w:r w:rsidRPr="005E4CAF">
        <w:t xml:space="preserve"> lit. </w:t>
      </w:r>
      <w:r w:rsidR="005E4CAF" w:rsidRPr="005E4CAF">
        <w:t>a</w:t>
      </w:r>
      <w:r w:rsidRPr="005E4CAF">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B68BBF5" w:rsidR="000464CE" w:rsidRPr="005E4CAF" w:rsidRDefault="00085E9D" w:rsidP="00D877C6">
      <w:pPr>
        <w:pStyle w:val="Styl111"/>
      </w:pPr>
      <w:r w:rsidRPr="005E4CAF">
        <w:t>W przypadku, o którym mowa w pkt. 2.</w:t>
      </w:r>
      <w:r w:rsidR="000464CE" w:rsidRPr="005E4CAF">
        <w:t>2</w:t>
      </w:r>
      <w:r w:rsidR="005F4403" w:rsidRPr="005E4CAF">
        <w:t>.</w:t>
      </w:r>
      <w:r w:rsidRPr="005E4CAF">
        <w:t xml:space="preserve"> lit. </w:t>
      </w:r>
      <w:r w:rsidR="005E4CAF" w:rsidRPr="005E4CAF">
        <w:t>b</w:t>
      </w:r>
      <w:r w:rsidR="00D877C6" w:rsidRPr="005E4CAF">
        <w:t>)</w:t>
      </w:r>
      <w:r w:rsidRPr="005E4CAF">
        <w:t xml:space="preserve"> negocjacj</w:t>
      </w:r>
      <w:r w:rsidR="005E4CAF" w:rsidRPr="005E4CAF">
        <w:t>e treści oferty prowadzone są w </w:t>
      </w:r>
      <w:r w:rsidRPr="005E4CAF">
        <w:t>celu optymalizacji warunków handlowych w zakresie ceny. Po zakończeniu negocjacji Zamawiający zaprasza Wykonawców do złożenia aktualizacji oferty.</w:t>
      </w:r>
      <w:r w:rsidRPr="005E4CAF">
        <w:rPr>
          <w:bCs/>
        </w:rPr>
        <w:t xml:space="preserve"> </w:t>
      </w:r>
    </w:p>
    <w:p w14:paraId="79F8F9E2" w14:textId="6421682F" w:rsidR="000464CE" w:rsidRPr="005E4CAF" w:rsidRDefault="00A86FA6" w:rsidP="00D877C6">
      <w:pPr>
        <w:pStyle w:val="Styl111"/>
      </w:pPr>
      <w:r w:rsidRPr="005E4CAF">
        <w:rPr>
          <w:bCs/>
        </w:rPr>
        <w:t>N</w:t>
      </w:r>
      <w:r w:rsidR="00085E9D" w:rsidRPr="005E4CAF">
        <w:rPr>
          <w:bCs/>
        </w:rPr>
        <w:t>egocjacje mogą być przeprowadzone z Wykonawcami, którzy nie podlegają wykluczeniu</w:t>
      </w:r>
      <w:r w:rsidRPr="005E4CAF">
        <w:rPr>
          <w:bCs/>
        </w:rPr>
        <w:t>.</w:t>
      </w:r>
    </w:p>
    <w:p w14:paraId="6AEEBF93" w14:textId="7AE82389" w:rsidR="000464CE" w:rsidRPr="005E4CAF" w:rsidRDefault="00A86FA6" w:rsidP="00D877C6">
      <w:pPr>
        <w:pStyle w:val="Styl111"/>
      </w:pPr>
      <w:r w:rsidRPr="005E4CAF">
        <w:rPr>
          <w:bCs/>
        </w:rPr>
        <w:t>N</w:t>
      </w:r>
      <w:r w:rsidR="00085E9D" w:rsidRPr="005E4CAF">
        <w:rPr>
          <w:bCs/>
        </w:rPr>
        <w:t>egocjacje mogą być przeprowadzone ze wszystkimi Wykonawcami, którzy złożyli oferty w postępowaniu z zastrzeżeniem pkt</w:t>
      </w:r>
      <w:r w:rsidR="0047149C" w:rsidRPr="005E4CAF">
        <w:rPr>
          <w:bCs/>
        </w:rPr>
        <w:t>.</w:t>
      </w:r>
      <w:r w:rsidR="00085E9D" w:rsidRPr="005E4CAF">
        <w:rPr>
          <w:bCs/>
        </w:rPr>
        <w:t xml:space="preserve"> 2.</w:t>
      </w:r>
      <w:r w:rsidR="000464CE" w:rsidRPr="005E4CAF">
        <w:rPr>
          <w:bCs/>
        </w:rPr>
        <w:t>2</w:t>
      </w:r>
      <w:r w:rsidR="00085E9D" w:rsidRPr="005E4CAF">
        <w:rPr>
          <w:bCs/>
        </w:rPr>
        <w:t>.</w:t>
      </w:r>
      <w:r w:rsidR="005E4CAF" w:rsidRPr="005E4CAF">
        <w:rPr>
          <w:bCs/>
        </w:rPr>
        <w:t>3</w:t>
      </w:r>
      <w:r w:rsidR="00085E9D" w:rsidRPr="005E4CAF">
        <w:rPr>
          <w:bCs/>
        </w:rPr>
        <w:t xml:space="preserve"> lub z Wykonawcą, który złożył najkorzystniejszą ofertę (lub jedyną ofertę)</w:t>
      </w:r>
      <w:r w:rsidRPr="005E4CAF">
        <w:rPr>
          <w:bCs/>
        </w:rPr>
        <w:t>.</w:t>
      </w:r>
    </w:p>
    <w:p w14:paraId="741540D4" w14:textId="44DA8AD4" w:rsidR="000464CE" w:rsidRPr="005E4CAF" w:rsidRDefault="00085E9D" w:rsidP="00D877C6">
      <w:pPr>
        <w:pStyle w:val="Styl111"/>
      </w:pPr>
      <w:r w:rsidRPr="005E4CAF">
        <w:t>Zamawiający przekazuje</w:t>
      </w:r>
      <w:r w:rsidRPr="005E4CAF" w:rsidDel="000D17E8">
        <w:t xml:space="preserve"> </w:t>
      </w:r>
      <w:r w:rsidRPr="005E4CAF">
        <w:t>Wykonawcom zaproszenie do negocjacji informując ich o</w:t>
      </w:r>
      <w:r w:rsidR="00B01933" w:rsidRPr="005E4CAF">
        <w:t> </w:t>
      </w:r>
      <w:r w:rsidRPr="005E4CAF">
        <w:t>terminie, miejscu i formie prowadzonych negocjacji</w:t>
      </w:r>
      <w:r w:rsidR="00A86FA6" w:rsidRPr="005E4CAF">
        <w:t>.</w:t>
      </w:r>
    </w:p>
    <w:p w14:paraId="0EB4678A" w14:textId="0F0CB2B2" w:rsidR="00085E9D" w:rsidRPr="005E4CAF" w:rsidRDefault="00A86FA6" w:rsidP="00D877C6">
      <w:pPr>
        <w:pStyle w:val="Styl111"/>
      </w:pPr>
      <w:r w:rsidRPr="005E4CAF">
        <w:t>N</w:t>
      </w:r>
      <w:r w:rsidR="00085E9D" w:rsidRPr="005E4CAF">
        <w:t>egocjacje mogą zostać przeprowadzone w jednej lub kilku rundach negocjacyjnych,</w:t>
      </w:r>
    </w:p>
    <w:p w14:paraId="39F4DAEC" w14:textId="3F17A92A" w:rsidR="00085E9D" w:rsidRPr="005E4CAF" w:rsidRDefault="00A86FA6" w:rsidP="00D877C6">
      <w:pPr>
        <w:pStyle w:val="Styl111"/>
      </w:pPr>
      <w:r w:rsidRPr="005E4CAF">
        <w:lastRenderedPageBreak/>
        <w:t>O</w:t>
      </w:r>
      <w:r w:rsidR="00085E9D" w:rsidRPr="005E4CAF">
        <w:t>ferta złożona w trakcie negocjacji w zakresie wskazanym w pkt. 2.</w:t>
      </w:r>
      <w:r w:rsidR="000464CE" w:rsidRPr="005E4CAF">
        <w:t>2</w:t>
      </w:r>
      <w:r w:rsidR="00085E9D" w:rsidRPr="005E4CAF">
        <w:t xml:space="preserve">. lit. </w:t>
      </w:r>
      <w:r w:rsidR="005E4CAF" w:rsidRPr="005E4CAF">
        <w:t>b</w:t>
      </w:r>
      <w:r w:rsidR="00085E9D" w:rsidRPr="005E4CAF">
        <w:t>) nie może być mniej korzystna dla Zamawiającego niż oferta złożona w</w:t>
      </w:r>
      <w:r w:rsidR="00B01933" w:rsidRPr="005E4CAF">
        <w:t> </w:t>
      </w:r>
      <w:r w:rsidR="00085E9D" w:rsidRPr="005E4CAF">
        <w:t xml:space="preserve">postępowaniu. </w:t>
      </w:r>
    </w:p>
    <w:p w14:paraId="017F55A6" w14:textId="1D075034" w:rsidR="00085E9D" w:rsidRPr="005E4CAF" w:rsidRDefault="00A86FA6" w:rsidP="00D877C6">
      <w:pPr>
        <w:pStyle w:val="Styl111"/>
      </w:pPr>
      <w:r w:rsidRPr="005E4CAF">
        <w:t>O</w:t>
      </w:r>
      <w:r w:rsidR="00085E9D" w:rsidRPr="005E4CAF">
        <w:t>ferta złożona w trakcie negocjacji w zakresie wskazanym w pkt. 2.</w:t>
      </w:r>
      <w:r w:rsidR="000464CE" w:rsidRPr="005E4CAF">
        <w:t>2</w:t>
      </w:r>
      <w:r w:rsidR="00085E9D" w:rsidRPr="005E4CAF">
        <w:t xml:space="preserve">. lit. </w:t>
      </w:r>
      <w:r w:rsidR="005E4CAF" w:rsidRPr="005E4CAF">
        <w:t>a</w:t>
      </w:r>
      <w:r w:rsidR="00085E9D" w:rsidRPr="005E4CAF">
        <w:t xml:space="preserve">) może być mniej korzystna dla Zamawiającego niż oferta złożona w postępowaniu. </w:t>
      </w:r>
    </w:p>
    <w:p w14:paraId="0D05607A" w14:textId="77777777" w:rsidR="00085E9D" w:rsidRPr="005E4CAF" w:rsidRDefault="00085E9D" w:rsidP="00D877C6">
      <w:pPr>
        <w:pStyle w:val="Styl111"/>
      </w:pPr>
      <w:r w:rsidRPr="005E4CAF">
        <w:t>Zamawiający może udzielić wyjaśnień do zmian wprowadzonych do dokumentacji Postępowania wskutek przeprowadzonych negocjacji.</w:t>
      </w:r>
    </w:p>
    <w:p w14:paraId="2252F161" w14:textId="77777777" w:rsidR="00085E9D" w:rsidRPr="005E4CAF" w:rsidRDefault="00085E9D" w:rsidP="00D877C6">
      <w:pPr>
        <w:pStyle w:val="Styl111"/>
      </w:pPr>
      <w:r w:rsidRPr="005E4CAF">
        <w:t xml:space="preserve">Zamawiający nie udziela podczas negocjacji informacji w sposób, który mógłby zapewnić niektórym Wykonawcom przewagę nad innymi Wykonawcami. </w:t>
      </w:r>
    </w:p>
    <w:p w14:paraId="6302D909" w14:textId="77777777" w:rsidR="00085E9D" w:rsidRPr="005E4CAF" w:rsidRDefault="00085E9D" w:rsidP="00D877C6">
      <w:pPr>
        <w:pStyle w:val="Styl111"/>
      </w:pPr>
      <w:r w:rsidRPr="005E4CAF">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77879F17" w:rsidR="00085E9D" w:rsidRPr="00C26907" w:rsidRDefault="00085E9D" w:rsidP="009C6996">
      <w:pPr>
        <w:pStyle w:val="Styl11"/>
      </w:pPr>
      <w:r w:rsidRPr="00C26907">
        <w:t>Zamawiający dopuszcza również komunikację poprzez e-mail. Kores</w:t>
      </w:r>
      <w:r w:rsidR="00C26907" w:rsidRPr="00C26907">
        <w:t>pondencję (z wyłączeniem oferty</w:t>
      </w:r>
      <w:r w:rsidRPr="00C26907">
        <w:t>) należy kierować na adres osoby uprawnionej do kontaktów z Wykonawcami wskazany w pkt</w:t>
      </w:r>
      <w:r w:rsidR="0047149C" w:rsidRPr="00C26907">
        <w:t>.</w:t>
      </w:r>
      <w:r w:rsidRPr="00C26907">
        <w:t xml:space="preserve"> 1 </w:t>
      </w:r>
      <w:r w:rsidR="00F6251F" w:rsidRPr="00C26907">
        <w:t>SWZ</w:t>
      </w:r>
      <w:r w:rsidRPr="00C26907">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6E298497" w:rsidR="007D7C5D" w:rsidRPr="0036488B" w:rsidRDefault="00F40506" w:rsidP="009C6996">
      <w:pPr>
        <w:pStyle w:val="Styl11"/>
      </w:pPr>
      <w:r w:rsidRPr="0036488B">
        <w:t xml:space="preserve">Przedmiotem zamówienia jest </w:t>
      </w:r>
      <w:r w:rsidR="00C26907" w:rsidRPr="00C26907">
        <w:t>zakup barytu w celu zabezpieczenie pod względem przeciwerupcyjnym realizowanych wierceń</w:t>
      </w:r>
      <w:r w:rsidR="003356A1">
        <w:t xml:space="preserve"> w łącznej ilości 384 ton.</w:t>
      </w:r>
    </w:p>
    <w:p w14:paraId="66EB3E50" w14:textId="1B160C1E" w:rsidR="00F40506" w:rsidRPr="0036488B" w:rsidRDefault="00F40506" w:rsidP="009C6996">
      <w:pPr>
        <w:pStyle w:val="Styl11"/>
      </w:pPr>
      <w:r w:rsidRPr="0036488B">
        <w:t xml:space="preserve">Przedmiot zamówienia </w:t>
      </w:r>
      <w:r w:rsidR="003356A1">
        <w:t>nie został podzielony na części zamówienia.</w:t>
      </w:r>
    </w:p>
    <w:p w14:paraId="2D874702" w14:textId="2ED4DD2B" w:rsidR="00CD6ADD" w:rsidRDefault="00CD6ADD" w:rsidP="009C6996">
      <w:pPr>
        <w:pStyle w:val="Styl11"/>
      </w:pPr>
      <w:r w:rsidRPr="009C6996">
        <w:t>Rodzaj zamówienia</w:t>
      </w:r>
      <w:r w:rsidRPr="00C26907">
        <w:t>:</w:t>
      </w:r>
      <w:r w:rsidR="00C26907" w:rsidRPr="00C26907">
        <w:t xml:space="preserve"> </w:t>
      </w:r>
      <w:r w:rsidR="00C26907" w:rsidRPr="003356A1">
        <w:t>dostawa.</w:t>
      </w:r>
    </w:p>
    <w:p w14:paraId="37357F1B" w14:textId="43D843F0" w:rsidR="003356A1" w:rsidRPr="009C6996" w:rsidRDefault="003356A1" w:rsidP="009C6996">
      <w:pPr>
        <w:pStyle w:val="Styl11"/>
      </w:pPr>
      <w:r>
        <w:t>Miejsce dostawy: Magazyn Libusza, ul. Kolonia 21/4, 38-306 Libusza; Magazyn Zielona Góra, ul. Naftowa 3, 65-075 Zielona Góra, Magazyn Piła, ul. Aleja Powstańców Wielkopolskich 167, 64-920 Piła.</w:t>
      </w:r>
    </w:p>
    <w:p w14:paraId="2A92A199" w14:textId="26AC07B2" w:rsidR="00EE7A4B" w:rsidRDefault="001919DB" w:rsidP="00EE7A4B">
      <w:pPr>
        <w:pStyle w:val="Styl11"/>
      </w:pPr>
      <w:r w:rsidRPr="009C6996">
        <w:t>O</w:t>
      </w:r>
      <w:r w:rsidR="00F40506" w:rsidRPr="009C6996">
        <w:t xml:space="preserve">pis przedmiotu zamówienia stanowi </w:t>
      </w:r>
      <w:r w:rsidR="00D02D33" w:rsidRPr="00C26907">
        <w:rPr>
          <w:b/>
          <w:iCs/>
        </w:rPr>
        <w:t>Z</w:t>
      </w:r>
      <w:r w:rsidR="00EF5C9F" w:rsidRPr="009C6996">
        <w:rPr>
          <w:b/>
          <w:iCs/>
        </w:rPr>
        <w:t>ałącznik</w:t>
      </w:r>
      <w:r w:rsidR="00F40506" w:rsidRPr="009C6996">
        <w:rPr>
          <w:b/>
          <w:iCs/>
        </w:rPr>
        <w:t xml:space="preserve"> </w:t>
      </w:r>
      <w:r w:rsidR="00F40506" w:rsidRPr="00C26907">
        <w:rPr>
          <w:b/>
          <w:iCs/>
        </w:rPr>
        <w:t xml:space="preserve">nr </w:t>
      </w:r>
      <w:r w:rsidR="00081A2B">
        <w:rPr>
          <w:b/>
          <w:iCs/>
        </w:rPr>
        <w:t>3</w:t>
      </w:r>
      <w:r w:rsidR="00F40506" w:rsidRPr="00C26907">
        <w:rPr>
          <w:b/>
          <w:iCs/>
        </w:rPr>
        <w:t xml:space="preserve"> </w:t>
      </w:r>
      <w:r w:rsidR="004E76F7" w:rsidRPr="00C26907">
        <w:rPr>
          <w:b/>
          <w:iCs/>
        </w:rPr>
        <w:t xml:space="preserve">do </w:t>
      </w:r>
      <w:r w:rsidR="006C29FD" w:rsidRPr="00C26907">
        <w:rPr>
          <w:b/>
          <w:iCs/>
        </w:rPr>
        <w:t>SWZ</w:t>
      </w:r>
      <w:r w:rsidR="00081A2B">
        <w:rPr>
          <w:b/>
          <w:iCs/>
        </w:rPr>
        <w:t>/ Załącznik nr 3 Umowy</w:t>
      </w:r>
      <w:r w:rsidR="00F40506" w:rsidRPr="009C6996">
        <w:t>.</w:t>
      </w:r>
    </w:p>
    <w:p w14:paraId="19CD0A70" w14:textId="3AD18950" w:rsidR="00125875" w:rsidRDefault="006E06C8" w:rsidP="0077177E">
      <w:pPr>
        <w:pStyle w:val="Styl11"/>
      </w:pPr>
      <w:r w:rsidRPr="009F0C84">
        <w:t>Zamawiający informuje, że realizuje przyjętą, opublikowaną i udostępnioną publicznie Politykę Energetyczną poprzez wspieranie działań dla zakupu energooszczędnych produktów i usług, oraz projektów na rzecz poprawy wyniku energetycznego</w:t>
      </w:r>
      <w:r>
        <w:t>.</w:t>
      </w: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202AE999" w:rsidR="00F40506" w:rsidRPr="003356A1" w:rsidRDefault="00F40506" w:rsidP="002A0400">
      <w:pPr>
        <w:spacing w:line="276" w:lineRule="auto"/>
        <w:rPr>
          <w:rFonts w:cs="Arial"/>
          <w:sz w:val="20"/>
          <w:szCs w:val="20"/>
          <w:lang w:eastAsia="en-US"/>
        </w:rPr>
      </w:pPr>
      <w:r w:rsidRPr="003356A1">
        <w:rPr>
          <w:rFonts w:cs="Arial"/>
          <w:sz w:val="20"/>
          <w:szCs w:val="20"/>
          <w:lang w:eastAsia="en-US"/>
        </w:rPr>
        <w:t xml:space="preserve">Szczegółowe warunki realizacji zamówienia </w:t>
      </w:r>
      <w:r w:rsidR="00931112" w:rsidRPr="003356A1">
        <w:rPr>
          <w:rFonts w:cs="Arial"/>
          <w:sz w:val="20"/>
          <w:szCs w:val="20"/>
          <w:lang w:eastAsia="en-US"/>
        </w:rPr>
        <w:t>zostały określone we wzorze umowy stanowiąc</w:t>
      </w:r>
      <w:r w:rsidR="00F67218" w:rsidRPr="003356A1">
        <w:rPr>
          <w:rFonts w:cs="Arial"/>
          <w:sz w:val="20"/>
          <w:szCs w:val="20"/>
          <w:lang w:eastAsia="en-US"/>
        </w:rPr>
        <w:t>ym</w:t>
      </w:r>
      <w:r w:rsidR="00931112" w:rsidRPr="003356A1">
        <w:rPr>
          <w:rFonts w:cs="Arial"/>
          <w:b/>
          <w:sz w:val="20"/>
          <w:szCs w:val="20"/>
          <w:lang w:eastAsia="en-US"/>
        </w:rPr>
        <w:t xml:space="preserve"> </w:t>
      </w:r>
      <w:r w:rsidR="00D02D33" w:rsidRPr="003356A1">
        <w:rPr>
          <w:rFonts w:cs="Arial"/>
          <w:b/>
          <w:sz w:val="20"/>
          <w:szCs w:val="20"/>
          <w:lang w:eastAsia="en-US"/>
        </w:rPr>
        <w:t>Z</w:t>
      </w:r>
      <w:r w:rsidRPr="003356A1">
        <w:rPr>
          <w:rFonts w:cs="Arial"/>
          <w:b/>
          <w:sz w:val="20"/>
          <w:szCs w:val="20"/>
          <w:lang w:eastAsia="en-US"/>
        </w:rPr>
        <w:t xml:space="preserve">ałącznik </w:t>
      </w:r>
      <w:r w:rsidR="003356A1" w:rsidRPr="003356A1">
        <w:rPr>
          <w:rFonts w:cs="Arial"/>
          <w:b/>
          <w:sz w:val="20"/>
          <w:szCs w:val="20"/>
          <w:lang w:eastAsia="en-US"/>
        </w:rPr>
        <w:t xml:space="preserve">nr </w:t>
      </w:r>
      <w:r w:rsidR="00081A2B">
        <w:rPr>
          <w:rFonts w:cs="Arial"/>
          <w:b/>
          <w:sz w:val="20"/>
          <w:szCs w:val="20"/>
          <w:lang w:eastAsia="en-US"/>
        </w:rPr>
        <w:t>2</w:t>
      </w:r>
      <w:r w:rsidRPr="003356A1">
        <w:rPr>
          <w:rFonts w:cs="Arial"/>
          <w:b/>
          <w:sz w:val="20"/>
          <w:szCs w:val="20"/>
          <w:lang w:eastAsia="en-US"/>
        </w:rPr>
        <w:t xml:space="preserve"> do </w:t>
      </w:r>
      <w:r w:rsidR="006C29FD" w:rsidRPr="003356A1">
        <w:rPr>
          <w:rFonts w:cs="Arial"/>
          <w:b/>
          <w:sz w:val="20"/>
          <w:szCs w:val="20"/>
          <w:lang w:eastAsia="en-US"/>
        </w:rPr>
        <w:t>SWZ</w:t>
      </w:r>
      <w:r w:rsidRPr="003356A1">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46072F20" w:rsidR="00F40506" w:rsidRPr="00081A2B" w:rsidRDefault="00F40506" w:rsidP="002A0400">
      <w:pPr>
        <w:spacing w:line="276" w:lineRule="auto"/>
        <w:rPr>
          <w:rFonts w:cs="Arial"/>
          <w:sz w:val="20"/>
          <w:szCs w:val="20"/>
        </w:rPr>
      </w:pPr>
      <w:r w:rsidRPr="00F40506">
        <w:rPr>
          <w:rFonts w:cs="Arial"/>
          <w:sz w:val="20"/>
          <w:szCs w:val="20"/>
        </w:rPr>
        <w:t xml:space="preserve">Zamówienie będzie zrealizowane w terminie </w:t>
      </w:r>
      <w:r w:rsidR="00081A2B" w:rsidRPr="00081A2B">
        <w:rPr>
          <w:rFonts w:cs="Arial"/>
          <w:sz w:val="20"/>
          <w:szCs w:val="20"/>
        </w:rPr>
        <w:t>o któr</w:t>
      </w:r>
      <w:r w:rsidR="00081A2B">
        <w:rPr>
          <w:rFonts w:cs="Arial"/>
          <w:sz w:val="20"/>
          <w:szCs w:val="20"/>
        </w:rPr>
        <w:t>ym</w:t>
      </w:r>
      <w:r w:rsidR="00081A2B" w:rsidRPr="00081A2B">
        <w:rPr>
          <w:rFonts w:cs="Arial"/>
          <w:sz w:val="20"/>
          <w:szCs w:val="20"/>
        </w:rPr>
        <w:t xml:space="preserve"> mowa w § 1 ust. 4 </w:t>
      </w:r>
      <w:r w:rsidR="00081A2B">
        <w:rPr>
          <w:rFonts w:cs="Arial"/>
          <w:sz w:val="20"/>
          <w:szCs w:val="20"/>
        </w:rPr>
        <w:t xml:space="preserve">wzoru </w:t>
      </w:r>
      <w:r w:rsidR="00081A2B" w:rsidRPr="00081A2B">
        <w:rPr>
          <w:rFonts w:cs="Arial"/>
          <w:sz w:val="20"/>
          <w:szCs w:val="20"/>
        </w:rPr>
        <w:t>umowy</w:t>
      </w:r>
      <w:r w:rsidR="00081A2B">
        <w:rPr>
          <w:rFonts w:cs="Arial"/>
          <w:sz w:val="20"/>
          <w:szCs w:val="20"/>
        </w:rPr>
        <w:t xml:space="preserve"> </w:t>
      </w:r>
      <w:r w:rsidR="00081A2B" w:rsidRPr="00081A2B">
        <w:rPr>
          <w:rFonts w:cs="Arial"/>
          <w:sz w:val="20"/>
          <w:szCs w:val="20"/>
        </w:rPr>
        <w:t xml:space="preserve">od dnia </w:t>
      </w:r>
      <w:r w:rsidR="00081A2B">
        <w:rPr>
          <w:rFonts w:cs="Arial"/>
          <w:sz w:val="20"/>
          <w:szCs w:val="20"/>
        </w:rPr>
        <w:t xml:space="preserve">jej </w:t>
      </w:r>
      <w:r w:rsidR="00081A2B" w:rsidRPr="00081A2B">
        <w:rPr>
          <w:rFonts w:cs="Arial"/>
          <w:sz w:val="20"/>
          <w:szCs w:val="20"/>
        </w:rPr>
        <w:t>podpisania</w:t>
      </w:r>
      <w:r w:rsidRPr="00081A2B">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5E4A02E3" w:rsidR="00F40506" w:rsidRPr="007B5698" w:rsidRDefault="00F40506" w:rsidP="009C6996">
      <w:pPr>
        <w:pStyle w:val="Styl11"/>
      </w:pPr>
      <w:r w:rsidRPr="007B5698">
        <w:t xml:space="preserve">Zamawiający </w:t>
      </w:r>
      <w:r w:rsidRPr="00081A2B">
        <w:t>nie dopuszcza</w:t>
      </w:r>
      <w:r w:rsidRPr="007B5698">
        <w:t xml:space="preserve"> składania 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2F3CF5AF" w:rsidR="00162E24" w:rsidRDefault="00F40506" w:rsidP="009C6996">
      <w:pPr>
        <w:pStyle w:val="Styl11"/>
      </w:pPr>
      <w:r w:rsidRPr="00162E24">
        <w:t xml:space="preserve">Zamawiający </w:t>
      </w:r>
      <w:r w:rsidRPr="00081A2B">
        <w:t>nie dopuszcza</w:t>
      </w:r>
      <w:r w:rsidRPr="00162E24">
        <w:t xml:space="preserve"> składania ofert wariantowych.</w:t>
      </w:r>
      <w:bookmarkStart w:id="2" w:name="_Toc165626656"/>
      <w:bookmarkStart w:id="3" w:name="_Toc479595442"/>
      <w:bookmarkStart w:id="4" w:name="_Toc139608600"/>
    </w:p>
    <w:p w14:paraId="1645CB9F" w14:textId="2B3078E2" w:rsidR="007D7C5D" w:rsidRDefault="007D7C5D" w:rsidP="009C6996">
      <w:pPr>
        <w:pStyle w:val="Styl11"/>
      </w:pPr>
      <w:r w:rsidRPr="00162E24">
        <w:t xml:space="preserve">Zamawiający informuje, </w:t>
      </w:r>
      <w:r w:rsidRPr="00081A2B">
        <w:t xml:space="preserve">że nie przewiduje </w:t>
      </w:r>
      <w:r w:rsidRPr="00162E24">
        <w:t>udzielenia zamówień uzupełniających</w:t>
      </w:r>
      <w:r w:rsidR="00162E24">
        <w:t>.</w:t>
      </w:r>
    </w:p>
    <w:p w14:paraId="7D9A4DC4" w14:textId="0098CC83" w:rsidR="007E4672" w:rsidRPr="00162E24" w:rsidRDefault="007E4672" w:rsidP="009C6996">
      <w:pPr>
        <w:pStyle w:val="Styl11"/>
      </w:pPr>
      <w:r w:rsidRPr="00081A2B">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257ABB" w:rsidRDefault="00D53237" w:rsidP="009C6996">
      <w:pPr>
        <w:pStyle w:val="Styl11"/>
        <w:rPr>
          <w:rFonts w:eastAsia="Calibri"/>
          <w:b/>
          <w:iCs/>
        </w:rPr>
      </w:pPr>
      <w:r w:rsidRPr="00257ABB">
        <w:rPr>
          <w:b/>
        </w:rPr>
        <w:t xml:space="preserve">Warunki szczególne </w:t>
      </w:r>
      <w:r w:rsidR="00CD6ADD" w:rsidRPr="00257ABB">
        <w:rPr>
          <w:b/>
        </w:rPr>
        <w:t xml:space="preserve">udziału </w:t>
      </w:r>
      <w:r w:rsidRPr="00257ABB">
        <w:rPr>
          <w:b/>
        </w:rPr>
        <w:t>w postępowaniu</w:t>
      </w:r>
      <w:r w:rsidR="004F01D9" w:rsidRPr="00257ABB">
        <w:rPr>
          <w:b/>
        </w:rPr>
        <w:t>:</w:t>
      </w:r>
    </w:p>
    <w:p w14:paraId="62BE117A" w14:textId="051353DD" w:rsidR="00645F06" w:rsidRPr="0077177E" w:rsidRDefault="004F01D9" w:rsidP="0077177E">
      <w:pPr>
        <w:pStyle w:val="Styl111"/>
        <w:ind w:left="1276" w:hanging="709"/>
      </w:pPr>
      <w:r>
        <w:t>z</w:t>
      </w:r>
      <w:r w:rsidR="00645F06" w:rsidRPr="00D53237">
        <w:t xml:space="preserve">a </w:t>
      </w:r>
      <w:r w:rsidR="00645F06" w:rsidRPr="0077177E">
        <w:t>spełniających warunki udziału w postępowaniu Zama</w:t>
      </w:r>
      <w:r w:rsidR="0077177E" w:rsidRPr="0077177E">
        <w:t>wiający uzna Wykonawców, którzy wykażą że w okresie ostatnich trzech (3) lat przed upływem terminu składania ofert, a jeżeli okres prowadzenia działalności jest krótszy – w tym okresie, wykonali (a w przypadku świadczeń ciągłych lub okresowych - wykonują) co najmniej jedną dostawę barytu na terytorium Polski w ilości nie mniejszej niż 96 ton.</w:t>
      </w:r>
    </w:p>
    <w:p w14:paraId="1ECED734" w14:textId="77777777" w:rsidR="004E49D6" w:rsidRPr="00C07E74" w:rsidRDefault="00645F06" w:rsidP="009C6996">
      <w:pPr>
        <w:pStyle w:val="Styl11"/>
      </w:pPr>
      <w:r w:rsidRPr="0077177E">
        <w:t xml:space="preserve">W przypadku Wykonawców wspólnie ubiegających się o udzielenie zamówienia </w:t>
      </w:r>
      <w:r w:rsidRPr="00C07E74">
        <w:t>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 xml:space="preserve">Wykonawców, w stosunku do których otwarto likwidację, ogłoszono upadłość, których aktywami zarządza likwidator lub sąd, zawarli układ z wierzycielami, których działalność gospodarcza jest zawieszona albo znajdują się oni w innej tego rodzaju sytuacji </w:t>
      </w:r>
      <w:r w:rsidRPr="00A843F5">
        <w:lastRenderedPageBreak/>
        <w:t>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 xml:space="preserve">art. 1 pkt 3 ustawy z dnia 13 kwietnia 2022 r. o szczególnych rozwiązaniach w zakresie </w:t>
      </w:r>
      <w:r w:rsidRPr="00391950">
        <w:rPr>
          <w:u w:val="single"/>
        </w:rPr>
        <w:lastRenderedPageBreak/>
        <w:t>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257ABB" w:rsidRDefault="0071587A" w:rsidP="002A65C8">
      <w:pPr>
        <w:pStyle w:val="Styl111"/>
        <w:ind w:left="1276" w:hanging="850"/>
      </w:pPr>
      <w:r w:rsidRPr="00257ABB">
        <w:t>zalegającego</w:t>
      </w:r>
      <w:r w:rsidR="00EC52A3" w:rsidRPr="00257ABB">
        <w:t xml:space="preserve"> z opłaca</w:t>
      </w:r>
      <w:r w:rsidRPr="00257ABB">
        <w:t>niem podatków chyba, że uzyskał</w:t>
      </w:r>
      <w:r w:rsidR="00EC52A3" w:rsidRPr="00257ABB">
        <w:t xml:space="preserve"> przewidziane prawem zwolnienie, odroczenie lub rozłożenie na raty zaległych płatności lub wstrzymanie w</w:t>
      </w:r>
      <w:r w:rsidR="006B5830" w:rsidRPr="00257ABB">
        <w:t> </w:t>
      </w:r>
      <w:r w:rsidR="00EC52A3" w:rsidRPr="00257ABB">
        <w:t>całości wykonania decyzji właściwego organu</w:t>
      </w:r>
      <w:r w:rsidR="00597C1B" w:rsidRPr="00257ABB">
        <w:t>. Na potwierdzenie powyższego należy złożyć stosowny dokume</w:t>
      </w:r>
      <w:r w:rsidRPr="00257ABB">
        <w:t>nt wskazany przez Zamawiającego</w:t>
      </w:r>
      <w:r w:rsidR="00597C1B" w:rsidRPr="00257ABB">
        <w:t xml:space="preserve"> </w:t>
      </w:r>
      <w:r w:rsidRPr="00257ABB">
        <w:t>w punkcie 11.1. SWZ</w:t>
      </w:r>
      <w:r w:rsidR="000340B4" w:rsidRPr="00257ABB">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lastRenderedPageBreak/>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257ABB" w:rsidRDefault="00F40506" w:rsidP="00DD06A2">
      <w:pPr>
        <w:pStyle w:val="Styl11"/>
      </w:pPr>
      <w:bookmarkStart w:id="7" w:name="_Toc479595445"/>
      <w:bookmarkEnd w:id="4"/>
      <w:r w:rsidRPr="00257ABB">
        <w:t xml:space="preserve">Zamawiający wymaga złożenia następujących </w:t>
      </w:r>
      <w:r w:rsidR="00A61DFC" w:rsidRPr="00257ABB">
        <w:t>oświadczeń/</w:t>
      </w:r>
      <w:r w:rsidR="00DD06A2" w:rsidRPr="00257ABB">
        <w:t>dokumentów (</w:t>
      </w:r>
      <w:r w:rsidR="00067A0C" w:rsidRPr="00257ABB">
        <w:t>z</w:t>
      </w:r>
      <w:r w:rsidR="003D2127" w:rsidRPr="00257ABB">
        <w:t>awartość oferty</w:t>
      </w:r>
      <w:r w:rsidR="00DD06A2" w:rsidRPr="00257ABB">
        <w:t>)</w:t>
      </w:r>
      <w:r w:rsidR="003D2127" w:rsidRPr="00257ABB">
        <w:t>:</w:t>
      </w:r>
    </w:p>
    <w:p w14:paraId="2D845ED7" w14:textId="42A0F278" w:rsidR="00AB4A1C" w:rsidRPr="00257ABB" w:rsidRDefault="003D2127" w:rsidP="00C46DD3">
      <w:pPr>
        <w:pStyle w:val="Akapitzlist"/>
        <w:numPr>
          <w:ilvl w:val="0"/>
          <w:numId w:val="10"/>
        </w:numPr>
        <w:spacing w:line="276" w:lineRule="auto"/>
        <w:ind w:left="851" w:hanging="425"/>
        <w:contextualSpacing w:val="0"/>
        <w:rPr>
          <w:rFonts w:cs="Arial"/>
          <w:sz w:val="20"/>
          <w:szCs w:val="20"/>
        </w:rPr>
      </w:pPr>
      <w:r w:rsidRPr="00257ABB">
        <w:rPr>
          <w:rFonts w:cs="Arial"/>
          <w:sz w:val="20"/>
          <w:szCs w:val="20"/>
        </w:rPr>
        <w:t>w</w:t>
      </w:r>
      <w:r w:rsidR="00AB4A1C" w:rsidRPr="00257ABB">
        <w:rPr>
          <w:rFonts w:cs="Arial"/>
          <w:sz w:val="20"/>
          <w:szCs w:val="20"/>
        </w:rPr>
        <w:t xml:space="preserve">ypełniony Formularz ofertowy </w:t>
      </w:r>
      <w:r w:rsidR="00AB4A1C" w:rsidRPr="0077177E">
        <w:rPr>
          <w:rFonts w:cs="Arial"/>
          <w:sz w:val="20"/>
          <w:szCs w:val="20"/>
        </w:rPr>
        <w:t>oraz Formularz cenowy</w:t>
      </w:r>
      <w:r w:rsidR="00AB4A1C" w:rsidRPr="00257ABB">
        <w:rPr>
          <w:rFonts w:cs="Arial"/>
          <w:sz w:val="20"/>
          <w:szCs w:val="20"/>
        </w:rPr>
        <w:t xml:space="preserve">  – Załącznik nr 1 do SWZ</w:t>
      </w:r>
      <w:r w:rsidR="00A61DFC" w:rsidRPr="00257ABB">
        <w:rPr>
          <w:rFonts w:cs="Arial"/>
          <w:sz w:val="20"/>
          <w:szCs w:val="20"/>
        </w:rPr>
        <w:t>;</w:t>
      </w:r>
    </w:p>
    <w:p w14:paraId="5B984EDA" w14:textId="77777777" w:rsidR="003D2127" w:rsidRPr="00257ABB" w:rsidRDefault="003D2127" w:rsidP="00C46DD3">
      <w:pPr>
        <w:pStyle w:val="Akapitzlist"/>
        <w:numPr>
          <w:ilvl w:val="0"/>
          <w:numId w:val="10"/>
        </w:numPr>
        <w:spacing w:line="276" w:lineRule="auto"/>
        <w:ind w:left="851" w:hanging="425"/>
        <w:contextualSpacing w:val="0"/>
        <w:rPr>
          <w:rFonts w:cs="Arial"/>
          <w:sz w:val="20"/>
          <w:szCs w:val="20"/>
        </w:rPr>
      </w:pPr>
      <w:r w:rsidRPr="00257ABB">
        <w:rPr>
          <w:rFonts w:cs="Arial"/>
          <w:sz w:val="20"/>
          <w:szCs w:val="20"/>
        </w:rPr>
        <w:t>oświadczenie o spełnianiu warunków udziału w postępowaniu;</w:t>
      </w:r>
    </w:p>
    <w:p w14:paraId="7D15FA93" w14:textId="77777777" w:rsidR="003D2127" w:rsidRPr="00257ABB" w:rsidRDefault="003D2127" w:rsidP="00C46DD3">
      <w:pPr>
        <w:pStyle w:val="Akapitzlist"/>
        <w:numPr>
          <w:ilvl w:val="0"/>
          <w:numId w:val="10"/>
        </w:numPr>
        <w:spacing w:line="276" w:lineRule="auto"/>
        <w:ind w:left="851" w:hanging="425"/>
        <w:contextualSpacing w:val="0"/>
        <w:rPr>
          <w:rFonts w:cs="Arial"/>
          <w:sz w:val="20"/>
          <w:szCs w:val="20"/>
        </w:rPr>
      </w:pPr>
      <w:r w:rsidRPr="00257ABB">
        <w:rPr>
          <w:rFonts w:cs="Arial"/>
          <w:sz w:val="20"/>
          <w:szCs w:val="20"/>
        </w:rPr>
        <w:t>oświadczenie o niepodleganiu wykluczeniu z postępowania;</w:t>
      </w:r>
    </w:p>
    <w:p w14:paraId="4F3AE37F" w14:textId="2F8DDE24" w:rsidR="003D2127" w:rsidRPr="00257ABB" w:rsidRDefault="003D2127" w:rsidP="00C46DD3">
      <w:pPr>
        <w:pStyle w:val="Akapitzlist"/>
        <w:numPr>
          <w:ilvl w:val="0"/>
          <w:numId w:val="10"/>
        </w:numPr>
        <w:spacing w:line="276" w:lineRule="auto"/>
        <w:ind w:left="851" w:hanging="425"/>
        <w:contextualSpacing w:val="0"/>
        <w:rPr>
          <w:rFonts w:cs="Arial"/>
          <w:sz w:val="20"/>
          <w:szCs w:val="20"/>
        </w:rPr>
      </w:pPr>
      <w:r w:rsidRPr="00257ABB">
        <w:rPr>
          <w:rFonts w:cs="Arial"/>
          <w:sz w:val="20"/>
          <w:szCs w:val="20"/>
        </w:rPr>
        <w:t>oświadczenie o niezgłaszaniu roszczeń w przypadku unieważnienia postępowania</w:t>
      </w:r>
      <w:r w:rsidR="00A61DFC" w:rsidRPr="00257ABB">
        <w:rPr>
          <w:rFonts w:cs="Arial"/>
          <w:sz w:val="20"/>
          <w:szCs w:val="20"/>
        </w:rPr>
        <w:t>;</w:t>
      </w:r>
    </w:p>
    <w:p w14:paraId="467E5438" w14:textId="77777777" w:rsidR="00B32BB8" w:rsidRPr="00257ABB" w:rsidRDefault="00B32BB8" w:rsidP="00C46DD3">
      <w:pPr>
        <w:pStyle w:val="Akapitzlist"/>
        <w:numPr>
          <w:ilvl w:val="0"/>
          <w:numId w:val="10"/>
        </w:numPr>
        <w:spacing w:line="276" w:lineRule="auto"/>
        <w:ind w:left="851" w:hanging="425"/>
        <w:contextualSpacing w:val="0"/>
        <w:rPr>
          <w:rFonts w:cs="Arial"/>
          <w:sz w:val="20"/>
          <w:szCs w:val="20"/>
        </w:rPr>
      </w:pPr>
      <w:r w:rsidRPr="00257ABB">
        <w:rPr>
          <w:rFonts w:cs="Arial"/>
          <w:sz w:val="20"/>
          <w:szCs w:val="20"/>
        </w:rPr>
        <w:t xml:space="preserve">dot. </w:t>
      </w:r>
      <w:r w:rsidRPr="00257ABB">
        <w:rPr>
          <w:rFonts w:cs="Arial"/>
          <w:sz w:val="20"/>
          <w:szCs w:val="20"/>
          <w:u w:val="single"/>
        </w:rPr>
        <w:t>Wykonawcy z siedzibą lub miejscem zamieszkania za granicą</w:t>
      </w:r>
      <w:r w:rsidRPr="00257ABB">
        <w:rPr>
          <w:rFonts w:cs="Arial"/>
          <w:sz w:val="20"/>
          <w:szCs w:val="20"/>
        </w:rPr>
        <w:t xml:space="preserve">: </w:t>
      </w:r>
    </w:p>
    <w:p w14:paraId="7771B272" w14:textId="1A43D7FF" w:rsidR="00B32BB8" w:rsidRPr="00257ABB" w:rsidRDefault="00B32BB8" w:rsidP="002A65C8">
      <w:pPr>
        <w:pStyle w:val="Akapitzlist"/>
        <w:spacing w:line="276" w:lineRule="auto"/>
        <w:ind w:left="851"/>
        <w:contextualSpacing w:val="0"/>
        <w:rPr>
          <w:rFonts w:cs="Arial"/>
          <w:sz w:val="20"/>
          <w:szCs w:val="20"/>
        </w:rPr>
      </w:pPr>
      <w:r w:rsidRPr="00257ABB">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257ABB">
        <w:rPr>
          <w:rFonts w:cs="Arial"/>
          <w:sz w:val="20"/>
          <w:szCs w:val="20"/>
        </w:rPr>
        <w:t>;</w:t>
      </w:r>
    </w:p>
    <w:p w14:paraId="1CB55849" w14:textId="3AD2D23D" w:rsidR="003D2127" w:rsidRPr="00257ABB" w:rsidRDefault="003D2127" w:rsidP="00C46DD3">
      <w:pPr>
        <w:pStyle w:val="Akapitzlist"/>
        <w:numPr>
          <w:ilvl w:val="0"/>
          <w:numId w:val="10"/>
        </w:numPr>
        <w:spacing w:line="276" w:lineRule="auto"/>
        <w:ind w:left="851" w:hanging="425"/>
        <w:contextualSpacing w:val="0"/>
        <w:rPr>
          <w:rFonts w:cs="Arial"/>
          <w:sz w:val="20"/>
          <w:szCs w:val="20"/>
        </w:rPr>
      </w:pPr>
      <w:r w:rsidRPr="00257ABB">
        <w:rPr>
          <w:rFonts w:cs="Arial"/>
          <w:sz w:val="20"/>
          <w:szCs w:val="20"/>
        </w:rPr>
        <w:t>pełnomocnictwo – jeżeli ofertę podpisują inne osoby niż wskazane w dokumencie rejestrowym (oryginał lub kopię poświadczoną</w:t>
      </w:r>
      <w:r w:rsidR="000E270B" w:rsidRPr="00257ABB">
        <w:rPr>
          <w:rFonts w:cs="Arial"/>
          <w:sz w:val="20"/>
          <w:szCs w:val="20"/>
        </w:rPr>
        <w:t xml:space="preserve"> notarialni</w:t>
      </w:r>
      <w:r w:rsidR="00810441" w:rsidRPr="00257ABB">
        <w:rPr>
          <w:rFonts w:cs="Arial"/>
          <w:sz w:val="20"/>
          <w:szCs w:val="20"/>
        </w:rPr>
        <w:t>e</w:t>
      </w:r>
      <w:r w:rsidRPr="00257ABB">
        <w:rPr>
          <w:rFonts w:cs="Arial"/>
          <w:sz w:val="20"/>
          <w:szCs w:val="20"/>
        </w:rPr>
        <w:t>);</w:t>
      </w:r>
    </w:p>
    <w:p w14:paraId="112FBBD9" w14:textId="77777777" w:rsidR="00C105F8" w:rsidRPr="00257ABB" w:rsidRDefault="00EC5317" w:rsidP="00C46DD3">
      <w:pPr>
        <w:pStyle w:val="Akapitzlist"/>
        <w:numPr>
          <w:ilvl w:val="0"/>
          <w:numId w:val="10"/>
        </w:numPr>
        <w:spacing w:line="276" w:lineRule="auto"/>
        <w:ind w:left="851" w:hanging="425"/>
        <w:contextualSpacing w:val="0"/>
        <w:rPr>
          <w:rFonts w:cs="Arial"/>
          <w:sz w:val="20"/>
          <w:szCs w:val="20"/>
        </w:rPr>
      </w:pPr>
      <w:r w:rsidRPr="00257ABB">
        <w:rPr>
          <w:rFonts w:cs="Arial"/>
          <w:sz w:val="20"/>
          <w:szCs w:val="20"/>
          <w:lang w:eastAsia="en-US"/>
        </w:rPr>
        <w:t>z</w:t>
      </w:r>
      <w:r w:rsidR="003D2127" w:rsidRPr="00257ABB">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257ABB">
        <w:rPr>
          <w:rFonts w:cs="Arial"/>
          <w:sz w:val="20"/>
          <w:szCs w:val="20"/>
          <w:lang w:eastAsia="en-US"/>
        </w:rPr>
        <w:t>;</w:t>
      </w:r>
    </w:p>
    <w:p w14:paraId="5607E683" w14:textId="77777777" w:rsidR="00D845A5" w:rsidRDefault="00C105F8" w:rsidP="00257ABB">
      <w:pPr>
        <w:pStyle w:val="Akapitzlist"/>
        <w:numPr>
          <w:ilvl w:val="0"/>
          <w:numId w:val="10"/>
        </w:numPr>
        <w:spacing w:line="276" w:lineRule="auto"/>
        <w:ind w:left="851" w:hanging="425"/>
        <w:contextualSpacing w:val="0"/>
        <w:rPr>
          <w:rFonts w:cs="Arial"/>
          <w:sz w:val="20"/>
          <w:szCs w:val="20"/>
          <w:lang w:eastAsia="en-US"/>
        </w:rPr>
      </w:pPr>
      <w:r w:rsidRPr="00C763DA">
        <w:rPr>
          <w:rFonts w:cs="Arial"/>
          <w:b/>
          <w:sz w:val="20"/>
          <w:szCs w:val="20"/>
          <w:lang w:eastAsia="en-US"/>
        </w:rPr>
        <w:t>zaświadczenia właściwego naczelnika urzędu skarbowego</w:t>
      </w:r>
      <w:r w:rsidRPr="00C763DA">
        <w:rPr>
          <w:rFonts w:cs="Arial"/>
          <w:sz w:val="20"/>
          <w:szCs w:val="20"/>
          <w:lang w:eastAsia="en-US"/>
        </w:rPr>
        <w:t xml:space="preserve">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C763DA">
        <w:rPr>
          <w:rFonts w:cs="Arial"/>
          <w:sz w:val="20"/>
          <w:szCs w:val="20"/>
          <w:lang w:eastAsia="en-US"/>
        </w:rPr>
        <w:t>ego organu;</w:t>
      </w:r>
    </w:p>
    <w:p w14:paraId="5ECEFACC" w14:textId="4C8F2777" w:rsidR="008A0487" w:rsidRPr="00C763DA" w:rsidRDefault="00D845A5" w:rsidP="00D845A5">
      <w:pPr>
        <w:pStyle w:val="Akapitzlist"/>
        <w:spacing w:line="276" w:lineRule="auto"/>
        <w:ind w:left="851"/>
        <w:contextualSpacing w:val="0"/>
        <w:rPr>
          <w:rFonts w:cs="Arial"/>
          <w:sz w:val="20"/>
          <w:szCs w:val="20"/>
          <w:lang w:eastAsia="en-US"/>
        </w:rPr>
      </w:pPr>
      <w:r>
        <w:rPr>
          <w:rFonts w:cs="Arial"/>
          <w:sz w:val="20"/>
          <w:szCs w:val="20"/>
          <w:lang w:eastAsia="en-US"/>
        </w:rPr>
        <w:t>Jeżeli W</w:t>
      </w:r>
      <w:r w:rsidRPr="00D845A5">
        <w:rPr>
          <w:rFonts w:cs="Arial"/>
          <w:sz w:val="20"/>
          <w:szCs w:val="20"/>
          <w:lang w:eastAsia="en-US"/>
        </w:rPr>
        <w:t>ykonawca ma siedzibę lub miejsce zamieszkania poza granicami Rzeczypospolitej Polskiej, zamiast</w:t>
      </w:r>
      <w:r>
        <w:rPr>
          <w:rFonts w:cs="Arial"/>
          <w:sz w:val="20"/>
          <w:szCs w:val="20"/>
          <w:lang w:eastAsia="en-US"/>
        </w:rPr>
        <w:t xml:space="preserve"> powyższego </w:t>
      </w:r>
      <w:r w:rsidRPr="00D845A5">
        <w:rPr>
          <w:rFonts w:cs="Arial"/>
          <w:sz w:val="20"/>
          <w:szCs w:val="20"/>
          <w:lang w:eastAsia="en-US"/>
        </w:rPr>
        <w:t>zaświadczenia</w:t>
      </w:r>
      <w:r>
        <w:rPr>
          <w:rFonts w:cs="Arial"/>
          <w:sz w:val="20"/>
          <w:szCs w:val="20"/>
          <w:lang w:eastAsia="en-US"/>
        </w:rPr>
        <w:t xml:space="preserve"> </w:t>
      </w:r>
      <w:r w:rsidRPr="00D845A5">
        <w:rPr>
          <w:rFonts w:cs="Arial"/>
          <w:sz w:val="20"/>
          <w:szCs w:val="20"/>
          <w:lang w:eastAsia="en-US"/>
        </w:rPr>
        <w:t>składa doku</w:t>
      </w:r>
      <w:r>
        <w:rPr>
          <w:rFonts w:cs="Arial"/>
          <w:sz w:val="20"/>
          <w:szCs w:val="20"/>
          <w:lang w:eastAsia="en-US"/>
        </w:rPr>
        <w:t>ment lub dokumenty wystawione w </w:t>
      </w:r>
      <w:r w:rsidRPr="00D845A5">
        <w:rPr>
          <w:rFonts w:cs="Arial"/>
          <w:sz w:val="20"/>
          <w:szCs w:val="20"/>
          <w:lang w:eastAsia="en-US"/>
        </w:rPr>
        <w:t xml:space="preserve">kraju, w którym </w:t>
      </w:r>
      <w:r>
        <w:rPr>
          <w:rFonts w:cs="Arial"/>
          <w:sz w:val="20"/>
          <w:szCs w:val="20"/>
          <w:lang w:eastAsia="en-US"/>
        </w:rPr>
        <w:t>W</w:t>
      </w:r>
      <w:r w:rsidRPr="00D845A5">
        <w:rPr>
          <w:rFonts w:cs="Arial"/>
          <w:sz w:val="20"/>
          <w:szCs w:val="20"/>
          <w:lang w:eastAsia="en-US"/>
        </w:rPr>
        <w:t xml:space="preserve">ykonawca ma siedzibę lub miejsce zamieszkania, potwierdzające, że nie naruszył obowiązków dotyczących płatności podatków. Dokument ten powinny być wystawiony nie wcześniej niż 3 miesiące przed </w:t>
      </w:r>
      <w:r w:rsidRPr="00C763DA">
        <w:rPr>
          <w:rFonts w:cs="Arial"/>
          <w:sz w:val="20"/>
          <w:szCs w:val="20"/>
          <w:lang w:eastAsia="en-US"/>
        </w:rPr>
        <w:t>upływem terminu składania ofert</w:t>
      </w:r>
      <w:r>
        <w:rPr>
          <w:rFonts w:cs="Arial"/>
          <w:sz w:val="20"/>
          <w:szCs w:val="20"/>
          <w:lang w:eastAsia="en-US"/>
        </w:rPr>
        <w:t>.</w:t>
      </w:r>
    </w:p>
    <w:p w14:paraId="47C0A812" w14:textId="55191860" w:rsidR="004A1D68" w:rsidRPr="00257ABB" w:rsidRDefault="004A1D68" w:rsidP="00C46DD3">
      <w:pPr>
        <w:pStyle w:val="Akapitzlist"/>
        <w:numPr>
          <w:ilvl w:val="0"/>
          <w:numId w:val="10"/>
        </w:numPr>
        <w:spacing w:line="276" w:lineRule="auto"/>
        <w:ind w:left="851" w:hanging="425"/>
        <w:rPr>
          <w:rFonts w:cs="Arial"/>
          <w:sz w:val="20"/>
          <w:szCs w:val="20"/>
        </w:rPr>
      </w:pPr>
      <w:r w:rsidRPr="00257ABB">
        <w:rPr>
          <w:rFonts w:cs="Arial"/>
          <w:b/>
          <w:sz w:val="20"/>
          <w:szCs w:val="20"/>
        </w:rPr>
        <w:t>Wykazu wykonanych dostaw</w:t>
      </w:r>
      <w:r w:rsidRPr="00257ABB">
        <w:rPr>
          <w:rFonts w:cs="Arial"/>
          <w:sz w:val="20"/>
          <w:szCs w:val="20"/>
        </w:rPr>
        <w:t xml:space="preserve">, </w:t>
      </w:r>
      <w:r w:rsidRPr="0077177E">
        <w:rPr>
          <w:rFonts w:cs="Arial"/>
          <w:sz w:val="20"/>
          <w:szCs w:val="20"/>
        </w:rPr>
        <w:t>a w przypadku świadczeń powtarzających się lub ciągłych również wykonywanych w okresie ostatnich 3 lat przed upływem terminu składania ofert, a jeżeli okres prowadzenia działalności jest krótszy - w tym okresie wraz z podaniem</w:t>
      </w:r>
      <w:r w:rsidR="0077177E">
        <w:rPr>
          <w:rFonts w:cs="Arial"/>
          <w:sz w:val="20"/>
          <w:szCs w:val="20"/>
        </w:rPr>
        <w:t>;</w:t>
      </w:r>
      <w:r w:rsidRPr="0077177E">
        <w:rPr>
          <w:rFonts w:cs="Arial"/>
          <w:sz w:val="20"/>
          <w:szCs w:val="20"/>
        </w:rPr>
        <w:t xml:space="preserve"> </w:t>
      </w:r>
      <w:r w:rsidR="0077177E">
        <w:rPr>
          <w:rFonts w:cs="Arial"/>
          <w:sz w:val="20"/>
          <w:szCs w:val="20"/>
        </w:rPr>
        <w:t xml:space="preserve">opisu i zakresu wykonanej dostawy, </w:t>
      </w:r>
      <w:r w:rsidR="00147918" w:rsidRPr="0077177E">
        <w:rPr>
          <w:rFonts w:cs="Arial"/>
          <w:sz w:val="20"/>
          <w:szCs w:val="20"/>
        </w:rPr>
        <w:t xml:space="preserve">wykonanych </w:t>
      </w:r>
      <w:r w:rsidR="00257ABB" w:rsidRPr="0077177E">
        <w:rPr>
          <w:rFonts w:cs="Arial"/>
          <w:sz w:val="20"/>
          <w:szCs w:val="20"/>
        </w:rPr>
        <w:t xml:space="preserve">ilości </w:t>
      </w:r>
      <w:r w:rsidR="00147918" w:rsidRPr="0077177E">
        <w:rPr>
          <w:rFonts w:cs="Arial"/>
          <w:sz w:val="20"/>
          <w:szCs w:val="20"/>
        </w:rPr>
        <w:t>dostaw</w:t>
      </w:r>
      <w:r w:rsidR="00257ABB" w:rsidRPr="0077177E">
        <w:rPr>
          <w:rFonts w:cs="Arial"/>
          <w:sz w:val="20"/>
          <w:szCs w:val="20"/>
        </w:rPr>
        <w:t xml:space="preserve"> barytu w tonach</w:t>
      </w:r>
      <w:r w:rsidR="0077177E">
        <w:rPr>
          <w:rFonts w:cs="Arial"/>
          <w:sz w:val="20"/>
          <w:szCs w:val="20"/>
        </w:rPr>
        <w:t>, dat wykonania</w:t>
      </w:r>
      <w:r w:rsidRPr="0077177E">
        <w:rPr>
          <w:rFonts w:cs="Arial"/>
          <w:sz w:val="20"/>
          <w:szCs w:val="20"/>
        </w:rPr>
        <w:t xml:space="preserve"> oraz odbiorców</w:t>
      </w:r>
      <w:r w:rsidR="0077177E">
        <w:rPr>
          <w:rFonts w:cs="Arial"/>
          <w:sz w:val="20"/>
          <w:szCs w:val="20"/>
        </w:rPr>
        <w:t xml:space="preserve"> (podmiotów)</w:t>
      </w:r>
      <w:r w:rsidRPr="0077177E">
        <w:rPr>
          <w:rFonts w:cs="Arial"/>
          <w:sz w:val="20"/>
          <w:szCs w:val="20"/>
        </w:rPr>
        <w:t xml:space="preserve"> dla których dostawy </w:t>
      </w:r>
      <w:r w:rsidR="0077177E">
        <w:rPr>
          <w:rFonts w:cs="Arial"/>
          <w:sz w:val="20"/>
          <w:szCs w:val="20"/>
        </w:rPr>
        <w:t xml:space="preserve">te były wykonane </w:t>
      </w:r>
      <w:r w:rsidRPr="0077177E">
        <w:rPr>
          <w:rFonts w:cs="Arial"/>
          <w:sz w:val="20"/>
          <w:szCs w:val="20"/>
        </w:rPr>
        <w:t xml:space="preserve">– sporządzone na podstawie wzoru stanowiącego Załącznik nr </w:t>
      </w:r>
      <w:r w:rsidR="0077177E">
        <w:rPr>
          <w:rFonts w:cs="Arial"/>
          <w:sz w:val="20"/>
          <w:szCs w:val="20"/>
        </w:rPr>
        <w:t xml:space="preserve">5 </w:t>
      </w:r>
      <w:r w:rsidRPr="0077177E">
        <w:rPr>
          <w:rFonts w:cs="Arial"/>
          <w:sz w:val="20"/>
          <w:szCs w:val="20"/>
        </w:rPr>
        <w:t>do SWZ.</w:t>
      </w:r>
    </w:p>
    <w:p w14:paraId="44FC9042" w14:textId="322DA6F4" w:rsidR="004A1D68" w:rsidRPr="00257ABB" w:rsidRDefault="004A1D68" w:rsidP="005836CF">
      <w:pPr>
        <w:pStyle w:val="Akapitzlist"/>
        <w:spacing w:line="276" w:lineRule="auto"/>
        <w:ind w:left="851"/>
        <w:rPr>
          <w:rFonts w:cs="Arial"/>
          <w:sz w:val="20"/>
          <w:szCs w:val="20"/>
        </w:rPr>
      </w:pPr>
      <w:r w:rsidRPr="00257ABB">
        <w:rPr>
          <w:rFonts w:cs="Arial"/>
          <w:sz w:val="20"/>
          <w:szCs w:val="20"/>
        </w:rPr>
        <w:t xml:space="preserve">Jeżeli Wykonawca powołuje się na doświadczenie w realizacji dostaw, </w:t>
      </w:r>
      <w:r w:rsidR="00B63C48" w:rsidRPr="00257ABB">
        <w:rPr>
          <w:rFonts w:cs="Arial"/>
          <w:sz w:val="20"/>
          <w:szCs w:val="20"/>
        </w:rPr>
        <w:t>wykonywanych wspólnie z innymi W</w:t>
      </w:r>
      <w:r w:rsidRPr="00257ABB">
        <w:rPr>
          <w:rFonts w:cs="Arial"/>
          <w:sz w:val="20"/>
          <w:szCs w:val="20"/>
        </w:rPr>
        <w:t>ykonawcami, wykaz o którym mowa powyżej, dotyczy dostaw</w:t>
      </w:r>
      <w:r w:rsidR="00B63C48" w:rsidRPr="00257ABB">
        <w:rPr>
          <w:rFonts w:cs="Arial"/>
          <w:sz w:val="20"/>
          <w:szCs w:val="20"/>
        </w:rPr>
        <w:t>, w których wykonaniu W</w:t>
      </w:r>
      <w:r w:rsidRPr="00257ABB">
        <w:rPr>
          <w:rFonts w:cs="Arial"/>
          <w:sz w:val="20"/>
          <w:szCs w:val="20"/>
        </w:rPr>
        <w:t>ykonawca ten bezp</w:t>
      </w:r>
      <w:r w:rsidR="00147918">
        <w:rPr>
          <w:rFonts w:cs="Arial"/>
          <w:sz w:val="20"/>
          <w:szCs w:val="20"/>
        </w:rPr>
        <w:t>ośrednio uczestniczył</w:t>
      </w:r>
      <w:r w:rsidRPr="00257ABB">
        <w:rPr>
          <w:rFonts w:cs="Arial"/>
          <w:sz w:val="20"/>
          <w:szCs w:val="20"/>
        </w:rPr>
        <w:t xml:space="preserve"> a w przypadku świadczeń powtarzających się lub ciągłych, w których wykonywaniu bezpośrednio uczestniczy.</w:t>
      </w:r>
    </w:p>
    <w:p w14:paraId="28370606" w14:textId="145D0928" w:rsidR="004A1D68" w:rsidRPr="00257ABB" w:rsidRDefault="004A1D68" w:rsidP="00C46DD3">
      <w:pPr>
        <w:pStyle w:val="Akapitzlist"/>
        <w:numPr>
          <w:ilvl w:val="0"/>
          <w:numId w:val="10"/>
        </w:numPr>
        <w:spacing w:line="276" w:lineRule="auto"/>
        <w:ind w:left="851" w:hanging="425"/>
        <w:rPr>
          <w:rFonts w:cs="Arial"/>
          <w:sz w:val="20"/>
          <w:szCs w:val="20"/>
        </w:rPr>
      </w:pPr>
      <w:r w:rsidRPr="00257ABB">
        <w:rPr>
          <w:rFonts w:cs="Arial"/>
          <w:b/>
          <w:sz w:val="20"/>
          <w:szCs w:val="20"/>
        </w:rPr>
        <w:lastRenderedPageBreak/>
        <w:t>Dowodów</w:t>
      </w:r>
      <w:r w:rsidRPr="00257ABB">
        <w:rPr>
          <w:rFonts w:cs="Arial"/>
          <w:sz w:val="20"/>
          <w:szCs w:val="20"/>
        </w:rPr>
        <w:t xml:space="preserve">, że </w:t>
      </w:r>
      <w:r w:rsidR="00257ABB" w:rsidRPr="00257ABB">
        <w:rPr>
          <w:rFonts w:cs="Arial"/>
          <w:sz w:val="20"/>
          <w:szCs w:val="20"/>
        </w:rPr>
        <w:t>dostawy</w:t>
      </w:r>
      <w:r w:rsidRPr="00257ABB">
        <w:rPr>
          <w:rFonts w:cs="Arial"/>
          <w:sz w:val="20"/>
          <w:szCs w:val="20"/>
        </w:rPr>
        <w:t xml:space="preserve"> wymienione w wykazie zostały wykonane lub są wykonywane należycie, w tym:</w:t>
      </w:r>
    </w:p>
    <w:p w14:paraId="44E1A0B9" w14:textId="0080393F" w:rsidR="005F0E5C" w:rsidRPr="00257ABB" w:rsidRDefault="004A1D68" w:rsidP="00C46DD3">
      <w:pPr>
        <w:pStyle w:val="Akapitzlist"/>
        <w:numPr>
          <w:ilvl w:val="0"/>
          <w:numId w:val="25"/>
        </w:numPr>
        <w:spacing w:line="276" w:lineRule="auto"/>
        <w:ind w:left="1134" w:hanging="283"/>
        <w:rPr>
          <w:rFonts w:cs="Arial"/>
          <w:sz w:val="20"/>
          <w:szCs w:val="20"/>
        </w:rPr>
      </w:pPr>
      <w:r w:rsidRPr="00257ABB">
        <w:rPr>
          <w:rFonts w:cs="Arial"/>
          <w:sz w:val="20"/>
          <w:szCs w:val="20"/>
        </w:rPr>
        <w:t xml:space="preserve">referencje bądź inne dokumenty sporządzone przez podmiot, na rzecz którego </w:t>
      </w:r>
      <w:r w:rsidR="00257ABB" w:rsidRPr="00257ABB">
        <w:rPr>
          <w:rFonts w:cs="Arial"/>
          <w:sz w:val="20"/>
          <w:szCs w:val="20"/>
        </w:rPr>
        <w:t>dostawy</w:t>
      </w:r>
      <w:r w:rsidRPr="00257ABB">
        <w:rPr>
          <w:rFonts w:cs="Arial"/>
          <w:sz w:val="20"/>
          <w:szCs w:val="20"/>
        </w:rPr>
        <w:t xml:space="preserve"> zostały wykonane wskazane w wykazie, o którym mowa w pkt</w:t>
      </w:r>
      <w:r w:rsidR="0047149C" w:rsidRPr="00257ABB">
        <w:rPr>
          <w:rFonts w:cs="Arial"/>
          <w:sz w:val="20"/>
          <w:szCs w:val="20"/>
        </w:rPr>
        <w:t>.</w:t>
      </w:r>
      <w:r w:rsidRPr="00257ABB">
        <w:rPr>
          <w:rFonts w:cs="Arial"/>
          <w:sz w:val="20"/>
          <w:szCs w:val="20"/>
        </w:rPr>
        <w:t xml:space="preserve"> </w:t>
      </w:r>
      <w:r w:rsidR="00BB3F03">
        <w:rPr>
          <w:rFonts w:cs="Arial"/>
          <w:sz w:val="20"/>
          <w:szCs w:val="20"/>
        </w:rPr>
        <w:t>11.1.</w:t>
      </w:r>
      <w:r w:rsidR="00A34B2D">
        <w:rPr>
          <w:rFonts w:cs="Arial"/>
          <w:sz w:val="20"/>
          <w:szCs w:val="20"/>
        </w:rPr>
        <w:t xml:space="preserve"> </w:t>
      </w:r>
      <w:r w:rsidR="00BB3F03">
        <w:rPr>
          <w:rFonts w:cs="Arial"/>
          <w:sz w:val="20"/>
          <w:szCs w:val="20"/>
        </w:rPr>
        <w:t>lit i)</w:t>
      </w:r>
      <w:r w:rsidRPr="00257ABB">
        <w:rPr>
          <w:rFonts w:cs="Arial"/>
          <w:sz w:val="20"/>
          <w:szCs w:val="20"/>
        </w:rPr>
        <w:t xml:space="preserve"> </w:t>
      </w:r>
      <w:r w:rsidR="00BB3F03">
        <w:rPr>
          <w:rFonts w:cs="Arial"/>
          <w:sz w:val="20"/>
          <w:szCs w:val="20"/>
        </w:rPr>
        <w:t>SWZ. W </w:t>
      </w:r>
      <w:r w:rsidRPr="00257ABB">
        <w:rPr>
          <w:rFonts w:cs="Arial"/>
          <w:sz w:val="20"/>
          <w:szCs w:val="20"/>
        </w:rPr>
        <w:t>przypadku świadczeń powtarzających się lub ciągłych nadal wykonywanych referencje bądź inne dokumenty potwierdzające ich należyte wykonywanie powinny być wystawione w okresie ostatnich 3 miesięcy;</w:t>
      </w:r>
    </w:p>
    <w:p w14:paraId="7209B0C3" w14:textId="4729403A" w:rsidR="005F0E5C" w:rsidRPr="00257ABB" w:rsidRDefault="005F0E5C" w:rsidP="00C46DD3">
      <w:pPr>
        <w:pStyle w:val="Akapitzlist"/>
        <w:numPr>
          <w:ilvl w:val="0"/>
          <w:numId w:val="25"/>
        </w:numPr>
        <w:spacing w:line="276" w:lineRule="auto"/>
        <w:ind w:left="1134" w:hanging="283"/>
        <w:rPr>
          <w:rFonts w:cs="Arial"/>
          <w:sz w:val="20"/>
          <w:szCs w:val="20"/>
        </w:rPr>
      </w:pPr>
      <w:r w:rsidRPr="00257ABB">
        <w:rPr>
          <w:rFonts w:cs="Arial"/>
          <w:sz w:val="20"/>
          <w:szCs w:val="20"/>
        </w:rPr>
        <w:t xml:space="preserve">w przypadku, </w:t>
      </w:r>
      <w:r w:rsidRPr="00A34B2D">
        <w:rPr>
          <w:rFonts w:cs="Arial"/>
          <w:sz w:val="20"/>
          <w:szCs w:val="20"/>
        </w:rPr>
        <w:t xml:space="preserve">gdy PGNiG S.A. lub </w:t>
      </w:r>
      <w:r w:rsidR="00C629F3" w:rsidRPr="00A34B2D">
        <w:rPr>
          <w:rFonts w:cs="Arial"/>
          <w:sz w:val="20"/>
          <w:szCs w:val="20"/>
        </w:rPr>
        <w:t>ORLEN S.A. – Oddział Centralny PGNiG</w:t>
      </w:r>
      <w:r w:rsidRPr="00A34B2D">
        <w:rPr>
          <w:rFonts w:cs="Arial"/>
          <w:sz w:val="20"/>
          <w:szCs w:val="20"/>
        </w:rPr>
        <w:t xml:space="preserve"> w</w:t>
      </w:r>
      <w:r w:rsidR="00C629F3" w:rsidRPr="00A34B2D">
        <w:rPr>
          <w:rFonts w:cs="Arial"/>
          <w:sz w:val="20"/>
          <w:szCs w:val="20"/>
        </w:rPr>
        <w:t xml:space="preserve"> Warszawie, </w:t>
      </w:r>
      <w:r w:rsidR="006853CA" w:rsidRPr="00A34B2D">
        <w:rPr>
          <w:rFonts w:cs="Arial"/>
          <w:sz w:val="20"/>
          <w:szCs w:val="20"/>
        </w:rPr>
        <w:t>ORLEN S.A.</w:t>
      </w:r>
      <w:r w:rsidRPr="00A34B2D">
        <w:rPr>
          <w:rFonts w:cs="Arial"/>
          <w:sz w:val="20"/>
          <w:szCs w:val="20"/>
        </w:rPr>
        <w:t xml:space="preserve"> – Oddział Geologii i Eksploatacji PGNiG w Warszawie</w:t>
      </w:r>
      <w:r w:rsidRPr="00257ABB">
        <w:rPr>
          <w:rFonts w:cs="Arial"/>
          <w:i/>
          <w:sz w:val="20"/>
          <w:szCs w:val="20"/>
        </w:rPr>
        <w:t xml:space="preserve"> </w:t>
      </w:r>
      <w:r w:rsidRPr="00257ABB">
        <w:rPr>
          <w:rFonts w:cs="Arial"/>
          <w:sz w:val="20"/>
          <w:szCs w:val="20"/>
        </w:rPr>
        <w:t>jest podmiotem, na rzecz którego dostawy wskazane</w:t>
      </w:r>
      <w:r w:rsidR="008113DB" w:rsidRPr="00257ABB">
        <w:rPr>
          <w:rFonts w:cs="Arial"/>
          <w:sz w:val="20"/>
          <w:szCs w:val="20"/>
        </w:rPr>
        <w:t xml:space="preserve"> w w/w w</w:t>
      </w:r>
      <w:r w:rsidRPr="00257ABB">
        <w:rPr>
          <w:rFonts w:cs="Arial"/>
          <w:sz w:val="20"/>
          <w:szCs w:val="20"/>
        </w:rPr>
        <w:t xml:space="preserve">ykazie zostały wcześniej wykonane, Wykonawca nie ma obowiązku przedkładania ww. dowodów; </w:t>
      </w:r>
    </w:p>
    <w:p w14:paraId="51B563BD" w14:textId="78755F49" w:rsidR="005F0E5C" w:rsidRPr="00257ABB" w:rsidRDefault="004A1D68" w:rsidP="00C46DD3">
      <w:pPr>
        <w:pStyle w:val="Akapitzlist"/>
        <w:numPr>
          <w:ilvl w:val="0"/>
          <w:numId w:val="25"/>
        </w:numPr>
        <w:spacing w:line="276" w:lineRule="auto"/>
        <w:ind w:left="1134" w:hanging="283"/>
        <w:rPr>
          <w:rFonts w:cs="Arial"/>
          <w:sz w:val="20"/>
          <w:szCs w:val="20"/>
        </w:rPr>
      </w:pPr>
      <w:r w:rsidRPr="00257ABB">
        <w:rPr>
          <w:rFonts w:cs="Arial"/>
          <w:sz w:val="20"/>
          <w:szCs w:val="20"/>
        </w:rPr>
        <w:t>oświadczenie Wykonawcy składającego ofertę – jeżeli z przyczyn niezależnych od niego nie jest w stanie uzyskać referencji, o których mowa w pkt</w:t>
      </w:r>
      <w:r w:rsidR="0047149C" w:rsidRPr="00257ABB">
        <w:rPr>
          <w:rFonts w:cs="Arial"/>
          <w:sz w:val="20"/>
          <w:szCs w:val="20"/>
        </w:rPr>
        <w:t>.</w:t>
      </w:r>
      <w:r w:rsidRPr="00257ABB">
        <w:rPr>
          <w:rFonts w:cs="Arial"/>
          <w:sz w:val="20"/>
          <w:szCs w:val="20"/>
        </w:rPr>
        <w:t xml:space="preserve"> </w:t>
      </w:r>
      <w:r w:rsidR="00BB3F03">
        <w:rPr>
          <w:rFonts w:cs="Arial"/>
          <w:sz w:val="20"/>
          <w:szCs w:val="20"/>
        </w:rPr>
        <w:t>11.1.lit</w:t>
      </w:r>
      <w:r w:rsidR="00A34B2D">
        <w:rPr>
          <w:rFonts w:cs="Arial"/>
          <w:sz w:val="20"/>
          <w:szCs w:val="20"/>
        </w:rPr>
        <w:t>.</w:t>
      </w:r>
      <w:r w:rsidR="00BB3F03">
        <w:rPr>
          <w:rFonts w:cs="Arial"/>
          <w:sz w:val="20"/>
          <w:szCs w:val="20"/>
        </w:rPr>
        <w:t xml:space="preserve"> j)</w:t>
      </w:r>
      <w:r w:rsidR="00BB3F03" w:rsidRPr="00257ABB">
        <w:rPr>
          <w:rFonts w:cs="Arial"/>
          <w:sz w:val="20"/>
          <w:szCs w:val="20"/>
        </w:rPr>
        <w:t xml:space="preserve"> </w:t>
      </w:r>
      <w:r w:rsidR="00BB3F03">
        <w:rPr>
          <w:rFonts w:cs="Arial"/>
          <w:sz w:val="20"/>
          <w:szCs w:val="20"/>
        </w:rPr>
        <w:t>ppkt</w:t>
      </w:r>
      <w:r w:rsidR="00A34B2D">
        <w:rPr>
          <w:rFonts w:cs="Arial"/>
          <w:sz w:val="20"/>
          <w:szCs w:val="20"/>
        </w:rPr>
        <w:t>.</w:t>
      </w:r>
      <w:r w:rsidR="00BB3F03">
        <w:rPr>
          <w:rFonts w:cs="Arial"/>
          <w:sz w:val="20"/>
          <w:szCs w:val="20"/>
        </w:rPr>
        <w:t xml:space="preserve"> i)</w:t>
      </w:r>
      <w:r w:rsidRPr="00257ABB">
        <w:rPr>
          <w:rFonts w:cs="Arial"/>
          <w:sz w:val="20"/>
          <w:szCs w:val="20"/>
        </w:rPr>
        <w:t xml:space="preserve"> SWZ;</w:t>
      </w:r>
    </w:p>
    <w:p w14:paraId="7AC365A6" w14:textId="1F6F59E4" w:rsidR="008A0487" w:rsidRPr="00257ABB" w:rsidRDefault="008D6348" w:rsidP="00C46DD3">
      <w:pPr>
        <w:pStyle w:val="Akapitzlist"/>
        <w:numPr>
          <w:ilvl w:val="0"/>
          <w:numId w:val="25"/>
        </w:numPr>
        <w:spacing w:line="276" w:lineRule="auto"/>
        <w:ind w:left="1134" w:hanging="283"/>
        <w:rPr>
          <w:rFonts w:cs="Arial"/>
          <w:sz w:val="20"/>
          <w:szCs w:val="20"/>
        </w:rPr>
      </w:pPr>
      <w:r w:rsidRPr="00257ABB">
        <w:rPr>
          <w:rFonts w:cs="Arial"/>
          <w:sz w:val="20"/>
          <w:szCs w:val="20"/>
        </w:rPr>
        <w:t>Uwaga!</w:t>
      </w:r>
      <w:r w:rsidR="004A1D68" w:rsidRPr="00257ABB">
        <w:rPr>
          <w:rFonts w:cs="Arial"/>
          <w:sz w:val="20"/>
          <w:szCs w:val="20"/>
        </w:rPr>
        <w:t xml:space="preserve"> Zamawiający nie uzna, jako dowodu faktur itp. dokumentów, z uwagi na fakt, iż ich treść nie potwierdza należytego wykonania zamówienia.</w:t>
      </w:r>
    </w:p>
    <w:p w14:paraId="1A533512" w14:textId="77777777" w:rsidR="003D2127" w:rsidRPr="0041047A" w:rsidRDefault="003D2127" w:rsidP="002A65C8">
      <w:pPr>
        <w:pStyle w:val="Akapitzlist"/>
        <w:spacing w:line="276" w:lineRule="auto"/>
        <w:ind w:left="851"/>
        <w:contextualSpacing w:val="0"/>
        <w:rPr>
          <w:rFonts w:cs="Arial"/>
          <w:sz w:val="20"/>
          <w:szCs w:val="20"/>
        </w:rPr>
      </w:pPr>
    </w:p>
    <w:p w14:paraId="60F060C9" w14:textId="4F64DD2E" w:rsidR="00FB1D23" w:rsidRDefault="008575DB" w:rsidP="00FB1D23">
      <w:pPr>
        <w:pStyle w:val="Styl11"/>
      </w:pPr>
      <w:r>
        <w:t xml:space="preserve">W przypadku </w:t>
      </w:r>
      <w:r w:rsidR="00FB1D23">
        <w:t>gdy ofertę w postępowaniu składa Spółka z G</w:t>
      </w:r>
      <w:r w:rsidR="0041047A">
        <w:t xml:space="preserve">rupy </w:t>
      </w:r>
      <w:r w:rsidR="00FB1D23">
        <w:t>K</w:t>
      </w:r>
      <w:r w:rsidR="0041047A">
        <w:t>apitałowej (GK)</w:t>
      </w:r>
      <w:r w:rsidR="00FB1D23">
        <w:t xml:space="preserve"> Zamawiającego, oferta Spółki powinna wskazywać model kalkulacji ceny. W przypadku zastosowania:</w:t>
      </w:r>
    </w:p>
    <w:p w14:paraId="00BDF57C" w14:textId="77777777" w:rsidR="00FB1D23" w:rsidRDefault="00FB1D23" w:rsidP="00FB1D23">
      <w:pPr>
        <w:pStyle w:val="Styl11"/>
        <w:numPr>
          <w:ilvl w:val="0"/>
          <w:numId w:val="37"/>
        </w:numPr>
        <w:spacing w:line="256" w:lineRule="auto"/>
      </w:pPr>
      <w:r>
        <w:t xml:space="preserve">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 </w:t>
      </w:r>
    </w:p>
    <w:p w14:paraId="127F5032" w14:textId="77777777" w:rsidR="00FB1D23" w:rsidRDefault="00FB1D23" w:rsidP="00FB1D23">
      <w:pPr>
        <w:pStyle w:val="Styl11"/>
        <w:numPr>
          <w:ilvl w:val="0"/>
          <w:numId w:val="0"/>
        </w:numPr>
        <w:ind w:left="709"/>
      </w:pPr>
      <w:r>
        <w:t>2) Metod odkosztowych (metody koszt plus bądź metody marży transakcyjnej netto)</w:t>
      </w:r>
    </w:p>
    <w:p w14:paraId="39343FD8" w14:textId="77777777" w:rsidR="00FB1D23" w:rsidRDefault="00FB1D23" w:rsidP="00FB1D23">
      <w:pPr>
        <w:numPr>
          <w:ilvl w:val="2"/>
          <w:numId w:val="38"/>
        </w:numPr>
        <w:spacing w:after="130" w:line="264" w:lineRule="auto"/>
        <w:ind w:left="1276"/>
        <w:rPr>
          <w:rFonts w:ascii="Calibri" w:hAnsi="Calibri"/>
          <w:i/>
          <w:iCs/>
          <w:sz w:val="20"/>
          <w:szCs w:val="20"/>
        </w:rPr>
      </w:pPr>
      <w:r>
        <w:rPr>
          <w:i/>
          <w:iCs/>
          <w:sz w:val="20"/>
          <w:szCs w:val="20"/>
        </w:rPr>
        <w:t>Kalkulację bazy kosztowej Wykonawcy, z wyszczególnieniem:</w:t>
      </w:r>
    </w:p>
    <w:p w14:paraId="248210DB" w14:textId="77777777" w:rsidR="00FB1D23" w:rsidRDefault="00FB1D23" w:rsidP="00FB1D23">
      <w:pPr>
        <w:numPr>
          <w:ilvl w:val="3"/>
          <w:numId w:val="38"/>
        </w:numPr>
        <w:spacing w:after="130" w:line="264" w:lineRule="auto"/>
        <w:ind w:left="1843"/>
        <w:rPr>
          <w:i/>
          <w:iCs/>
          <w:sz w:val="20"/>
          <w:szCs w:val="20"/>
        </w:rPr>
      </w:pPr>
      <w:r>
        <w:rPr>
          <w:i/>
          <w:iCs/>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2CCD7960" w14:textId="77777777" w:rsidR="00FB1D23" w:rsidRDefault="00FB1D23" w:rsidP="00FB1D23">
      <w:pPr>
        <w:numPr>
          <w:ilvl w:val="3"/>
          <w:numId w:val="38"/>
        </w:numPr>
        <w:spacing w:after="130" w:line="264" w:lineRule="auto"/>
        <w:ind w:left="1843"/>
        <w:rPr>
          <w:i/>
          <w:iCs/>
          <w:sz w:val="20"/>
          <w:szCs w:val="20"/>
        </w:rPr>
      </w:pPr>
      <w:r>
        <w:rPr>
          <w:i/>
          <w:iCs/>
          <w:sz w:val="20"/>
          <w:szCs w:val="20"/>
        </w:rPr>
        <w:t>budżetowanych kosztów pośrednich wynikających z planu kont Spółki (w wysokości określonej za pomocą wskaźników narzutów) obejmujących na przykład (jeżeli dotyczy):</w:t>
      </w:r>
    </w:p>
    <w:p w14:paraId="61B62D37"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wydziałowych;</w:t>
      </w:r>
    </w:p>
    <w:p w14:paraId="24F192EA"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sprzedaży;</w:t>
      </w:r>
    </w:p>
    <w:p w14:paraId="629DDF1E"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ogólnego zarządu;</w:t>
      </w:r>
    </w:p>
    <w:p w14:paraId="5D856002"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przestojowych/standby.</w:t>
      </w:r>
    </w:p>
    <w:p w14:paraId="60C10BF5" w14:textId="77777777" w:rsidR="00FB1D23" w:rsidRPr="00FB1D23" w:rsidRDefault="00FB1D23" w:rsidP="00FB1D23">
      <w:pPr>
        <w:numPr>
          <w:ilvl w:val="3"/>
          <w:numId w:val="38"/>
        </w:numPr>
        <w:spacing w:after="130" w:line="264" w:lineRule="auto"/>
        <w:ind w:left="1843"/>
        <w:rPr>
          <w:i/>
          <w:iCs/>
          <w:sz w:val="20"/>
          <w:szCs w:val="20"/>
        </w:rPr>
      </w:pPr>
      <w:r>
        <w:rPr>
          <w:i/>
          <w:iCs/>
          <w:sz w:val="20"/>
          <w:szCs w:val="20"/>
        </w:rPr>
        <w:t xml:space="preserve">rynkowego narzutu zysku/marży (wynikającego z analizy porównawczej opartej o wewnętrzne dane rynkowe) wraz </w:t>
      </w:r>
      <w:r w:rsidRPr="00FB1D23">
        <w:rPr>
          <w:i/>
          <w:iCs/>
          <w:sz w:val="20"/>
          <w:szCs w:val="20"/>
        </w:rPr>
        <w:t>z uzasadnieniem wysokości przyjętego narzutu/marży.</w:t>
      </w:r>
    </w:p>
    <w:p w14:paraId="68F4B109" w14:textId="77777777" w:rsidR="00FB1D23" w:rsidRDefault="00FB1D23" w:rsidP="00FB1D23">
      <w:pPr>
        <w:pStyle w:val="Styl11"/>
        <w:numPr>
          <w:ilvl w:val="2"/>
          <w:numId w:val="38"/>
        </w:numPr>
        <w:spacing w:line="256" w:lineRule="auto"/>
        <w:ind w:left="1276"/>
      </w:pPr>
      <w: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0E3889DA" w14:textId="77777777" w:rsidR="00FB1D23" w:rsidRDefault="00FB1D23" w:rsidP="00FB1D23">
      <w:pPr>
        <w:pStyle w:val="Styl11"/>
        <w:numPr>
          <w:ilvl w:val="2"/>
          <w:numId w:val="38"/>
        </w:numPr>
        <w:spacing w:line="256" w:lineRule="auto"/>
        <w:ind w:left="1276"/>
      </w:pPr>
      <w:r>
        <w:t>Analizę porównawczą.</w:t>
      </w:r>
    </w:p>
    <w:p w14:paraId="2A0D3308" w14:textId="32365E66" w:rsidR="00FB1D23" w:rsidRDefault="00FB1D23" w:rsidP="00FB1D23">
      <w:pPr>
        <w:pStyle w:val="Styl11"/>
        <w:numPr>
          <w:ilvl w:val="2"/>
          <w:numId w:val="38"/>
        </w:numPr>
        <w:spacing w:line="256" w:lineRule="auto"/>
        <w:ind w:left="1276"/>
      </w:pPr>
      <w:r>
        <w:t xml:space="preserve">Oświadczenie Spółki o rynkowym charakterze ceny </w:t>
      </w:r>
    </w:p>
    <w:p w14:paraId="6AD04F69" w14:textId="1E897E3A" w:rsidR="00FB1D23" w:rsidRDefault="00FB1D23" w:rsidP="00FB1D23">
      <w:pPr>
        <w:pStyle w:val="Styl11"/>
        <w:numPr>
          <w:ilvl w:val="0"/>
          <w:numId w:val="0"/>
        </w:numPr>
        <w:spacing w:line="256" w:lineRule="auto"/>
        <w:ind w:left="709"/>
      </w:pPr>
      <w:r w:rsidRPr="00FB1D23">
        <w:t xml:space="preserve">Ponadto, winny zostać załączone do oferty dokumenty niezbędne do wypełnienia przez Zamawiającego obowiązku sporządzenia dokumentacji cen transferowych lub uwzględnienia </w:t>
      </w:r>
      <w:r w:rsidRPr="00FB1D23">
        <w:lastRenderedPageBreak/>
        <w:t>jej w formularzu (TPR-C) Informacja o Cenach Transferowych, o których mowa w Rozdziale 1a ustawy CIT. (dotyczy wyłącznie sytuacji, gdy Wykonawcą jest podmiot z GK Zamawiającego)</w:t>
      </w:r>
      <w:r w:rsidR="00147918">
        <w:t>.</w:t>
      </w:r>
    </w:p>
    <w:p w14:paraId="1BBC4B4B" w14:textId="77777777" w:rsidR="00147918" w:rsidRDefault="00147918" w:rsidP="00FB1D23">
      <w:pPr>
        <w:pStyle w:val="Styl11"/>
        <w:numPr>
          <w:ilvl w:val="0"/>
          <w:numId w:val="0"/>
        </w:numPr>
        <w:spacing w:line="256" w:lineRule="auto"/>
        <w:ind w:left="709"/>
      </w:pPr>
    </w:p>
    <w:p w14:paraId="3D351199" w14:textId="7FA65BB3" w:rsidR="00F40506" w:rsidRPr="003F1A3C" w:rsidRDefault="00F40506" w:rsidP="00E03A73">
      <w:pPr>
        <w:pStyle w:val="Styl11"/>
      </w:pPr>
      <w:r w:rsidRPr="003F1A3C">
        <w:rPr>
          <w:u w:val="single"/>
        </w:rPr>
        <w:t>Jeżeli Zamawiający dopuścił 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1FF11CE" w:rsidR="00F40506" w:rsidRPr="00F40506" w:rsidRDefault="00F40506" w:rsidP="00EE13B1">
      <w:pPr>
        <w:pStyle w:val="Styl11"/>
      </w:pPr>
      <w:r w:rsidRPr="00F40506">
        <w:t>UWAGA: W celu oceny, czy Wykonawca będzie dyspono</w:t>
      </w:r>
      <w:r w:rsidR="00A34B2D">
        <w:t>wał zasobami 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w:t>
      </w:r>
      <w:r w:rsidR="00A34B2D">
        <w:t>ch, itp. Zamawiający żąda,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0AED799B" w14:textId="3A6786A4" w:rsidR="00F40506" w:rsidRPr="00D01E2F" w:rsidRDefault="00F40506" w:rsidP="00E03A73">
      <w:pPr>
        <w:pStyle w:val="Styl11"/>
        <w:rPr>
          <w:b/>
          <w:i/>
        </w:rPr>
      </w:pPr>
      <w:r w:rsidRPr="00147918">
        <w:t>Oferta</w:t>
      </w:r>
      <w:r w:rsidR="00326502" w:rsidRPr="00147918">
        <w:t xml:space="preserve"> oraz oświadczenia złożone w postępowaniu </w:t>
      </w:r>
      <w:r w:rsidR="00212856" w:rsidRPr="00147918">
        <w:t>winny</w:t>
      </w:r>
      <w:r w:rsidRPr="00147918">
        <w:t xml:space="preserve"> </w:t>
      </w:r>
      <w:r w:rsidR="00326502" w:rsidRPr="00147918">
        <w:t>być podpisane</w:t>
      </w:r>
      <w:r w:rsidRPr="00147918">
        <w:t xml:space="preserve"> </w:t>
      </w:r>
      <w:r w:rsidR="00212856" w:rsidRPr="00147918">
        <w:t>kwalifikowanym podpisem elektronicznym</w:t>
      </w:r>
      <w:r w:rsidR="00212856" w:rsidRPr="00972FDC">
        <w:rPr>
          <w:color w:val="4F81BD" w:themeColor="accent1"/>
        </w:rPr>
        <w:t xml:space="preserve"> </w:t>
      </w:r>
      <w:r w:rsidRPr="00186A75">
        <w:t>przez umocowanego</w:t>
      </w:r>
      <w:r w:rsidR="00A34B2D">
        <w:t>/ych prawnie przedstawiciela/i W</w:t>
      </w:r>
      <w:r w:rsidRPr="00186A75">
        <w:t>ykonawcy, upoważnionego/ych do podejmowania zobowiązań w j</w:t>
      </w:r>
      <w:r w:rsidR="00147918">
        <w:t>ego imieniu, zgodnie z wpisem o </w:t>
      </w:r>
      <w:r w:rsidRPr="00186A75">
        <w:t>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318EC646" w:rsidR="00F40506" w:rsidRPr="00147918" w:rsidRDefault="00F40506" w:rsidP="00E03A73">
      <w:pPr>
        <w:pStyle w:val="Styl11"/>
      </w:pPr>
      <w:r w:rsidRPr="00147918">
        <w:t>Pozostałe wymagane dokumenty należy dołączyć do oferty w formie oryginału lub kserokopii potwierdzonej za zgodność z oryginałem przez Wykonawcę.</w:t>
      </w:r>
      <w:r w:rsidR="00212856" w:rsidRPr="00147918">
        <w:t xml:space="preserve"> Poświadczenie za zgodność z</w:t>
      </w:r>
      <w:r w:rsidR="009C3104" w:rsidRPr="00147918">
        <w:t> </w:t>
      </w:r>
      <w:r w:rsidR="00212856" w:rsidRPr="00147918">
        <w:t>oryginałem następuje w formie pisemnej lub elektronicznej</w:t>
      </w:r>
      <w:r w:rsidR="00880B26" w:rsidRPr="00147918">
        <w:t xml:space="preserve"> przy użyciu kwalifikowanego podpisu elektronicznego</w:t>
      </w:r>
      <w:r w:rsidR="00212856" w:rsidRPr="00147918">
        <w:t xml:space="preserve">. </w:t>
      </w:r>
    </w:p>
    <w:p w14:paraId="7882BDF5" w14:textId="77777777" w:rsidR="00186A75" w:rsidRPr="00147918" w:rsidRDefault="00326502" w:rsidP="00E03A73">
      <w:pPr>
        <w:pStyle w:val="Styl11"/>
      </w:pPr>
      <w:r w:rsidRPr="00147918">
        <w:t xml:space="preserve">Zamawiający dopuszcza wspólne ubieganie się Wykonawców o udzielenie zamówienia. Wykonawcy ubiegający się wspólnie o udzielenie zamówienia ustanawiają pełnomocnika </w:t>
      </w:r>
      <w:r w:rsidR="00802090" w:rsidRPr="00147918">
        <w:br/>
      </w:r>
      <w:r w:rsidRPr="00147918">
        <w:t xml:space="preserve">do reprezentowania ich w postępowaniu albo reprezentowania w postępowaniu i zawarcia umowy w sprawie zamówienia. W przypadku Wykonawców wspólnie ubiegających się </w:t>
      </w:r>
      <w:r w:rsidR="00802090" w:rsidRPr="00147918">
        <w:br/>
      </w:r>
      <w:r w:rsidRPr="00147918">
        <w:t>o udzielenie zamówienia, żaden z Wykonawców nie może podlegać wykluczeniu. Pozostałe warunki muszą być spełnione łącznie przez wszystkich Wykonawców składających ofertę.</w:t>
      </w:r>
    </w:p>
    <w:p w14:paraId="4ABE5FFB" w14:textId="77777777" w:rsidR="000225F7" w:rsidRPr="00147918" w:rsidRDefault="00326502" w:rsidP="00E03A73">
      <w:pPr>
        <w:pStyle w:val="Styl11"/>
      </w:pPr>
      <w:r w:rsidRPr="00147918">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147918">
        <w:br/>
      </w:r>
      <w:r w:rsidRPr="00147918">
        <w:t>o udzielenie zamówienia. Pełnomocnictwo należy załączyć w formie oryginału lub kopii poświadczonej notarialnie</w:t>
      </w:r>
      <w:r w:rsidR="00451A2E" w:rsidRPr="00147918">
        <w:t xml:space="preserve"> lub kopii potwierdzonej za zgodność z oryginałem przez Wykonawcę</w:t>
      </w:r>
      <w:r w:rsidR="003F1A3C" w:rsidRPr="00147918">
        <w:t>.</w:t>
      </w:r>
    </w:p>
    <w:p w14:paraId="04750351" w14:textId="77777777" w:rsidR="003F1A3C" w:rsidRPr="00147918" w:rsidRDefault="003F1A3C" w:rsidP="00E03A73">
      <w:pPr>
        <w:pStyle w:val="Styl11"/>
      </w:pPr>
      <w:r w:rsidRPr="00147918">
        <w:lastRenderedPageBreak/>
        <w:t xml:space="preserve">W przypadku gdy zostanie wybrana oferta Wykonawców wspólnie ubiegających się </w:t>
      </w:r>
      <w:r w:rsidR="00772972" w:rsidRPr="00147918">
        <w:br/>
      </w:r>
      <w:r w:rsidRPr="00147918">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147918" w:rsidRDefault="00466ABA" w:rsidP="00E03A73">
      <w:pPr>
        <w:pStyle w:val="Styl11"/>
      </w:pPr>
      <w:r w:rsidRPr="00147918">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Pr="00692724" w:rsidRDefault="00F40506" w:rsidP="00E03A73">
      <w:pPr>
        <w:pStyle w:val="Styl11"/>
      </w:pPr>
      <w:r w:rsidRPr="00B61CA6">
        <w:t xml:space="preserve">Oferta musi być sporządzona zgodnie z </w:t>
      </w:r>
      <w:r w:rsidRPr="00692724">
        <w:t xml:space="preserve">wymogami określonymi niniejszą </w:t>
      </w:r>
      <w:r w:rsidR="006C29FD" w:rsidRPr="00692724">
        <w:t>SWZ</w:t>
      </w:r>
      <w:r w:rsidRPr="00692724">
        <w:t>.</w:t>
      </w:r>
    </w:p>
    <w:p w14:paraId="75517DE7" w14:textId="7ACEBFA5" w:rsidR="00B61CA6" w:rsidRPr="00692724" w:rsidRDefault="0070672D" w:rsidP="00E03A73">
      <w:pPr>
        <w:pStyle w:val="Styl11"/>
      </w:pPr>
      <w:r w:rsidRPr="00692724">
        <w:t>Ofertę składa się pod rygorem nieważności w formie ele</w:t>
      </w:r>
      <w:r w:rsidR="00D733B3" w:rsidRPr="00692724">
        <w:t>k</w:t>
      </w:r>
      <w:r w:rsidRPr="00692724">
        <w:t>tronicznej</w:t>
      </w:r>
      <w:r w:rsidR="00764011" w:rsidRPr="00692724">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0DADD7A1" w:rsidR="00F40506" w:rsidRPr="00692724" w:rsidRDefault="00F40506" w:rsidP="00FF131C">
      <w:pPr>
        <w:pStyle w:val="Akapitzlist"/>
        <w:numPr>
          <w:ilvl w:val="4"/>
          <w:numId w:val="7"/>
        </w:numPr>
        <w:spacing w:line="276" w:lineRule="auto"/>
        <w:ind w:left="1134" w:hanging="425"/>
        <w:contextualSpacing w:val="0"/>
        <w:rPr>
          <w:rFonts w:eastAsia="Calibri" w:cs="Arial"/>
          <w:sz w:val="20"/>
          <w:szCs w:val="20"/>
        </w:rPr>
      </w:pPr>
      <w:r w:rsidRPr="00692724">
        <w:rPr>
          <w:rFonts w:eastAsia="Calibri" w:cs="Arial"/>
          <w:sz w:val="20"/>
          <w:szCs w:val="20"/>
        </w:rPr>
        <w:t>oferta musi zostać sporządzona w języku polskim. Dokumenty sporządzone w języku obcym należy złożyć wraz z tłumaczeniem na język polski</w:t>
      </w:r>
      <w:r w:rsidR="00857A86" w:rsidRPr="00692724">
        <w:rPr>
          <w:rFonts w:eastAsia="Calibri" w:cs="Arial"/>
          <w:sz w:val="20"/>
          <w:szCs w:val="20"/>
        </w:rPr>
        <w:t>,</w:t>
      </w:r>
    </w:p>
    <w:p w14:paraId="5F4DBD3B" w14:textId="07192370"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w:t>
      </w:r>
      <w:r w:rsidR="00692724">
        <w:rPr>
          <w:rFonts w:ascii="Arial" w:eastAsia="Calibri" w:hAnsi="Arial" w:cs="Arial"/>
          <w:color w:val="000000"/>
          <w:lang w:eastAsia="pl-PL"/>
        </w:rPr>
        <w:t>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692724" w:rsidRDefault="00212856" w:rsidP="00FF131C">
      <w:pPr>
        <w:numPr>
          <w:ilvl w:val="4"/>
          <w:numId w:val="7"/>
        </w:numPr>
        <w:spacing w:line="276" w:lineRule="auto"/>
        <w:ind w:left="1134" w:hanging="425"/>
        <w:rPr>
          <w:rFonts w:eastAsia="Calibri"/>
          <w:sz w:val="20"/>
        </w:rPr>
      </w:pPr>
      <w:r w:rsidRPr="00692724">
        <w:rPr>
          <w:rFonts w:eastAsia="Calibri"/>
          <w:sz w:val="20"/>
        </w:rPr>
        <w:t>w przypadku, gdy Wykonawcę reprezentuje pełnomocnik</w:t>
      </w:r>
      <w:r w:rsidRPr="00692724">
        <w:rPr>
          <w:rFonts w:eastAsia="Calibri"/>
          <w:sz w:val="20"/>
          <w:szCs w:val="20"/>
        </w:rPr>
        <w:t xml:space="preserve"> do oferty winno zostać załączone pełnomocnictwo:</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692724" w:rsidRDefault="00F40506" w:rsidP="00D2442C">
      <w:pPr>
        <w:pStyle w:val="Styl11"/>
      </w:pPr>
      <w:r w:rsidRPr="00692724">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3C757725" w:rsidR="00764011" w:rsidRPr="00692724" w:rsidRDefault="00764011" w:rsidP="00D2442C">
      <w:pPr>
        <w:pStyle w:val="Styl11"/>
      </w:pPr>
      <w:r>
        <w:rPr>
          <w:color w:val="000000"/>
        </w:rPr>
        <w:t>Ofertę należy złożyć w form</w:t>
      </w:r>
      <w:r w:rsidR="00692724">
        <w:rPr>
          <w:color w:val="000000"/>
        </w:rPr>
        <w:t>ie</w:t>
      </w:r>
      <w:r>
        <w:rPr>
          <w:color w:val="000000"/>
        </w:rPr>
        <w:t xml:space="preserve"> </w:t>
      </w:r>
      <w:r w:rsidRPr="00692724">
        <w:t>wskazan</w:t>
      </w:r>
      <w:r w:rsidR="00692724" w:rsidRPr="00692724">
        <w:t>ej</w:t>
      </w:r>
      <w:r w:rsidRPr="00692724">
        <w:t xml:space="preserve"> w treści </w:t>
      </w:r>
      <w:r w:rsidR="00F6251F" w:rsidRPr="00692724">
        <w:t>SWZ</w:t>
      </w:r>
      <w:r w:rsidRPr="00692724">
        <w:t xml:space="preserve"> tj. </w:t>
      </w:r>
      <w:r w:rsidR="00692724" w:rsidRPr="00692724">
        <w:t>elektronicznej</w:t>
      </w:r>
      <w:r w:rsidRPr="00692724">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 xml:space="preserve">rzez tajemnicę przedsiębiorstwa rozumie się informacje techniczne, technologiczne, organizacyjne przedsiębiorstwa lub inne informacje posiadające wartość gospodarczą, które jako </w:t>
      </w:r>
      <w:r w:rsidR="00E719B4" w:rsidRPr="00E719B4">
        <w:lastRenderedPageBreak/>
        <w:t>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692724">
        <w:t>3 d</w:t>
      </w:r>
      <w:r w:rsidRPr="001F6240">
        <w:t xml:space="preserve">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092DCC2" w:rsidR="001F6240" w:rsidRDefault="00F40506" w:rsidP="00D2442C">
      <w:pPr>
        <w:pStyle w:val="Styl11"/>
      </w:pPr>
      <w:r w:rsidRPr="001F6240">
        <w:t xml:space="preserve">Udzielone przez Zamawiającego </w:t>
      </w:r>
      <w:r w:rsidR="00692724">
        <w:t>w</w:t>
      </w:r>
      <w:r w:rsidRPr="001F6240">
        <w:t xml:space="preserve">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A160EF5" w:rsidR="00703D6D" w:rsidRPr="00BB3F03" w:rsidRDefault="00703D6D" w:rsidP="00BB3F03">
      <w:pPr>
        <w:pStyle w:val="Styl11"/>
      </w:pPr>
      <w:r w:rsidRPr="00BB3F03">
        <w:t>Jedynym kryterium oceny jest cena podana w ofercie. Spośród ofert nieodrzuconych za najkorzystniejszą zostanie uznana oferta o najniższej cenie</w:t>
      </w:r>
      <w:r w:rsidR="00BB3F03" w:rsidRPr="00BB3F03">
        <w:t>.</w:t>
      </w:r>
    </w:p>
    <w:p w14:paraId="3B14E11E" w14:textId="18FCA754" w:rsidR="00703D6D" w:rsidRPr="00BB3F03" w:rsidRDefault="00703D6D" w:rsidP="00703D6D">
      <w:pPr>
        <w:spacing w:line="240" w:lineRule="auto"/>
        <w:ind w:left="720"/>
        <w:rPr>
          <w:rFonts w:eastAsiaTheme="minorHAnsi" w:cs="Arial"/>
          <w:sz w:val="20"/>
          <w:szCs w:val="20"/>
          <w:lang w:eastAsia="en-US"/>
        </w:rPr>
      </w:pPr>
      <w:r w:rsidRPr="00BB3F03">
        <w:rPr>
          <w:rFonts w:eastAsiaTheme="minorHAnsi" w:cs="Arial"/>
          <w:sz w:val="20"/>
          <w:szCs w:val="20"/>
          <w:lang w:eastAsia="en-US"/>
        </w:rPr>
        <w:t xml:space="preserve">K 1. Cena brutto w PLN – waga </w:t>
      </w:r>
      <w:r w:rsidR="00692724" w:rsidRPr="00BB3F03">
        <w:rPr>
          <w:rFonts w:eastAsiaTheme="minorHAnsi" w:cs="Arial"/>
          <w:sz w:val="20"/>
          <w:szCs w:val="20"/>
          <w:lang w:eastAsia="en-US"/>
        </w:rPr>
        <w:t>100</w:t>
      </w:r>
      <w:r w:rsidRPr="00BB3F03">
        <w:rPr>
          <w:rFonts w:eastAsiaTheme="minorHAnsi" w:cs="Arial"/>
          <w:sz w:val="20"/>
          <w:szCs w:val="20"/>
          <w:lang w:eastAsia="en-US"/>
        </w:rPr>
        <w:t xml:space="preserve"> %</w:t>
      </w:r>
    </w:p>
    <w:p w14:paraId="2FABF7D7" w14:textId="77777777" w:rsidR="00692724" w:rsidRPr="00BB3F03" w:rsidRDefault="00692724" w:rsidP="00703D6D">
      <w:pPr>
        <w:spacing w:line="240" w:lineRule="auto"/>
        <w:ind w:left="720"/>
        <w:rPr>
          <w:rFonts w:eastAsia="Calibri" w:cs="Arial"/>
          <w:sz w:val="20"/>
          <w:szCs w:val="20"/>
        </w:rPr>
      </w:pPr>
    </w:p>
    <w:p w14:paraId="2D6F79E8" w14:textId="6F3F207E" w:rsidR="00703D6D" w:rsidRPr="00BB3F03" w:rsidRDefault="00BB3F03" w:rsidP="00703D6D">
      <w:pPr>
        <w:spacing w:line="240" w:lineRule="auto"/>
        <w:ind w:left="720"/>
        <w:rPr>
          <w:rFonts w:eastAsiaTheme="minorHAnsi" w:cs="Arial"/>
          <w:sz w:val="20"/>
          <w:szCs w:val="20"/>
          <w:lang w:eastAsia="en-US"/>
        </w:rPr>
      </w:pPr>
      <w:r w:rsidRPr="00BB3F03">
        <w:rPr>
          <w:rFonts w:eastAsiaTheme="minorHAnsi" w:cs="Arial"/>
          <w:sz w:val="20"/>
          <w:szCs w:val="20"/>
          <w:lang w:eastAsia="en-US"/>
        </w:rPr>
        <w:t>Pozostałym ofertom zostanie przyznana punktacja wg. następującego sposobu obliczenia</w:t>
      </w:r>
      <w:r w:rsidR="00703D6D" w:rsidRPr="00BB3F03">
        <w:rPr>
          <w:rFonts w:eastAsiaTheme="minorHAnsi" w:cs="Arial"/>
          <w:sz w:val="20"/>
          <w:szCs w:val="20"/>
          <w:lang w:eastAsia="en-US"/>
        </w:rPr>
        <w:t>:</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653"/>
        <w:gridCol w:w="4910"/>
      </w:tblGrid>
      <w:tr w:rsidR="00BB3F03" w:rsidRPr="00BB3F03" w14:paraId="6561EBFC" w14:textId="77777777" w:rsidTr="00BB3F03">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BB3F03" w:rsidRDefault="00703D6D" w:rsidP="00D74284">
            <w:pPr>
              <w:shd w:val="clear" w:color="auto" w:fill="FFFFFF"/>
              <w:spacing w:line="360" w:lineRule="auto"/>
              <w:ind w:left="82"/>
              <w:jc w:val="center"/>
              <w:rPr>
                <w:rFonts w:cs="Arial"/>
                <w:b/>
                <w:sz w:val="20"/>
                <w:szCs w:val="20"/>
              </w:rPr>
            </w:pPr>
            <w:r w:rsidRPr="00BB3F03">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BB3F03" w:rsidRDefault="00703D6D" w:rsidP="00D74284">
            <w:pPr>
              <w:shd w:val="clear" w:color="auto" w:fill="FFFFFF"/>
              <w:spacing w:line="360" w:lineRule="auto"/>
              <w:jc w:val="center"/>
              <w:rPr>
                <w:rFonts w:cs="Arial"/>
                <w:b/>
                <w:bCs/>
                <w:sz w:val="20"/>
                <w:szCs w:val="20"/>
              </w:rPr>
            </w:pPr>
            <w:r w:rsidRPr="00BB3F03">
              <w:rPr>
                <w:rFonts w:cs="Arial"/>
                <w:b/>
                <w:bCs/>
                <w:spacing w:val="-5"/>
                <w:sz w:val="20"/>
                <w:szCs w:val="20"/>
              </w:rPr>
              <w:t>Opis kryterium</w:t>
            </w:r>
          </w:p>
        </w:tc>
        <w:tc>
          <w:tcPr>
            <w:tcW w:w="1653"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BB3F03" w:rsidRDefault="00703D6D" w:rsidP="00BB3F03">
            <w:pPr>
              <w:shd w:val="clear" w:color="auto" w:fill="FFFFFF"/>
              <w:spacing w:line="240" w:lineRule="auto"/>
              <w:ind w:left="29" w:right="34"/>
              <w:jc w:val="center"/>
              <w:rPr>
                <w:rFonts w:cs="Arial"/>
                <w:b/>
                <w:bCs/>
                <w:sz w:val="20"/>
                <w:szCs w:val="20"/>
              </w:rPr>
            </w:pPr>
            <w:r w:rsidRPr="00BB3F03">
              <w:rPr>
                <w:rFonts w:cs="Arial"/>
                <w:b/>
                <w:bCs/>
                <w:spacing w:val="-9"/>
                <w:sz w:val="20"/>
                <w:szCs w:val="20"/>
              </w:rPr>
              <w:t xml:space="preserve">Znaczenie </w:t>
            </w:r>
            <w:r w:rsidRPr="00BB3F03">
              <w:rPr>
                <w:rFonts w:cs="Arial"/>
                <w:b/>
                <w:bCs/>
                <w:spacing w:val="-7"/>
                <w:sz w:val="20"/>
                <w:szCs w:val="20"/>
              </w:rPr>
              <w:t>waga (%)</w:t>
            </w:r>
          </w:p>
        </w:tc>
        <w:tc>
          <w:tcPr>
            <w:tcW w:w="4910"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BB3F03" w:rsidRDefault="00703D6D" w:rsidP="00BB3F03">
            <w:pPr>
              <w:shd w:val="clear" w:color="auto" w:fill="FFFFFF"/>
              <w:spacing w:line="360" w:lineRule="auto"/>
              <w:ind w:left="-512"/>
              <w:jc w:val="center"/>
              <w:rPr>
                <w:rFonts w:cs="Arial"/>
                <w:b/>
                <w:bCs/>
                <w:sz w:val="20"/>
                <w:szCs w:val="20"/>
              </w:rPr>
            </w:pPr>
            <w:r w:rsidRPr="00BB3F03">
              <w:rPr>
                <w:rFonts w:cs="Arial"/>
                <w:b/>
                <w:bCs/>
                <w:spacing w:val="-5"/>
                <w:sz w:val="20"/>
                <w:szCs w:val="20"/>
              </w:rPr>
              <w:t>Opis metody przyznawanych punktów</w:t>
            </w:r>
          </w:p>
        </w:tc>
      </w:tr>
      <w:tr w:rsidR="00BB3F03" w:rsidRPr="00BB3F03" w14:paraId="24BCA1EF" w14:textId="77777777" w:rsidTr="00BB3F03">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BB3F03" w:rsidRDefault="00703D6D" w:rsidP="00D74284">
            <w:pPr>
              <w:shd w:val="clear" w:color="auto" w:fill="FFFFFF"/>
              <w:spacing w:line="360" w:lineRule="auto"/>
              <w:ind w:left="5"/>
              <w:jc w:val="center"/>
              <w:rPr>
                <w:rFonts w:cs="Arial"/>
                <w:sz w:val="18"/>
                <w:szCs w:val="20"/>
              </w:rPr>
            </w:pPr>
            <w:r w:rsidRPr="00BB3F03">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BB3F03" w:rsidRDefault="00703D6D" w:rsidP="00D74284">
            <w:pPr>
              <w:shd w:val="clear" w:color="auto" w:fill="FFFFFF"/>
              <w:spacing w:line="360" w:lineRule="auto"/>
              <w:rPr>
                <w:rFonts w:eastAsia="Calibri" w:cs="Arial"/>
                <w:sz w:val="18"/>
                <w:szCs w:val="20"/>
              </w:rPr>
            </w:pPr>
            <w:r w:rsidRPr="00BB3F03">
              <w:rPr>
                <w:rFonts w:eastAsia="Calibri" w:cs="Arial"/>
                <w:sz w:val="18"/>
                <w:szCs w:val="20"/>
              </w:rPr>
              <w:t>Cena brutto w PLN</w:t>
            </w:r>
          </w:p>
        </w:tc>
        <w:tc>
          <w:tcPr>
            <w:tcW w:w="1653"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7971997A" w:rsidR="00703D6D" w:rsidRPr="00BB3F03" w:rsidRDefault="00BB3F03" w:rsidP="00D74284">
            <w:pPr>
              <w:shd w:val="clear" w:color="auto" w:fill="FFFFFF"/>
              <w:tabs>
                <w:tab w:val="left" w:leader="dot" w:pos="605"/>
              </w:tabs>
              <w:spacing w:line="360" w:lineRule="auto"/>
              <w:jc w:val="center"/>
              <w:rPr>
                <w:rFonts w:cs="Arial"/>
                <w:sz w:val="18"/>
                <w:szCs w:val="20"/>
              </w:rPr>
            </w:pPr>
            <w:r w:rsidRPr="00BB3F03">
              <w:rPr>
                <w:rFonts w:cs="Arial"/>
                <w:bCs/>
                <w:sz w:val="18"/>
                <w:szCs w:val="20"/>
              </w:rPr>
              <w:t>100</w:t>
            </w:r>
            <w:r w:rsidR="00703D6D" w:rsidRPr="00BB3F03">
              <w:rPr>
                <w:rFonts w:cs="Arial"/>
                <w:sz w:val="18"/>
                <w:szCs w:val="20"/>
              </w:rPr>
              <w:t xml:space="preserve"> </w:t>
            </w:r>
            <w:r w:rsidR="00703D6D" w:rsidRPr="00BB3F03">
              <w:rPr>
                <w:rFonts w:cs="Arial"/>
                <w:bCs/>
                <w:sz w:val="18"/>
                <w:szCs w:val="20"/>
              </w:rPr>
              <w:t>%</w:t>
            </w:r>
          </w:p>
        </w:tc>
        <w:tc>
          <w:tcPr>
            <w:tcW w:w="4910"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BB3F03" w:rsidRDefault="00703D6D" w:rsidP="00D74284">
            <w:pPr>
              <w:shd w:val="clear" w:color="auto" w:fill="FFFFFF"/>
              <w:spacing w:line="360" w:lineRule="auto"/>
              <w:ind w:left="204" w:hanging="204"/>
              <w:rPr>
                <w:rFonts w:cs="Arial"/>
                <w:bCs/>
                <w:spacing w:val="-1"/>
                <w:sz w:val="18"/>
                <w:szCs w:val="20"/>
              </w:rPr>
            </w:pPr>
            <w:r w:rsidRPr="00BB3F03">
              <w:rPr>
                <w:rFonts w:cs="Arial"/>
                <w:bCs/>
                <w:spacing w:val="-1"/>
                <w:sz w:val="18"/>
                <w:szCs w:val="20"/>
              </w:rPr>
              <w:t xml:space="preserve">najniższa cena brutto spośród badanych ofert </w:t>
            </w:r>
          </w:p>
          <w:p w14:paraId="026A101F" w14:textId="44321F97" w:rsidR="00703D6D" w:rsidRPr="00BB3F03" w:rsidRDefault="00703D6D" w:rsidP="00D74284">
            <w:pPr>
              <w:shd w:val="clear" w:color="auto" w:fill="FFFFFF"/>
              <w:spacing w:line="360" w:lineRule="auto"/>
              <w:ind w:left="204" w:hanging="204"/>
              <w:rPr>
                <w:rFonts w:cs="Arial"/>
                <w:bCs/>
                <w:spacing w:val="-1"/>
                <w:sz w:val="18"/>
                <w:szCs w:val="20"/>
              </w:rPr>
            </w:pPr>
            <w:r w:rsidRPr="00BB3F03">
              <w:rPr>
                <w:rFonts w:cs="Arial"/>
                <w:bCs/>
                <w:spacing w:val="-1"/>
                <w:sz w:val="18"/>
                <w:szCs w:val="20"/>
              </w:rPr>
              <w:t>--------------------------------------------------------</w:t>
            </w:r>
            <w:r w:rsidR="00246DCB" w:rsidRPr="00BB3F03">
              <w:rPr>
                <w:rFonts w:cs="Arial"/>
                <w:bCs/>
                <w:spacing w:val="-1"/>
                <w:sz w:val="18"/>
                <w:szCs w:val="20"/>
              </w:rPr>
              <w:t>-------</w:t>
            </w:r>
            <w:r w:rsidRPr="00BB3F03">
              <w:rPr>
                <w:rFonts w:cs="Arial"/>
                <w:bCs/>
                <w:spacing w:val="-1"/>
                <w:sz w:val="18"/>
                <w:szCs w:val="20"/>
              </w:rPr>
              <w:t xml:space="preserve"> x </w:t>
            </w:r>
            <w:r w:rsidR="00BB3F03" w:rsidRPr="00BB3F03">
              <w:rPr>
                <w:rFonts w:cs="Arial"/>
                <w:bCs/>
                <w:spacing w:val="-1"/>
                <w:sz w:val="18"/>
                <w:szCs w:val="20"/>
              </w:rPr>
              <w:t xml:space="preserve">100 </w:t>
            </w:r>
            <w:r w:rsidRPr="00BB3F03">
              <w:rPr>
                <w:rFonts w:cs="Arial"/>
                <w:bCs/>
                <w:spacing w:val="-1"/>
                <w:sz w:val="18"/>
                <w:szCs w:val="20"/>
              </w:rPr>
              <w:t>pkt</w:t>
            </w:r>
            <w:r w:rsidR="006A5961" w:rsidRPr="00BB3F03">
              <w:rPr>
                <w:rFonts w:cs="Arial"/>
                <w:bCs/>
                <w:spacing w:val="-1"/>
                <w:sz w:val="18"/>
                <w:szCs w:val="20"/>
              </w:rPr>
              <w:t>.</w:t>
            </w:r>
          </w:p>
          <w:p w14:paraId="39F91C3A" w14:textId="78FD4FD3" w:rsidR="00703D6D" w:rsidRPr="00BB3F03" w:rsidRDefault="00703D6D" w:rsidP="00C22459">
            <w:pPr>
              <w:shd w:val="clear" w:color="auto" w:fill="FFFFFF"/>
              <w:spacing w:line="360" w:lineRule="auto"/>
              <w:ind w:left="202" w:hanging="204"/>
              <w:rPr>
                <w:rFonts w:cs="Arial"/>
                <w:bCs/>
                <w:spacing w:val="-3"/>
                <w:sz w:val="18"/>
                <w:szCs w:val="20"/>
              </w:rPr>
            </w:pPr>
            <w:r w:rsidRPr="00BB3F03">
              <w:rPr>
                <w:rFonts w:cs="Arial"/>
                <w:bCs/>
                <w:spacing w:val="-3"/>
                <w:sz w:val="18"/>
                <w:szCs w:val="20"/>
              </w:rPr>
              <w:t xml:space="preserve">cena brutto </w:t>
            </w:r>
            <w:r w:rsidR="00C22459" w:rsidRPr="00BB3F03">
              <w:rPr>
                <w:rFonts w:cs="Arial"/>
                <w:bCs/>
                <w:spacing w:val="-3"/>
                <w:sz w:val="18"/>
                <w:szCs w:val="20"/>
              </w:rPr>
              <w:t xml:space="preserve">badanej </w:t>
            </w:r>
            <w:r w:rsidRPr="00BB3F03">
              <w:rPr>
                <w:rFonts w:cs="Arial"/>
                <w:bCs/>
                <w:spacing w:val="-3"/>
                <w:sz w:val="18"/>
                <w:szCs w:val="20"/>
              </w:rPr>
              <w:t xml:space="preserve">oferty </w:t>
            </w:r>
          </w:p>
        </w:tc>
      </w:tr>
    </w:tbl>
    <w:p w14:paraId="314C3FA1" w14:textId="3CB3AABC" w:rsidR="00703D6D" w:rsidRPr="00BB3F03" w:rsidRDefault="00703D6D" w:rsidP="00703D6D">
      <w:pPr>
        <w:spacing w:line="276" w:lineRule="auto"/>
        <w:rPr>
          <w:rFonts w:eastAsia="Calibri" w:cs="Arial"/>
          <w:i/>
          <w:sz w:val="20"/>
          <w:szCs w:val="20"/>
        </w:rPr>
      </w:pPr>
    </w:p>
    <w:p w14:paraId="478DBBA8" w14:textId="74389ECC" w:rsidR="0018265F" w:rsidRPr="00E35F58" w:rsidRDefault="00E35F58" w:rsidP="00E35F58">
      <w:pPr>
        <w:pStyle w:val="Styl11"/>
        <w:rPr>
          <w:i/>
        </w:rPr>
      </w:pPr>
      <w:r w:rsidRPr="00BB3F03">
        <w:t xml:space="preserve">Zamawiający będzie rozliczał się z Wykonawcą na podstawie § </w:t>
      </w:r>
      <w:r w:rsidR="00BB3F03" w:rsidRPr="00BB3F03">
        <w:t xml:space="preserve">4 </w:t>
      </w:r>
      <w:r w:rsidRPr="00BB3F03">
        <w:t>wzoru</w:t>
      </w:r>
      <w:r w:rsidRPr="00E35F58">
        <w:t xml:space="preserve"> umowy.</w:t>
      </w:r>
    </w:p>
    <w:p w14:paraId="2364E46A" w14:textId="2EFDB951" w:rsidR="0018265F" w:rsidRPr="00692724" w:rsidRDefault="00F40506" w:rsidP="00D2442C">
      <w:pPr>
        <w:pStyle w:val="Styl11"/>
        <w:rPr>
          <w:i/>
        </w:rPr>
      </w:pPr>
      <w:r w:rsidRPr="00692724">
        <w:t>Jako najkorzystniejsza zostanie wybrana oferta, która otrzyma największą łączną liczbę</w:t>
      </w:r>
      <w:r w:rsidR="009E59BE" w:rsidRPr="00692724">
        <w:t xml:space="preserve"> punktów zgodnie z ww. kryteri</w:t>
      </w:r>
      <w:r w:rsidR="00692724" w:rsidRPr="00692724">
        <w:t>um</w:t>
      </w:r>
      <w:r w:rsidR="009E59BE" w:rsidRPr="00692724">
        <w:t>,</w:t>
      </w:r>
      <w:r w:rsidRPr="00692724">
        <w:t xml:space="preserve"> z uwzględnieniem wyniku np. negocjacji lub aukcji elektronicznej.</w:t>
      </w:r>
    </w:p>
    <w:p w14:paraId="709B7BD0" w14:textId="09D49E8B" w:rsidR="00F40506" w:rsidRPr="00692724" w:rsidRDefault="00F40506" w:rsidP="00D2442C">
      <w:pPr>
        <w:pStyle w:val="Styl11"/>
        <w:rPr>
          <w:i/>
        </w:rPr>
      </w:pPr>
      <w:r w:rsidRPr="00692724">
        <w:t>Jeżeli złożona zostanie of</w:t>
      </w:r>
      <w:r w:rsidR="00931112" w:rsidRPr="00692724">
        <w:t xml:space="preserve">erta, której wybór prowadziłby </w:t>
      </w:r>
      <w:r w:rsidRPr="00692724">
        <w:t>d</w:t>
      </w:r>
      <w:r w:rsidR="00931112" w:rsidRPr="00692724">
        <w:t>o</w:t>
      </w:r>
      <w:r w:rsidRPr="00692724">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03952EE" w:rsidR="00F40506" w:rsidRPr="00360633" w:rsidRDefault="00F40506" w:rsidP="00360633">
      <w:pPr>
        <w:spacing w:line="276" w:lineRule="auto"/>
        <w:rPr>
          <w:rFonts w:eastAsia="Calibri" w:cs="Arial"/>
          <w:color w:val="000000"/>
          <w:sz w:val="20"/>
          <w:szCs w:val="20"/>
        </w:rPr>
      </w:pPr>
      <w:r w:rsidRPr="00692724">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410C15A5" w:rsid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7A72610" w14:textId="6444BDB4" w:rsidR="00BB3F03" w:rsidRPr="00513B82" w:rsidRDefault="00BB3F03" w:rsidP="00D2442C">
      <w:pPr>
        <w:pStyle w:val="Styl11"/>
      </w:pPr>
      <w:r w:rsidRPr="0014349A">
        <w:rPr>
          <w:rFonts w:eastAsia="Arial"/>
        </w:rPr>
        <w:t xml:space="preserve">Cena w Formularzu oferty musi być podana w złotych polskich w postaci netto i brutto – cyfrowo, </w:t>
      </w:r>
      <w:r w:rsidRPr="0014349A">
        <w:br/>
      </w:r>
      <w:r w:rsidRPr="0014349A">
        <w:rPr>
          <w:rFonts w:eastAsia="Calibri"/>
        </w:rPr>
        <w:t>z wyodrębnieniem stawki podatku VAT naliczonej zgodnie z obowiązującymi przepisami</w:t>
      </w:r>
      <w:r>
        <w:rPr>
          <w:rFonts w:eastAsia="Calibri"/>
        </w:rPr>
        <w:t>.</w:t>
      </w:r>
    </w:p>
    <w:p w14:paraId="02CBD5E9" w14:textId="345E1F95" w:rsidR="002A0400" w:rsidRDefault="00513B82" w:rsidP="00D2442C">
      <w:pPr>
        <w:pStyle w:val="Styl11"/>
      </w:pPr>
      <w:r w:rsidRPr="00513B82">
        <w:t xml:space="preserve">Cena określona w ofercie </w:t>
      </w:r>
      <w:r w:rsidRPr="00EA33C4">
        <w:t>uwzględnia wszelkie koszty wynagrodzenia Wykonawcy jakie Zamawiający zapłaci z tytułu realizacji przedmiotu zamówienia i powinna być wynikiem kalkulacji zgodnie z Formularz</w:t>
      </w:r>
      <w:r w:rsidR="002A0400" w:rsidRPr="00EA33C4">
        <w:t>em cenowym</w:t>
      </w:r>
      <w:r w:rsidRPr="00EA33C4">
        <w:t xml:space="preserve">, </w:t>
      </w:r>
      <w:r w:rsidR="00EA33C4" w:rsidRPr="00EA33C4">
        <w:t>w</w:t>
      </w:r>
      <w:r w:rsidR="002A0400" w:rsidRPr="00EA33C4">
        <w:t xml:space="preserve"> Załącznik</w:t>
      </w:r>
      <w:r w:rsidR="00EA33C4" w:rsidRPr="00EA33C4">
        <w:t>u</w:t>
      </w:r>
      <w:r w:rsidRPr="00EA33C4">
        <w:t xml:space="preserve"> nr </w:t>
      </w:r>
      <w:r w:rsidR="00EA33C4" w:rsidRPr="00EA33C4">
        <w:t xml:space="preserve">1 </w:t>
      </w:r>
      <w:r w:rsidRPr="00EA33C4">
        <w:t xml:space="preserve">do SWZ. </w:t>
      </w:r>
    </w:p>
    <w:p w14:paraId="7AA02313" w14:textId="423F0A81" w:rsidR="000D2460" w:rsidRPr="00692724" w:rsidRDefault="000D2460" w:rsidP="00D2442C">
      <w:pPr>
        <w:pStyle w:val="Styl11"/>
      </w:pPr>
      <w:r w:rsidRPr="00692724">
        <w:t>W przypadku stawki godzinowej za prac</w:t>
      </w:r>
      <w:r w:rsidR="001F44C1" w:rsidRPr="00692724">
        <w:t xml:space="preserve">ę </w:t>
      </w:r>
      <w:r w:rsidRPr="00692724">
        <w:t xml:space="preserve">należy w wynagrodzeniu uwzględnić wszystkie koszty wnikające z przepisów prawa. Tak obliczona stawka stanowi podstawę do obliczenia ceny. </w:t>
      </w:r>
    </w:p>
    <w:p w14:paraId="60D9FB26" w14:textId="3258B741" w:rsidR="00513B82" w:rsidRDefault="00513B82" w:rsidP="00D2442C">
      <w:pPr>
        <w:pStyle w:val="Styl11"/>
      </w:pPr>
      <w:r w:rsidRPr="002A0400">
        <w:t xml:space="preserve">Wykonawca zobowiązany jest wypełnić wszystkie pozycje ujęte w </w:t>
      </w:r>
      <w:r w:rsidR="00882B39">
        <w:t>Formularzu ofertowym</w:t>
      </w:r>
      <w:r w:rsidR="002A0400" w:rsidRPr="00D66049">
        <w:t xml:space="preserve"> </w:t>
      </w:r>
      <w:r w:rsidR="002A0400" w:rsidRPr="00EA33C4">
        <w:t>i</w:t>
      </w:r>
      <w:r w:rsidR="00CC2316" w:rsidRPr="00EA33C4">
        <w:t> </w:t>
      </w:r>
      <w:r w:rsidR="002A0400" w:rsidRPr="00EA33C4">
        <w:t>Formularzu cenowym</w:t>
      </w:r>
      <w:r w:rsidRPr="002A0400">
        <w:t>.</w:t>
      </w:r>
      <w:r w:rsidR="00D66049">
        <w:t xml:space="preserve"> Wykonawca w formularzu cenowym zobowiązany jest do wpisania w kolumnie (3) ceny jednostkowej w PLN za </w:t>
      </w:r>
      <w:r w:rsidR="00D66049" w:rsidRPr="00D66049">
        <w:t>1 tonę siarczanu baru o gęstości min. 4,2 g/cm3 zgodnie z normą API 13A. W kolumnie 4 Zamawiający wpisał wymaganą ilość dostawy na dana lokalizację. W kolumnie 5 należy podać wynik mnożenia ceny jednostkowej i danej ilości. Następnie całą kolumnę nr 5 należy podsumować. Do tak obliczonej ceny netto należy dodać obowiązujący podatek VAT i obliczyć cenę brutto</w:t>
      </w:r>
      <w:r w:rsidR="00D66049">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13B82" w:rsidRDefault="00C24F8F" w:rsidP="00C24F8F">
      <w:pPr>
        <w:pStyle w:val="Styl11"/>
      </w:pPr>
      <w:r>
        <w:t xml:space="preserve">Zamawiający zastrzega, że cena za realizację przedmiotu zamówienia wskazana przez Wykonawcę w Formularzu </w:t>
      </w:r>
      <w:r w:rsidRPr="00EA33C4">
        <w:t xml:space="preserve">ofertowym oraz w Formularzu cenowym nie </w:t>
      </w:r>
      <w:r>
        <w:t>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46E22865"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w:t>
      </w:r>
      <w:r w:rsidR="00A34B2D">
        <w:t>łu Elektronicznej Komunikacji z </w:t>
      </w:r>
      <w:r w:rsidRPr="0081083D">
        <w:t xml:space="preserve">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692724">
        <w:rPr>
          <w:b/>
        </w:rPr>
        <w:t xml:space="preserve">tj. do dnia </w:t>
      </w:r>
      <w:r w:rsidR="00A34B2D">
        <w:rPr>
          <w:b/>
        </w:rPr>
        <w:t>16.</w:t>
      </w:r>
      <w:r w:rsidR="00692724">
        <w:rPr>
          <w:b/>
        </w:rPr>
        <w:t xml:space="preserve">04.2025 </w:t>
      </w:r>
      <w:r w:rsidR="001046F8" w:rsidRPr="001046F8">
        <w:rPr>
          <w:b/>
        </w:rPr>
        <w:t xml:space="preserve">r. godz. </w:t>
      </w:r>
      <w:r w:rsidR="00692724">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lastRenderedPageBreak/>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6C2C409F"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7B59CB">
        <w:t>13:00.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21C48A6A" w:rsidR="00F40506" w:rsidRPr="00D2442C" w:rsidRDefault="00F40506" w:rsidP="00D2442C">
      <w:pPr>
        <w:pStyle w:val="Styl1beznr"/>
      </w:pPr>
      <w:r w:rsidRPr="00D2442C">
        <w:t xml:space="preserve">Wykonawca pozostaje związany złożoną ofertą przez okres </w:t>
      </w:r>
      <w:r w:rsidR="007B59CB">
        <w:t>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w:t>
      </w:r>
      <w:r w:rsidRPr="00C27D55">
        <w:lastRenderedPageBreak/>
        <w:t xml:space="preserve">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w:t>
      </w:r>
      <w:r w:rsidRPr="001B048D">
        <w:lastRenderedPageBreak/>
        <w:t>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lastRenderedPageBreak/>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6D65A42" w:rsidR="00943722" w:rsidRPr="00B05AE9"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58516912" w14:textId="70808642" w:rsidR="00B05AE9" w:rsidRDefault="00B05AE9" w:rsidP="00B05AE9">
      <w:pPr>
        <w:pStyle w:val="Styl11"/>
        <w:numPr>
          <w:ilvl w:val="0"/>
          <w:numId w:val="0"/>
        </w:numPr>
        <w:ind w:left="574"/>
      </w:pPr>
    </w:p>
    <w:p w14:paraId="0DAB8F7C" w14:textId="754F3D2D" w:rsidR="00B05AE9" w:rsidRDefault="00B05AE9" w:rsidP="00B05AE9">
      <w:pPr>
        <w:pStyle w:val="Styl11"/>
        <w:numPr>
          <w:ilvl w:val="0"/>
          <w:numId w:val="0"/>
        </w:numPr>
        <w:ind w:left="574"/>
      </w:pPr>
    </w:p>
    <w:p w14:paraId="7BEAF033" w14:textId="14BEB345" w:rsidR="00B05AE9" w:rsidRDefault="00B05AE9" w:rsidP="00B05AE9">
      <w:pPr>
        <w:pStyle w:val="Styl11"/>
        <w:numPr>
          <w:ilvl w:val="0"/>
          <w:numId w:val="0"/>
        </w:numPr>
        <w:ind w:left="574"/>
      </w:pPr>
    </w:p>
    <w:p w14:paraId="72F01CB4" w14:textId="2ACA8C78" w:rsidR="00B05AE9" w:rsidRDefault="00B05AE9" w:rsidP="00B05AE9">
      <w:pPr>
        <w:pStyle w:val="Styl11"/>
        <w:numPr>
          <w:ilvl w:val="0"/>
          <w:numId w:val="0"/>
        </w:numPr>
        <w:ind w:left="574"/>
      </w:pPr>
    </w:p>
    <w:p w14:paraId="377BAAFD" w14:textId="71889FEE" w:rsidR="00B05AE9" w:rsidRDefault="00B05AE9" w:rsidP="00B05AE9">
      <w:pPr>
        <w:pStyle w:val="Styl11"/>
        <w:numPr>
          <w:ilvl w:val="0"/>
          <w:numId w:val="0"/>
        </w:numPr>
        <w:ind w:left="574"/>
      </w:pPr>
    </w:p>
    <w:p w14:paraId="216C6892" w14:textId="37D21CA2" w:rsidR="00B05AE9" w:rsidRDefault="00B05AE9" w:rsidP="00B05AE9">
      <w:pPr>
        <w:pStyle w:val="Styl11"/>
        <w:numPr>
          <w:ilvl w:val="0"/>
          <w:numId w:val="0"/>
        </w:numPr>
        <w:ind w:left="574"/>
      </w:pPr>
    </w:p>
    <w:p w14:paraId="12A14F64" w14:textId="3E546B89" w:rsidR="00B05AE9" w:rsidRDefault="00B05AE9" w:rsidP="00B05AE9">
      <w:pPr>
        <w:pStyle w:val="Styl11"/>
        <w:numPr>
          <w:ilvl w:val="0"/>
          <w:numId w:val="0"/>
        </w:numPr>
        <w:ind w:left="574"/>
      </w:pPr>
    </w:p>
    <w:p w14:paraId="47AE2F13" w14:textId="4B4F1BA4" w:rsidR="00B05AE9" w:rsidRDefault="00B05AE9" w:rsidP="00B05AE9">
      <w:pPr>
        <w:pStyle w:val="Styl11"/>
        <w:numPr>
          <w:ilvl w:val="0"/>
          <w:numId w:val="0"/>
        </w:numPr>
        <w:ind w:left="574"/>
      </w:pPr>
    </w:p>
    <w:p w14:paraId="34E43886" w14:textId="08F9BA4F" w:rsidR="00B05AE9" w:rsidRDefault="00B05AE9" w:rsidP="00B05AE9">
      <w:pPr>
        <w:pStyle w:val="Styl11"/>
        <w:numPr>
          <w:ilvl w:val="0"/>
          <w:numId w:val="0"/>
        </w:numPr>
        <w:ind w:left="574"/>
      </w:pPr>
    </w:p>
    <w:p w14:paraId="6F6D1461" w14:textId="45B43527" w:rsidR="00B05AE9" w:rsidRDefault="00B05AE9" w:rsidP="00B05AE9">
      <w:pPr>
        <w:pStyle w:val="Styl11"/>
        <w:numPr>
          <w:ilvl w:val="0"/>
          <w:numId w:val="0"/>
        </w:numPr>
        <w:ind w:left="574"/>
      </w:pPr>
    </w:p>
    <w:p w14:paraId="2D67E872" w14:textId="77777777" w:rsidR="00B05AE9" w:rsidRPr="007343D8" w:rsidRDefault="00B05AE9" w:rsidP="00B05AE9">
      <w:pPr>
        <w:pStyle w:val="Styl11"/>
        <w:numPr>
          <w:ilvl w:val="0"/>
          <w:numId w:val="0"/>
        </w:numPr>
        <w:ind w:left="574"/>
      </w:pP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3114"/>
        <w:gridCol w:w="5777"/>
      </w:tblGrid>
      <w:tr w:rsidR="003C4F15" w:rsidRPr="00F40506" w14:paraId="5D2327C5" w14:textId="77777777" w:rsidTr="00B05AE9">
        <w:trPr>
          <w:trHeight w:val="248"/>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5777"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B05AE9">
        <w:trPr>
          <w:trHeight w:val="248"/>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B05AE9">
        <w:trPr>
          <w:trHeight w:val="248"/>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B05AE9">
        <w:trPr>
          <w:trHeight w:val="283"/>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B05AE9">
        <w:trPr>
          <w:trHeight w:val="283"/>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B05AE9">
        <w:trPr>
          <w:trHeight w:val="283"/>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B05AE9">
        <w:trPr>
          <w:trHeight w:val="283"/>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B05AE9">
        <w:trPr>
          <w:trHeight w:val="283"/>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B05AE9">
        <w:trPr>
          <w:trHeight w:val="283"/>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1BF2FD79" w14:textId="76FBEBD2" w:rsidR="00F40506" w:rsidRPr="007B59CB" w:rsidRDefault="007B59CB" w:rsidP="007B59CB">
            <w:pPr>
              <w:spacing w:line="276" w:lineRule="auto"/>
              <w:jc w:val="left"/>
              <w:rPr>
                <w:rFonts w:cs="Arial"/>
                <w:sz w:val="20"/>
                <w:szCs w:val="20"/>
              </w:rPr>
            </w:pPr>
            <w:r w:rsidRPr="007B59CB">
              <w:rPr>
                <w:rFonts w:cs="Arial"/>
                <w:sz w:val="20"/>
                <w:szCs w:val="20"/>
              </w:rPr>
              <w:t>Załącznik nr 5</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53F2C52D" w14:textId="338B83FA" w:rsidR="00F40506" w:rsidRPr="007B59CB" w:rsidRDefault="007B59CB" w:rsidP="00F40506">
            <w:pPr>
              <w:spacing w:line="276" w:lineRule="auto"/>
              <w:rPr>
                <w:rFonts w:cs="Arial"/>
                <w:sz w:val="20"/>
                <w:szCs w:val="20"/>
              </w:rPr>
            </w:pPr>
            <w:r w:rsidRPr="007B59CB">
              <w:rPr>
                <w:rFonts w:cs="Arial"/>
                <w:sz w:val="20"/>
                <w:szCs w:val="20"/>
              </w:rPr>
              <w:t>Wykaz wykonanych dostaw</w:t>
            </w:r>
          </w:p>
        </w:tc>
      </w:tr>
      <w:tr w:rsidR="00137221" w:rsidRPr="00F40506" w14:paraId="6CB7DE53" w14:textId="77777777" w:rsidTr="00B05AE9">
        <w:trPr>
          <w:trHeight w:val="269"/>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14:paraId="26DC6042" w14:textId="77777777" w:rsidR="00B05AE9" w:rsidRPr="00B05AE9" w:rsidRDefault="00137221" w:rsidP="007B59CB">
            <w:pPr>
              <w:spacing w:line="276" w:lineRule="auto"/>
              <w:jc w:val="left"/>
              <w:rPr>
                <w:rFonts w:cs="Arial"/>
                <w:sz w:val="20"/>
                <w:szCs w:val="20"/>
              </w:rPr>
            </w:pPr>
            <w:r w:rsidRPr="00B05AE9">
              <w:rPr>
                <w:rFonts w:cs="Arial"/>
                <w:sz w:val="20"/>
                <w:szCs w:val="20"/>
              </w:rPr>
              <w:t xml:space="preserve">Załącznik nr </w:t>
            </w:r>
            <w:r w:rsidR="007B59CB" w:rsidRPr="00B05AE9">
              <w:rPr>
                <w:rFonts w:cs="Arial"/>
                <w:sz w:val="20"/>
                <w:szCs w:val="20"/>
              </w:rPr>
              <w:t>6</w:t>
            </w:r>
            <w:r w:rsidR="00EA33C4" w:rsidRPr="00B05AE9">
              <w:rPr>
                <w:rFonts w:cs="Arial"/>
                <w:sz w:val="20"/>
                <w:szCs w:val="20"/>
              </w:rPr>
              <w:t xml:space="preserve"> </w:t>
            </w:r>
          </w:p>
          <w:p w14:paraId="210984CF" w14:textId="78105D68" w:rsidR="00137221" w:rsidRPr="00F40506" w:rsidRDefault="00EA33C4" w:rsidP="007B59CB">
            <w:pPr>
              <w:spacing w:line="276" w:lineRule="auto"/>
              <w:jc w:val="left"/>
              <w:rPr>
                <w:rFonts w:cs="Arial"/>
                <w:color w:val="548DD4"/>
                <w:sz w:val="20"/>
                <w:szCs w:val="20"/>
              </w:rPr>
            </w:pPr>
            <w:r w:rsidRPr="00B05AE9">
              <w:rPr>
                <w:rFonts w:cs="Arial"/>
                <w:i/>
                <w:sz w:val="18"/>
                <w:szCs w:val="18"/>
              </w:rPr>
              <w:t>dot. spółek z Grupy kapitałowej Zamawiającego</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F40506" w:rsidRDefault="00137221" w:rsidP="00F40506">
            <w:pPr>
              <w:spacing w:line="276" w:lineRule="auto"/>
              <w:rPr>
                <w:rFonts w:cs="Arial"/>
                <w:color w:val="548DD4"/>
                <w:sz w:val="20"/>
                <w:szCs w:val="20"/>
              </w:rPr>
            </w:pPr>
            <w:r w:rsidRPr="000E7EA0">
              <w:rPr>
                <w:sz w:val="20"/>
                <w:szCs w:val="20"/>
              </w:rPr>
              <w:t>Oświadczenie kontrahenta o rynkowym charakterze cen</w:t>
            </w:r>
            <w:r>
              <w:rPr>
                <w:sz w:val="20"/>
                <w:szCs w:val="20"/>
              </w:rPr>
              <w:t>y</w:t>
            </w:r>
          </w:p>
        </w:tc>
      </w:tr>
    </w:tbl>
    <w:p w14:paraId="2A852839" w14:textId="77777777" w:rsidR="007B59CB" w:rsidRDefault="007B59CB">
      <w:pPr>
        <w:spacing w:line="240" w:lineRule="auto"/>
        <w:jc w:val="left"/>
        <w:rPr>
          <w:rFonts w:cs="Calibri"/>
          <w:b/>
          <w:iCs/>
          <w:color w:val="000000"/>
          <w:sz w:val="20"/>
          <w:szCs w:val="22"/>
          <w:lang w:eastAsia="en-US"/>
        </w:rPr>
      </w:pPr>
      <w:r>
        <w:br w:type="page"/>
      </w:r>
    </w:p>
    <w:p w14:paraId="5E092F4F" w14:textId="082FBD7D"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C722A2" w:rsidRDefault="00FE14E3" w:rsidP="00FE14E3">
      <w:pPr>
        <w:ind w:left="4253"/>
        <w:rPr>
          <w:rFonts w:cs="Arial"/>
        </w:rPr>
      </w:pPr>
      <w:r w:rsidRPr="00C722A2">
        <w:rPr>
          <w:rFonts w:cs="Arial"/>
          <w:b/>
        </w:rPr>
        <w:t>ORLEN Spółki Akcyjnej</w:t>
      </w:r>
    </w:p>
    <w:p w14:paraId="146906E6" w14:textId="77777777" w:rsidR="00FE14E3" w:rsidRPr="00C722A2" w:rsidRDefault="00FE14E3" w:rsidP="00FE14E3">
      <w:pPr>
        <w:pStyle w:val="Tekstpodstawowy"/>
        <w:tabs>
          <w:tab w:val="left" w:pos="851"/>
        </w:tabs>
        <w:spacing w:after="0"/>
        <w:ind w:left="4253"/>
        <w:rPr>
          <w:rFonts w:cs="Arial"/>
          <w:b/>
        </w:rPr>
      </w:pPr>
      <w:r w:rsidRPr="00C722A2">
        <w:rPr>
          <w:rFonts w:cs="Arial"/>
          <w:b/>
        </w:rPr>
        <w:t>Oddział Centralny Polskie Górnictwo Naftowe i Gazownictwo w Warszawie</w:t>
      </w:r>
    </w:p>
    <w:p w14:paraId="1C3A5CA1" w14:textId="77777777" w:rsidR="00FE14E3" w:rsidRPr="00C722A2" w:rsidRDefault="00FE14E3" w:rsidP="00FE14E3">
      <w:pPr>
        <w:pStyle w:val="Tekstpodstawowy"/>
        <w:tabs>
          <w:tab w:val="left" w:pos="851"/>
        </w:tabs>
        <w:spacing w:after="0"/>
        <w:ind w:left="4253"/>
        <w:rPr>
          <w:rFonts w:cs="Arial"/>
          <w:b/>
        </w:rPr>
      </w:pPr>
      <w:r w:rsidRPr="00C722A2">
        <w:rPr>
          <w:rFonts w:cs="Arial"/>
          <w:b/>
        </w:rPr>
        <w:t>ul. Marcina Kasprzaka 25</w:t>
      </w:r>
    </w:p>
    <w:p w14:paraId="06005360" w14:textId="77777777" w:rsidR="00FE14E3" w:rsidRPr="00C722A2" w:rsidRDefault="00FE14E3" w:rsidP="00FE14E3">
      <w:pPr>
        <w:pStyle w:val="Tekstpodstawowy"/>
        <w:tabs>
          <w:tab w:val="left" w:pos="851"/>
        </w:tabs>
        <w:spacing w:after="0"/>
        <w:ind w:left="4253"/>
        <w:rPr>
          <w:rFonts w:cs="Arial"/>
          <w:b/>
        </w:rPr>
      </w:pPr>
      <w:r w:rsidRPr="00C722A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47F63831"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C722A2" w:rsidRPr="00C722A2">
        <w:rPr>
          <w:rFonts w:cs="Arial"/>
          <w:b/>
          <w:sz w:val="20"/>
          <w:szCs w:val="20"/>
        </w:rPr>
        <w:t>Zakup barytu w celu zabezpieczenie pod względem przeciwerupcyjnym realizowanych wierceń</w:t>
      </w:r>
      <w:r w:rsidR="00C3632C" w:rsidRPr="00C722A2">
        <w:rPr>
          <w:rFonts w:cs="Arial"/>
          <w:sz w:val="20"/>
          <w:szCs w:val="20"/>
        </w:rPr>
        <w:t>”</w:t>
      </w:r>
      <w:r w:rsidR="00161116" w:rsidRPr="00052764">
        <w:rPr>
          <w:rFonts w:cs="Arial"/>
          <w:sz w:val="20"/>
          <w:szCs w:val="20"/>
        </w:rPr>
        <w:t xml:space="preserve">, numer postępowania: </w:t>
      </w:r>
      <w:r w:rsidR="00C722A2" w:rsidRPr="00C722A2">
        <w:rPr>
          <w:rFonts w:cs="Arial"/>
          <w:b/>
          <w:sz w:val="20"/>
          <w:szCs w:val="20"/>
        </w:rPr>
        <w:t>NP/ORLEN/25/0487/GE/DWR</w:t>
      </w:r>
      <w:r w:rsidR="00C722A2">
        <w:rPr>
          <w:rFonts w:cs="Arial"/>
          <w:b/>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C722A2"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C722A2" w:rsidRDefault="00087C7C">
            <w:pPr>
              <w:spacing w:line="240" w:lineRule="auto"/>
              <w:jc w:val="center"/>
              <w:rPr>
                <w:rFonts w:cs="Arial"/>
                <w:b/>
                <w:sz w:val="20"/>
                <w:szCs w:val="22"/>
              </w:rPr>
            </w:pPr>
          </w:p>
          <w:p w14:paraId="28E2B846" w14:textId="77777777" w:rsidR="00087C7C" w:rsidRPr="00C722A2" w:rsidRDefault="00087C7C">
            <w:pPr>
              <w:spacing w:line="240" w:lineRule="auto"/>
              <w:jc w:val="center"/>
              <w:rPr>
                <w:rFonts w:cs="Arial"/>
                <w:b/>
                <w:sz w:val="20"/>
              </w:rPr>
            </w:pPr>
            <w:r w:rsidRPr="00C722A2">
              <w:rPr>
                <w:rFonts w:cs="Arial"/>
                <w:b/>
                <w:sz w:val="20"/>
              </w:rPr>
              <w:t xml:space="preserve">CENA </w:t>
            </w:r>
          </w:p>
          <w:p w14:paraId="1CC417E5" w14:textId="77777777" w:rsidR="00087C7C" w:rsidRPr="00C722A2"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C722A2" w:rsidRDefault="00087C7C">
            <w:pPr>
              <w:spacing w:line="240" w:lineRule="auto"/>
              <w:rPr>
                <w:rFonts w:cs="Arial"/>
                <w:b/>
                <w:sz w:val="20"/>
                <w:szCs w:val="22"/>
                <w:lang w:val="en-US"/>
              </w:rPr>
            </w:pPr>
          </w:p>
          <w:p w14:paraId="7A6D8D29" w14:textId="2315F69F" w:rsidR="00087C7C" w:rsidRPr="00C722A2" w:rsidRDefault="001F44C1">
            <w:pPr>
              <w:spacing w:line="240" w:lineRule="auto"/>
              <w:rPr>
                <w:rFonts w:cs="Arial"/>
                <w:b/>
                <w:sz w:val="20"/>
                <w:lang w:val="en-US"/>
              </w:rPr>
            </w:pPr>
            <w:r w:rsidRPr="00C722A2">
              <w:rPr>
                <w:rFonts w:cs="Arial"/>
                <w:b/>
                <w:sz w:val="20"/>
                <w:lang w:val="en-US"/>
              </w:rPr>
              <w:t>…………………………….. PLN</w:t>
            </w:r>
            <w:r w:rsidR="00087C7C" w:rsidRPr="00C722A2">
              <w:rPr>
                <w:rFonts w:cs="Arial"/>
                <w:b/>
                <w:sz w:val="20"/>
                <w:lang w:val="en-US"/>
              </w:rPr>
              <w:t xml:space="preserve"> NETTO</w:t>
            </w:r>
          </w:p>
          <w:p w14:paraId="57CD50AF" w14:textId="77777777" w:rsidR="00087C7C" w:rsidRPr="00C722A2" w:rsidRDefault="00087C7C">
            <w:pPr>
              <w:spacing w:line="240" w:lineRule="auto"/>
              <w:rPr>
                <w:rFonts w:cs="Arial"/>
                <w:b/>
                <w:sz w:val="20"/>
                <w:lang w:val="en-US"/>
              </w:rPr>
            </w:pPr>
          </w:p>
          <w:p w14:paraId="7A9D2DE6" w14:textId="77777777" w:rsidR="00087C7C" w:rsidRPr="00C722A2" w:rsidRDefault="00087C7C">
            <w:pPr>
              <w:spacing w:line="240" w:lineRule="auto"/>
              <w:rPr>
                <w:rFonts w:cs="Arial"/>
                <w:b/>
                <w:sz w:val="20"/>
                <w:lang w:val="en-US"/>
              </w:rPr>
            </w:pPr>
            <w:r w:rsidRPr="00C722A2">
              <w:rPr>
                <w:rFonts w:cs="Arial"/>
                <w:b/>
                <w:sz w:val="20"/>
                <w:lang w:val="en-US"/>
              </w:rPr>
              <w:t>VAT ........ %</w:t>
            </w:r>
          </w:p>
          <w:p w14:paraId="7AF6D912" w14:textId="77777777" w:rsidR="00087C7C" w:rsidRPr="00C722A2" w:rsidRDefault="00087C7C">
            <w:pPr>
              <w:spacing w:line="240" w:lineRule="auto"/>
              <w:rPr>
                <w:rFonts w:cs="Arial"/>
                <w:b/>
                <w:sz w:val="20"/>
                <w:lang w:val="en-US"/>
              </w:rPr>
            </w:pPr>
          </w:p>
          <w:p w14:paraId="6AF285F1" w14:textId="71712D8D" w:rsidR="00087C7C" w:rsidRPr="00C722A2" w:rsidRDefault="00087C7C" w:rsidP="001F44C1">
            <w:pPr>
              <w:spacing w:line="240" w:lineRule="auto"/>
              <w:rPr>
                <w:rFonts w:cs="Arial"/>
                <w:b/>
                <w:sz w:val="20"/>
                <w:szCs w:val="22"/>
                <w:lang w:val="en-US"/>
              </w:rPr>
            </w:pPr>
            <w:r w:rsidRPr="00C722A2">
              <w:rPr>
                <w:rFonts w:cs="Arial"/>
                <w:b/>
                <w:sz w:val="20"/>
                <w:lang w:val="en-US"/>
              </w:rPr>
              <w:t xml:space="preserve">…………………………….. </w:t>
            </w:r>
            <w:r w:rsidR="001F44C1" w:rsidRPr="00C722A2">
              <w:rPr>
                <w:rFonts w:cs="Arial"/>
                <w:b/>
                <w:sz w:val="20"/>
                <w:lang w:val="en-US"/>
              </w:rPr>
              <w:t xml:space="preserve">PLN </w:t>
            </w:r>
            <w:r w:rsidRPr="00C722A2">
              <w:rPr>
                <w:rFonts w:cs="Arial"/>
                <w:b/>
                <w:sz w:val="20"/>
                <w:lang w:val="en-US"/>
              </w:rPr>
              <w:t>BRUTTO</w:t>
            </w:r>
          </w:p>
        </w:tc>
      </w:tr>
    </w:tbl>
    <w:p w14:paraId="03A7BD9F" w14:textId="49403ADF" w:rsidR="009F167E" w:rsidRPr="00C722A2" w:rsidRDefault="009F167E" w:rsidP="009F167E">
      <w:pPr>
        <w:pStyle w:val="Tekstpodstawowy"/>
        <w:keepLines/>
        <w:spacing w:line="276" w:lineRule="auto"/>
        <w:jc w:val="center"/>
        <w:rPr>
          <w:rFonts w:cs="Arial"/>
          <w:b/>
          <w:sz w:val="20"/>
        </w:rPr>
      </w:pPr>
      <w:r w:rsidRPr="00C722A2">
        <w:rPr>
          <w:rFonts w:cs="Arial"/>
          <w:b/>
          <w:sz w:val="20"/>
        </w:rPr>
        <w:lastRenderedPageBreak/>
        <w:t>Formularz cenowy</w:t>
      </w:r>
    </w:p>
    <w:tbl>
      <w:tblPr>
        <w:tblStyle w:val="Tabela-Siatka"/>
        <w:tblW w:w="9067" w:type="dxa"/>
        <w:tblLook w:val="04A0" w:firstRow="1" w:lastRow="0" w:firstColumn="1" w:lastColumn="0" w:noHBand="0" w:noVBand="1"/>
      </w:tblPr>
      <w:tblGrid>
        <w:gridCol w:w="1980"/>
        <w:gridCol w:w="1701"/>
        <w:gridCol w:w="1984"/>
        <w:gridCol w:w="1843"/>
        <w:gridCol w:w="1559"/>
      </w:tblGrid>
      <w:tr w:rsidR="00357BE5" w14:paraId="1E084DA9" w14:textId="77777777" w:rsidTr="00357BE5">
        <w:trPr>
          <w:trHeight w:val="743"/>
        </w:trPr>
        <w:tc>
          <w:tcPr>
            <w:tcW w:w="1980" w:type="dxa"/>
            <w:vAlign w:val="center"/>
          </w:tcPr>
          <w:p w14:paraId="27A3E023"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c>
          <w:tcPr>
            <w:tcW w:w="1701" w:type="dxa"/>
            <w:vAlign w:val="center"/>
          </w:tcPr>
          <w:p w14:paraId="54DA612D" w14:textId="431ED03F"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Adres dostawy:</w:t>
            </w:r>
          </w:p>
        </w:tc>
        <w:tc>
          <w:tcPr>
            <w:tcW w:w="1984" w:type="dxa"/>
            <w:vAlign w:val="center"/>
          </w:tcPr>
          <w:p w14:paraId="09DC6C78" w14:textId="1F7563F1" w:rsidR="00352087" w:rsidRPr="00352087" w:rsidRDefault="00357BE5" w:rsidP="00352087">
            <w:pPr>
              <w:spacing w:line="240" w:lineRule="auto"/>
              <w:jc w:val="center"/>
              <w:rPr>
                <w:bCs/>
                <w:sz w:val="20"/>
                <w:szCs w:val="20"/>
              </w:rPr>
            </w:pPr>
            <w:r w:rsidRPr="00357BE5">
              <w:rPr>
                <w:bCs/>
                <w:sz w:val="20"/>
                <w:szCs w:val="20"/>
              </w:rPr>
              <w:t>Cena jednostkowa w PLN</w:t>
            </w:r>
            <w:r w:rsidR="00352087">
              <w:rPr>
                <w:bCs/>
                <w:sz w:val="20"/>
                <w:szCs w:val="20"/>
              </w:rPr>
              <w:t xml:space="preserve"> za 1 Tonę </w:t>
            </w:r>
            <w:r w:rsidR="00352087" w:rsidRPr="00352087">
              <w:rPr>
                <w:bCs/>
                <w:sz w:val="20"/>
                <w:szCs w:val="20"/>
              </w:rPr>
              <w:t>siarczan</w:t>
            </w:r>
            <w:r w:rsidR="00352087">
              <w:rPr>
                <w:bCs/>
                <w:sz w:val="20"/>
                <w:szCs w:val="20"/>
              </w:rPr>
              <w:t>u</w:t>
            </w:r>
            <w:r w:rsidR="00352087" w:rsidRPr="00352087">
              <w:rPr>
                <w:bCs/>
                <w:sz w:val="20"/>
                <w:szCs w:val="20"/>
              </w:rPr>
              <w:t xml:space="preserve"> baru o gęstości min. 4,2 g/cm3 zgodnie z normą</w:t>
            </w:r>
          </w:p>
          <w:p w14:paraId="127EFC7B" w14:textId="7983614C" w:rsidR="00357BE5" w:rsidRPr="00357BE5" w:rsidRDefault="00352087" w:rsidP="00352087">
            <w:pPr>
              <w:widowControl w:val="0"/>
              <w:tabs>
                <w:tab w:val="left" w:pos="567"/>
                <w:tab w:val="left" w:pos="7797"/>
              </w:tabs>
              <w:autoSpaceDE w:val="0"/>
              <w:autoSpaceDN w:val="0"/>
              <w:adjustRightInd w:val="0"/>
              <w:spacing w:line="240" w:lineRule="auto"/>
              <w:ind w:right="7"/>
              <w:jc w:val="center"/>
              <w:rPr>
                <w:bCs/>
                <w:sz w:val="20"/>
                <w:szCs w:val="20"/>
              </w:rPr>
            </w:pPr>
            <w:r w:rsidRPr="00352087">
              <w:rPr>
                <w:bCs/>
                <w:sz w:val="20"/>
                <w:szCs w:val="20"/>
              </w:rPr>
              <w:t>API 13A</w:t>
            </w:r>
          </w:p>
        </w:tc>
        <w:tc>
          <w:tcPr>
            <w:tcW w:w="1843" w:type="dxa"/>
            <w:vAlign w:val="center"/>
          </w:tcPr>
          <w:p w14:paraId="2966B1FB" w14:textId="77777777" w:rsid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 xml:space="preserve">Ilość </w:t>
            </w:r>
          </w:p>
          <w:p w14:paraId="2CA8C71D" w14:textId="7261B4EC"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w TONACH</w:t>
            </w:r>
          </w:p>
        </w:tc>
        <w:tc>
          <w:tcPr>
            <w:tcW w:w="1559" w:type="dxa"/>
            <w:vAlign w:val="center"/>
          </w:tcPr>
          <w:p w14:paraId="7DDC9773" w14:textId="77777777" w:rsid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 xml:space="preserve">Cena netto </w:t>
            </w:r>
          </w:p>
          <w:p w14:paraId="61EB6180" w14:textId="284BC54B"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w PLN</w:t>
            </w:r>
          </w:p>
        </w:tc>
      </w:tr>
      <w:tr w:rsidR="00357BE5" w14:paraId="79151D27" w14:textId="77777777" w:rsidTr="00357BE5">
        <w:tc>
          <w:tcPr>
            <w:tcW w:w="1980" w:type="dxa"/>
            <w:shd w:val="clear" w:color="auto" w:fill="D9D9D9" w:themeFill="background1" w:themeFillShade="D9"/>
            <w:vAlign w:val="center"/>
          </w:tcPr>
          <w:p w14:paraId="7DCABBF1" w14:textId="0CFD6141"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1</w:t>
            </w:r>
          </w:p>
        </w:tc>
        <w:tc>
          <w:tcPr>
            <w:tcW w:w="1701" w:type="dxa"/>
            <w:shd w:val="clear" w:color="auto" w:fill="D9D9D9" w:themeFill="background1" w:themeFillShade="D9"/>
            <w:vAlign w:val="center"/>
          </w:tcPr>
          <w:p w14:paraId="659904A9" w14:textId="65027B0A"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2</w:t>
            </w:r>
          </w:p>
        </w:tc>
        <w:tc>
          <w:tcPr>
            <w:tcW w:w="1984" w:type="dxa"/>
            <w:shd w:val="clear" w:color="auto" w:fill="D9D9D9" w:themeFill="background1" w:themeFillShade="D9"/>
            <w:vAlign w:val="center"/>
          </w:tcPr>
          <w:p w14:paraId="5CB74116" w14:textId="2B67CCE3"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3</w:t>
            </w:r>
          </w:p>
        </w:tc>
        <w:tc>
          <w:tcPr>
            <w:tcW w:w="1843" w:type="dxa"/>
            <w:shd w:val="clear" w:color="auto" w:fill="D9D9D9" w:themeFill="background1" w:themeFillShade="D9"/>
            <w:vAlign w:val="center"/>
          </w:tcPr>
          <w:p w14:paraId="7D48D75C" w14:textId="004A2C16"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4</w:t>
            </w:r>
          </w:p>
        </w:tc>
        <w:tc>
          <w:tcPr>
            <w:tcW w:w="1559" w:type="dxa"/>
            <w:shd w:val="clear" w:color="auto" w:fill="D9D9D9" w:themeFill="background1" w:themeFillShade="D9"/>
            <w:vAlign w:val="center"/>
          </w:tcPr>
          <w:p w14:paraId="6E7AD39D" w14:textId="15E96278"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5=3x4</w:t>
            </w:r>
          </w:p>
        </w:tc>
      </w:tr>
      <w:tr w:rsidR="00357BE5" w14:paraId="044FB103" w14:textId="77777777" w:rsidTr="00357BE5">
        <w:trPr>
          <w:trHeight w:val="1164"/>
        </w:trPr>
        <w:tc>
          <w:tcPr>
            <w:tcW w:w="1980" w:type="dxa"/>
            <w:vAlign w:val="center"/>
          </w:tcPr>
          <w:p w14:paraId="3D13D3F2" w14:textId="77777777" w:rsid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bCs/>
                <w:sz w:val="20"/>
                <w:szCs w:val="20"/>
              </w:rPr>
              <w:t xml:space="preserve">Magazyn </w:t>
            </w:r>
          </w:p>
          <w:p w14:paraId="3F97FDEC" w14:textId="303003F0" w:rsidR="00357BE5" w:rsidRP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bCs/>
                <w:sz w:val="20"/>
                <w:szCs w:val="20"/>
              </w:rPr>
              <w:t>w Libuszy</w:t>
            </w:r>
          </w:p>
        </w:tc>
        <w:tc>
          <w:tcPr>
            <w:tcW w:w="1701" w:type="dxa"/>
            <w:vAlign w:val="center"/>
          </w:tcPr>
          <w:p w14:paraId="446DC351" w14:textId="271CAC67" w:rsidR="00357BE5" w:rsidRPr="00357BE5" w:rsidRDefault="00357BE5" w:rsidP="00357BE5">
            <w:pPr>
              <w:widowControl w:val="0"/>
              <w:tabs>
                <w:tab w:val="left" w:pos="567"/>
                <w:tab w:val="left" w:pos="7797"/>
              </w:tabs>
              <w:autoSpaceDE w:val="0"/>
              <w:autoSpaceDN w:val="0"/>
              <w:adjustRightInd w:val="0"/>
              <w:spacing w:line="240" w:lineRule="auto"/>
              <w:ind w:right="7"/>
              <w:jc w:val="left"/>
              <w:rPr>
                <w:sz w:val="20"/>
                <w:szCs w:val="20"/>
              </w:rPr>
            </w:pPr>
            <w:r w:rsidRPr="00357BE5">
              <w:rPr>
                <w:sz w:val="20"/>
                <w:szCs w:val="20"/>
              </w:rPr>
              <w:t xml:space="preserve">ul. Kolonia 21/4,  </w:t>
            </w:r>
          </w:p>
          <w:p w14:paraId="44F5230C" w14:textId="30D754A0" w:rsidR="00357BE5" w:rsidRP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sz w:val="20"/>
                <w:szCs w:val="20"/>
              </w:rPr>
              <w:t>38-306 Libusza</w:t>
            </w:r>
          </w:p>
        </w:tc>
        <w:tc>
          <w:tcPr>
            <w:tcW w:w="1984" w:type="dxa"/>
            <w:vAlign w:val="center"/>
          </w:tcPr>
          <w:p w14:paraId="57184DAF"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c>
          <w:tcPr>
            <w:tcW w:w="1843" w:type="dxa"/>
            <w:vAlign w:val="center"/>
          </w:tcPr>
          <w:p w14:paraId="5A690D29" w14:textId="71606BE8"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144</w:t>
            </w:r>
          </w:p>
        </w:tc>
        <w:tc>
          <w:tcPr>
            <w:tcW w:w="1559" w:type="dxa"/>
            <w:vAlign w:val="center"/>
          </w:tcPr>
          <w:p w14:paraId="0B2ACEE4"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r>
      <w:tr w:rsidR="00357BE5" w14:paraId="04A8781F" w14:textId="77777777" w:rsidTr="00357BE5">
        <w:trPr>
          <w:trHeight w:val="990"/>
        </w:trPr>
        <w:tc>
          <w:tcPr>
            <w:tcW w:w="1980" w:type="dxa"/>
            <w:vAlign w:val="center"/>
          </w:tcPr>
          <w:p w14:paraId="40AFEF37" w14:textId="77777777" w:rsid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bCs/>
                <w:sz w:val="20"/>
                <w:szCs w:val="20"/>
              </w:rPr>
              <w:t xml:space="preserve">Magazyn </w:t>
            </w:r>
          </w:p>
          <w:p w14:paraId="00466BB4" w14:textId="7B3F265E" w:rsidR="00357BE5" w:rsidRP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bCs/>
                <w:sz w:val="20"/>
                <w:szCs w:val="20"/>
              </w:rPr>
              <w:t>w Zielonej Górze</w:t>
            </w:r>
          </w:p>
        </w:tc>
        <w:tc>
          <w:tcPr>
            <w:tcW w:w="1701" w:type="dxa"/>
            <w:vAlign w:val="center"/>
          </w:tcPr>
          <w:p w14:paraId="289E80EE" w14:textId="30FF5EEC" w:rsidR="00357BE5" w:rsidRP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sz w:val="20"/>
                <w:szCs w:val="20"/>
              </w:rPr>
              <w:t>ul. Naftowa 3, 65-075 Zielona Góra</w:t>
            </w:r>
          </w:p>
        </w:tc>
        <w:tc>
          <w:tcPr>
            <w:tcW w:w="1984" w:type="dxa"/>
            <w:vAlign w:val="center"/>
          </w:tcPr>
          <w:p w14:paraId="140CEE88"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c>
          <w:tcPr>
            <w:tcW w:w="1843" w:type="dxa"/>
            <w:vAlign w:val="center"/>
          </w:tcPr>
          <w:p w14:paraId="4F279080" w14:textId="2D9CE5E6"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144</w:t>
            </w:r>
          </w:p>
        </w:tc>
        <w:tc>
          <w:tcPr>
            <w:tcW w:w="1559" w:type="dxa"/>
            <w:vAlign w:val="center"/>
          </w:tcPr>
          <w:p w14:paraId="3BDF6813"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r>
      <w:tr w:rsidR="00357BE5" w14:paraId="437E3CAF" w14:textId="77777777" w:rsidTr="00357BE5">
        <w:trPr>
          <w:trHeight w:val="680"/>
        </w:trPr>
        <w:tc>
          <w:tcPr>
            <w:tcW w:w="1980" w:type="dxa"/>
            <w:vAlign w:val="center"/>
          </w:tcPr>
          <w:p w14:paraId="03DDA81A" w14:textId="77777777" w:rsid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bCs/>
                <w:sz w:val="20"/>
                <w:szCs w:val="20"/>
              </w:rPr>
              <w:t xml:space="preserve">Magazyn </w:t>
            </w:r>
          </w:p>
          <w:p w14:paraId="4E150139" w14:textId="1836A827" w:rsidR="00357BE5" w:rsidRP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bCs/>
                <w:sz w:val="20"/>
                <w:szCs w:val="20"/>
              </w:rPr>
              <w:t>w Pile</w:t>
            </w:r>
          </w:p>
        </w:tc>
        <w:tc>
          <w:tcPr>
            <w:tcW w:w="1701" w:type="dxa"/>
            <w:vAlign w:val="center"/>
          </w:tcPr>
          <w:p w14:paraId="1EF29047" w14:textId="44910BB3" w:rsidR="00357BE5" w:rsidRPr="00357BE5" w:rsidRDefault="00357BE5" w:rsidP="00357BE5">
            <w:pPr>
              <w:widowControl w:val="0"/>
              <w:tabs>
                <w:tab w:val="left" w:pos="567"/>
                <w:tab w:val="left" w:pos="7797"/>
              </w:tabs>
              <w:autoSpaceDE w:val="0"/>
              <w:autoSpaceDN w:val="0"/>
              <w:adjustRightInd w:val="0"/>
              <w:spacing w:line="240" w:lineRule="auto"/>
              <w:ind w:right="7"/>
              <w:jc w:val="left"/>
              <w:rPr>
                <w:sz w:val="20"/>
                <w:szCs w:val="20"/>
              </w:rPr>
            </w:pPr>
            <w:r w:rsidRPr="00357BE5">
              <w:rPr>
                <w:sz w:val="20"/>
                <w:szCs w:val="20"/>
              </w:rPr>
              <w:t>ul. Aleja Powstańców Wielkopolskich 167,</w:t>
            </w:r>
          </w:p>
          <w:p w14:paraId="16DCB7E2" w14:textId="7D1E624B" w:rsidR="00357BE5" w:rsidRPr="00357BE5" w:rsidRDefault="00357BE5" w:rsidP="00357BE5">
            <w:pPr>
              <w:widowControl w:val="0"/>
              <w:tabs>
                <w:tab w:val="left" w:pos="567"/>
                <w:tab w:val="left" w:pos="7797"/>
              </w:tabs>
              <w:autoSpaceDE w:val="0"/>
              <w:autoSpaceDN w:val="0"/>
              <w:adjustRightInd w:val="0"/>
              <w:spacing w:line="240" w:lineRule="auto"/>
              <w:ind w:right="7"/>
              <w:jc w:val="left"/>
              <w:rPr>
                <w:bCs/>
                <w:sz w:val="20"/>
                <w:szCs w:val="20"/>
              </w:rPr>
            </w:pPr>
            <w:r w:rsidRPr="00357BE5">
              <w:rPr>
                <w:sz w:val="20"/>
                <w:szCs w:val="20"/>
              </w:rPr>
              <w:t>64-920 Piła</w:t>
            </w:r>
          </w:p>
        </w:tc>
        <w:tc>
          <w:tcPr>
            <w:tcW w:w="1984" w:type="dxa"/>
            <w:vAlign w:val="center"/>
          </w:tcPr>
          <w:p w14:paraId="560583E6"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c>
          <w:tcPr>
            <w:tcW w:w="1843" w:type="dxa"/>
            <w:vAlign w:val="center"/>
          </w:tcPr>
          <w:p w14:paraId="2CA1F92E" w14:textId="172E4C56"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sidRPr="00357BE5">
              <w:rPr>
                <w:bCs/>
                <w:sz w:val="20"/>
                <w:szCs w:val="20"/>
              </w:rPr>
              <w:t>96</w:t>
            </w:r>
          </w:p>
        </w:tc>
        <w:tc>
          <w:tcPr>
            <w:tcW w:w="1559" w:type="dxa"/>
            <w:vAlign w:val="center"/>
          </w:tcPr>
          <w:p w14:paraId="5CE11F65"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r>
      <w:tr w:rsidR="00357BE5" w14:paraId="7E2A0F91" w14:textId="77777777" w:rsidTr="00352087">
        <w:trPr>
          <w:trHeight w:val="680"/>
        </w:trPr>
        <w:tc>
          <w:tcPr>
            <w:tcW w:w="7508" w:type="dxa"/>
            <w:gridSpan w:val="4"/>
            <w:shd w:val="clear" w:color="auto" w:fill="D9D9D9" w:themeFill="background1" w:themeFillShade="D9"/>
            <w:vAlign w:val="center"/>
          </w:tcPr>
          <w:p w14:paraId="0042F643" w14:textId="690011B2"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r>
              <w:rPr>
                <w:bCs/>
                <w:sz w:val="20"/>
                <w:szCs w:val="20"/>
              </w:rPr>
              <w:t>RAZEM:</w:t>
            </w:r>
          </w:p>
        </w:tc>
        <w:tc>
          <w:tcPr>
            <w:tcW w:w="1559" w:type="dxa"/>
            <w:vAlign w:val="center"/>
          </w:tcPr>
          <w:p w14:paraId="23EE0B09" w14:textId="77777777" w:rsidR="00357BE5" w:rsidRPr="00357BE5" w:rsidRDefault="00357BE5" w:rsidP="00357BE5">
            <w:pPr>
              <w:widowControl w:val="0"/>
              <w:tabs>
                <w:tab w:val="left" w:pos="567"/>
                <w:tab w:val="left" w:pos="7797"/>
              </w:tabs>
              <w:autoSpaceDE w:val="0"/>
              <w:autoSpaceDN w:val="0"/>
              <w:adjustRightInd w:val="0"/>
              <w:spacing w:line="240" w:lineRule="auto"/>
              <w:ind w:right="7"/>
              <w:jc w:val="center"/>
              <w:rPr>
                <w:bCs/>
                <w:sz w:val="20"/>
                <w:szCs w:val="20"/>
              </w:rPr>
            </w:pPr>
          </w:p>
        </w:tc>
      </w:tr>
    </w:tbl>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4453E06B"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C722A2">
        <w:t xml:space="preserve"> (SWZ)</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lastRenderedPageBreak/>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6DFB105C" w:rsidR="005102A3" w:rsidRPr="00C722A2" w:rsidRDefault="005102A3" w:rsidP="00AE4C01">
      <w:pPr>
        <w:pStyle w:val="Styl1formularz"/>
        <w:rPr>
          <w:b/>
          <w:color w:val="auto"/>
        </w:rPr>
      </w:pPr>
      <w:r w:rsidRPr="00C722A2">
        <w:rPr>
          <w:rFonts w:eastAsia="Calibri"/>
          <w:b/>
          <w:color w:val="auto"/>
          <w:lang w:eastAsia="en-US"/>
        </w:rPr>
        <w:t>Niniejszym oświadczamy, że ubiegając się o przedmiotowe</w:t>
      </w:r>
      <w:r w:rsidR="001948F4" w:rsidRPr="00C722A2">
        <w:rPr>
          <w:rFonts w:eastAsia="Calibri"/>
          <w:b/>
          <w:color w:val="auto"/>
          <w:lang w:eastAsia="en-US"/>
        </w:rPr>
        <w:t xml:space="preserve"> zamówienie</w:t>
      </w:r>
      <w:r w:rsidRPr="00C722A2">
        <w:rPr>
          <w:rFonts w:eastAsia="Calibri"/>
          <w:b/>
          <w:color w:val="auto"/>
          <w:lang w:eastAsia="en-US"/>
        </w:rPr>
        <w:t>:</w:t>
      </w:r>
    </w:p>
    <w:p w14:paraId="25EF5D0E" w14:textId="77777777" w:rsidR="00835CC5" w:rsidRPr="00C722A2" w:rsidRDefault="00835CC5" w:rsidP="00835CC5">
      <w:pPr>
        <w:pStyle w:val="Styl1formularz"/>
        <w:numPr>
          <w:ilvl w:val="0"/>
          <w:numId w:val="35"/>
        </w:numPr>
        <w:rPr>
          <w:rFonts w:eastAsia="Calibri" w:cs="Calibri"/>
          <w:color w:val="auto"/>
          <w:lang w:eastAsia="en-US"/>
        </w:rPr>
      </w:pPr>
      <w:r w:rsidRPr="00C722A2">
        <w:rPr>
          <w:rFonts w:eastAsia="Calibri" w:cs="Calibri"/>
          <w:color w:val="auto"/>
          <w:lang w:eastAsia="en-US"/>
        </w:rPr>
        <w:t>deklarujemy i płacimy w sposób należyty i rzetelny zobowiązania prawno – podatkowe związane z podatkiem VAT;</w:t>
      </w:r>
    </w:p>
    <w:p w14:paraId="6AD1A8E4" w14:textId="77777777" w:rsidR="00835CC5" w:rsidRPr="00C722A2" w:rsidRDefault="00835CC5" w:rsidP="00835CC5">
      <w:pPr>
        <w:pStyle w:val="Styl1formularz"/>
        <w:numPr>
          <w:ilvl w:val="0"/>
          <w:numId w:val="35"/>
        </w:numPr>
        <w:rPr>
          <w:rFonts w:eastAsia="Calibri" w:cs="Calibri"/>
          <w:color w:val="auto"/>
          <w:lang w:eastAsia="en-US"/>
        </w:rPr>
      </w:pPr>
      <w:r w:rsidRPr="00C722A2">
        <w:rPr>
          <w:rFonts w:eastAsia="Calibri" w:cs="Calibri"/>
          <w:color w:val="auto"/>
          <w:lang w:eastAsia="en-US"/>
        </w:rPr>
        <w:t>rozpoczęliśmy prowadzenie działalności gospodarczej w dniu …….(dzień-miesiąc-rok);</w:t>
      </w:r>
    </w:p>
    <w:p w14:paraId="0849259F" w14:textId="25B12423" w:rsidR="00835CC5" w:rsidRPr="00C722A2" w:rsidRDefault="00835CC5" w:rsidP="00835CC5">
      <w:pPr>
        <w:pStyle w:val="Styl1formularz"/>
        <w:numPr>
          <w:ilvl w:val="0"/>
          <w:numId w:val="35"/>
        </w:numPr>
        <w:rPr>
          <w:rFonts w:eastAsia="Calibri" w:cs="Calibri"/>
          <w:color w:val="auto"/>
          <w:lang w:eastAsia="en-US"/>
        </w:rPr>
      </w:pPr>
      <w:r w:rsidRPr="00C722A2">
        <w:rPr>
          <w:rFonts w:eastAsia="Calibri" w:cs="Calibri"/>
          <w:color w:val="auto"/>
          <w:lang w:eastAsia="en-US"/>
        </w:rPr>
        <w:t>miejscem prowadzenia działalności gospodarczej jest  ……………………………………………………………</w:t>
      </w:r>
      <w:r w:rsidR="00A812AB" w:rsidRPr="00C722A2">
        <w:rPr>
          <w:rFonts w:eastAsia="Calibri" w:cs="Calibri"/>
          <w:color w:val="auto"/>
          <w:lang w:eastAsia="en-US"/>
        </w:rPr>
        <w:t>……………… (wskazać dokładny adres).</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50D7429F" w14:textId="77777777" w:rsidR="00C722A2" w:rsidRDefault="00C722A2">
      <w:pPr>
        <w:spacing w:line="240" w:lineRule="auto"/>
        <w:jc w:val="left"/>
        <w:rPr>
          <w:rFonts w:cs="Calibri"/>
          <w:b/>
          <w:iCs/>
          <w:color w:val="000000"/>
          <w:sz w:val="20"/>
          <w:szCs w:val="22"/>
          <w:lang w:eastAsia="en-US"/>
        </w:rPr>
      </w:pPr>
      <w:r>
        <w:br w:type="page"/>
      </w:r>
    </w:p>
    <w:p w14:paraId="298DBC87" w14:textId="59349224" w:rsidR="00087C7C" w:rsidRPr="006116C4" w:rsidRDefault="00087C7C" w:rsidP="008F3D9B">
      <w:pPr>
        <w:pStyle w:val="StylZa"/>
      </w:pPr>
      <w:r w:rsidRPr="006116C4">
        <w:lastRenderedPageBreak/>
        <w:t xml:space="preserve">Załącznik nr 2 do </w:t>
      </w:r>
      <w:r w:rsidR="006C29FD">
        <w:t>SWZ</w:t>
      </w:r>
    </w:p>
    <w:p w14:paraId="01CEBC53" w14:textId="77777777" w:rsidR="00C722A2" w:rsidRPr="007925EE" w:rsidRDefault="00C722A2" w:rsidP="00C722A2">
      <w:pPr>
        <w:pStyle w:val="Styltytuza"/>
      </w:pPr>
      <w:r>
        <w:t>WZÓR UMOWY</w:t>
      </w:r>
    </w:p>
    <w:p w14:paraId="731B6D3A" w14:textId="77777777" w:rsidR="00C722A2" w:rsidRDefault="00C722A2" w:rsidP="00C722A2">
      <w:pPr>
        <w:pStyle w:val="Styltytuza"/>
        <w:rPr>
          <w:szCs w:val="20"/>
        </w:rPr>
      </w:pPr>
      <w:r>
        <w:rPr>
          <w:szCs w:val="20"/>
        </w:rPr>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5FE2D449" w:rsidR="00087C7C" w:rsidRDefault="00087C7C" w:rsidP="00FD7E3B">
      <w:pPr>
        <w:pStyle w:val="StylZa"/>
      </w:pPr>
      <w:r w:rsidRPr="002A7223">
        <w:lastRenderedPageBreak/>
        <w:t xml:space="preserve">Załącznik nr 3 do </w:t>
      </w:r>
      <w:r w:rsidR="006C29FD">
        <w:t>SWZ</w:t>
      </w:r>
    </w:p>
    <w:p w14:paraId="0A1BDE26" w14:textId="77777777" w:rsidR="00C722A2" w:rsidRPr="008F3D9B" w:rsidRDefault="00C722A2" w:rsidP="00C722A2">
      <w:pPr>
        <w:pStyle w:val="Styltytuza"/>
      </w:pPr>
      <w:r w:rsidRPr="008F3D9B">
        <w:t>OPIS PRZEDMIOTU ZAMÓWIENIA</w:t>
      </w:r>
    </w:p>
    <w:p w14:paraId="6A261B2A" w14:textId="77777777" w:rsidR="00C722A2" w:rsidRDefault="00C722A2" w:rsidP="00C722A2">
      <w:pPr>
        <w:pStyle w:val="Styltytuza"/>
      </w:pPr>
      <w:r w:rsidRPr="008F3D9B">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66442020"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201922">
        <w:rPr>
          <w:rFonts w:cs="Arial"/>
          <w:sz w:val="20"/>
          <w:szCs w:val="20"/>
        </w:rPr>
        <w:t>„</w:t>
      </w:r>
      <w:r w:rsidR="00201922" w:rsidRPr="00C722A2">
        <w:rPr>
          <w:rFonts w:cs="Arial"/>
          <w:b/>
          <w:sz w:val="20"/>
          <w:szCs w:val="20"/>
        </w:rPr>
        <w:t>Zakup barytu w celu zabezpieczenie pod względem przeciwerupcyjnym realizowanych wierceń</w:t>
      </w:r>
      <w:r w:rsidR="00201922" w:rsidRPr="00C722A2">
        <w:rPr>
          <w:rFonts w:cs="Arial"/>
          <w:sz w:val="20"/>
          <w:szCs w:val="20"/>
        </w:rPr>
        <w:t>”</w:t>
      </w:r>
      <w:r w:rsidR="00201922" w:rsidRPr="00052764">
        <w:rPr>
          <w:rFonts w:cs="Arial"/>
          <w:sz w:val="20"/>
          <w:szCs w:val="20"/>
        </w:rPr>
        <w:t xml:space="preserve">, numer postępowania: </w:t>
      </w:r>
      <w:r w:rsidR="00201922" w:rsidRPr="00C722A2">
        <w:rPr>
          <w:rFonts w:cs="Arial"/>
          <w:b/>
          <w:sz w:val="20"/>
          <w:szCs w:val="20"/>
        </w:rPr>
        <w:t>NP/ORLEN/25/0487/GE/DWR</w:t>
      </w:r>
      <w:r w:rsidR="00201922">
        <w:rPr>
          <w:rFonts w:cs="Arial"/>
          <w:b/>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59454126"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201922">
        <w:rPr>
          <w:rFonts w:cs="Arial"/>
          <w:sz w:val="20"/>
          <w:szCs w:val="20"/>
        </w:rPr>
        <w:t>„</w:t>
      </w:r>
      <w:r w:rsidR="00201922" w:rsidRPr="00C722A2">
        <w:rPr>
          <w:rFonts w:cs="Arial"/>
          <w:b/>
          <w:sz w:val="20"/>
          <w:szCs w:val="20"/>
        </w:rPr>
        <w:t>Zakup barytu w celu zabezpieczenie pod względem przeciwerupcyjnym realizowanych wierceń</w:t>
      </w:r>
      <w:r w:rsidR="00201922" w:rsidRPr="00C722A2">
        <w:rPr>
          <w:rFonts w:cs="Arial"/>
          <w:sz w:val="20"/>
          <w:szCs w:val="20"/>
        </w:rPr>
        <w:t>”</w:t>
      </w:r>
      <w:r w:rsidR="00201922" w:rsidRPr="00052764">
        <w:rPr>
          <w:rFonts w:cs="Arial"/>
          <w:sz w:val="20"/>
          <w:szCs w:val="20"/>
        </w:rPr>
        <w:t xml:space="preserve">, numer postępowania: </w:t>
      </w:r>
      <w:r w:rsidR="00201922" w:rsidRPr="00C722A2">
        <w:rPr>
          <w:rFonts w:cs="Arial"/>
          <w:b/>
          <w:sz w:val="20"/>
          <w:szCs w:val="20"/>
        </w:rPr>
        <w:t>NP/ORLEN/25/0487/GE/DWR</w:t>
      </w:r>
      <w:r w:rsidR="00201922">
        <w:rPr>
          <w:rFonts w:cs="Arial"/>
          <w:b/>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4BA9E89" w:rsidR="00087C7C" w:rsidRPr="00C63DCD" w:rsidRDefault="00087C7C" w:rsidP="00201922">
      <w:pPr>
        <w:pStyle w:val="Nagwek"/>
        <w:spacing w:line="360"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01922">
        <w:rPr>
          <w:rFonts w:cs="Arial"/>
          <w:sz w:val="20"/>
          <w:szCs w:val="20"/>
        </w:rPr>
        <w:t>„</w:t>
      </w:r>
      <w:r w:rsidR="00201922" w:rsidRPr="00C722A2">
        <w:rPr>
          <w:rFonts w:cs="Arial"/>
          <w:b/>
          <w:sz w:val="20"/>
          <w:szCs w:val="20"/>
        </w:rPr>
        <w:t>Zakup barytu w celu zabezpieczenie pod względem przeciwerupcyjnym realizowanych wierceń</w:t>
      </w:r>
      <w:r w:rsidR="00201922" w:rsidRPr="00C722A2">
        <w:rPr>
          <w:rFonts w:cs="Arial"/>
          <w:sz w:val="20"/>
          <w:szCs w:val="20"/>
        </w:rPr>
        <w:t>”</w:t>
      </w:r>
      <w:r w:rsidR="00201922" w:rsidRPr="00052764">
        <w:rPr>
          <w:rFonts w:cs="Arial"/>
          <w:sz w:val="20"/>
          <w:szCs w:val="20"/>
        </w:rPr>
        <w:t xml:space="preserve">, numer postępowania: </w:t>
      </w:r>
      <w:r w:rsidR="00201922" w:rsidRPr="00C722A2">
        <w:rPr>
          <w:rFonts w:cs="Arial"/>
          <w:b/>
          <w:sz w:val="20"/>
          <w:szCs w:val="20"/>
        </w:rPr>
        <w:t>NP/ORLEN/25/0487/GE/DWR</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0C87C3ED" w14:textId="0CA7126F" w:rsidR="00201922" w:rsidRDefault="00201922">
      <w:pPr>
        <w:spacing w:line="240" w:lineRule="auto"/>
        <w:jc w:val="left"/>
      </w:pPr>
      <w:r>
        <w:br w:type="page"/>
      </w:r>
    </w:p>
    <w:p w14:paraId="007AE4E6" w14:textId="77777777" w:rsidR="006902BF" w:rsidRPr="00201922" w:rsidRDefault="006902BF">
      <w:pPr>
        <w:spacing w:line="240" w:lineRule="auto"/>
        <w:jc w:val="left"/>
      </w:pPr>
    </w:p>
    <w:p w14:paraId="1FEA75C1" w14:textId="34765D74" w:rsidR="006902BF" w:rsidRPr="00201922" w:rsidRDefault="006902BF" w:rsidP="006902BF">
      <w:pPr>
        <w:keepNext/>
        <w:spacing w:line="240" w:lineRule="auto"/>
        <w:jc w:val="right"/>
        <w:outlineLvl w:val="0"/>
        <w:rPr>
          <w:rFonts w:cs="Arial"/>
          <w:b/>
          <w:bCs/>
          <w:kern w:val="32"/>
          <w:sz w:val="20"/>
          <w:szCs w:val="22"/>
        </w:rPr>
      </w:pPr>
      <w:r w:rsidRPr="00201922">
        <w:rPr>
          <w:rFonts w:cs="Arial"/>
          <w:b/>
          <w:bCs/>
          <w:kern w:val="32"/>
          <w:sz w:val="20"/>
          <w:szCs w:val="22"/>
        </w:rPr>
        <w:t xml:space="preserve">Załącznik nr </w:t>
      </w:r>
      <w:r w:rsidR="00201922" w:rsidRPr="00201922">
        <w:rPr>
          <w:rFonts w:cs="Arial"/>
          <w:b/>
          <w:bCs/>
          <w:kern w:val="32"/>
          <w:sz w:val="20"/>
          <w:szCs w:val="22"/>
        </w:rPr>
        <w:t>5</w:t>
      </w:r>
      <w:r w:rsidRPr="00201922">
        <w:rPr>
          <w:rFonts w:cs="Arial"/>
          <w:b/>
          <w:bCs/>
          <w:kern w:val="32"/>
          <w:sz w:val="20"/>
          <w:szCs w:val="22"/>
        </w:rPr>
        <w:t xml:space="preserve"> do SWZ</w:t>
      </w:r>
    </w:p>
    <w:p w14:paraId="00B429BC" w14:textId="77777777" w:rsidR="006902BF" w:rsidRPr="00BB2C23" w:rsidRDefault="006902BF" w:rsidP="006902BF">
      <w:pPr>
        <w:spacing w:line="240" w:lineRule="auto"/>
        <w:jc w:val="left"/>
        <w:rPr>
          <w:rFonts w:ascii="Times New Roman" w:hAnsi="Times New Roman"/>
          <w:b/>
          <w:sz w:val="24"/>
        </w:rPr>
      </w:pPr>
    </w:p>
    <w:p w14:paraId="1AB1C2C1" w14:textId="5811231E" w:rsidR="006902BF" w:rsidRPr="00201922" w:rsidRDefault="00201922" w:rsidP="006902BF">
      <w:pPr>
        <w:pStyle w:val="Default"/>
        <w:jc w:val="center"/>
        <w:rPr>
          <w:rFonts w:ascii="Arial" w:hAnsi="Arial" w:cs="Arial"/>
          <w:b/>
          <w:color w:val="auto"/>
        </w:rPr>
      </w:pPr>
      <w:r w:rsidRPr="00201922">
        <w:rPr>
          <w:rFonts w:ascii="Arial" w:hAnsi="Arial" w:cs="Arial"/>
          <w:b/>
          <w:color w:val="auto"/>
        </w:rPr>
        <w:t>Wykaz wykonanych dostaw</w:t>
      </w:r>
    </w:p>
    <w:p w14:paraId="30891519" w14:textId="77777777" w:rsidR="006902BF" w:rsidRPr="00201922"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201922"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201922" w:rsidRDefault="006902BF" w:rsidP="00774D5C">
            <w:pPr>
              <w:spacing w:line="276" w:lineRule="auto"/>
              <w:jc w:val="left"/>
              <w:rPr>
                <w:rFonts w:cs="Arial"/>
                <w:sz w:val="20"/>
              </w:rPr>
            </w:pPr>
            <w:r w:rsidRPr="00201922">
              <w:rPr>
                <w:rFonts w:cs="Arial"/>
                <w:sz w:val="20"/>
              </w:rPr>
              <w:t>Dane Wykonawcy</w:t>
            </w:r>
          </w:p>
        </w:tc>
        <w:tc>
          <w:tcPr>
            <w:tcW w:w="3517" w:type="pct"/>
            <w:vAlign w:val="center"/>
          </w:tcPr>
          <w:p w14:paraId="5D3F8A24" w14:textId="77777777" w:rsidR="006902BF" w:rsidRPr="00201922" w:rsidRDefault="006902BF" w:rsidP="00774D5C">
            <w:pPr>
              <w:spacing w:line="240" w:lineRule="auto"/>
              <w:jc w:val="left"/>
              <w:rPr>
                <w:rFonts w:cs="Arial"/>
                <w:sz w:val="24"/>
              </w:rPr>
            </w:pPr>
          </w:p>
          <w:p w14:paraId="69A36599" w14:textId="77777777" w:rsidR="006902BF" w:rsidRPr="00201922" w:rsidRDefault="006902BF" w:rsidP="00774D5C">
            <w:pPr>
              <w:spacing w:line="240" w:lineRule="auto"/>
              <w:jc w:val="left"/>
              <w:rPr>
                <w:rFonts w:cs="Arial"/>
                <w:sz w:val="24"/>
              </w:rPr>
            </w:pPr>
          </w:p>
        </w:tc>
      </w:tr>
      <w:tr w:rsidR="003C6F35" w:rsidRPr="00201922"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201922" w:rsidRDefault="006902BF" w:rsidP="00774D5C">
            <w:pPr>
              <w:spacing w:line="276" w:lineRule="auto"/>
              <w:jc w:val="left"/>
              <w:rPr>
                <w:rFonts w:cs="Arial"/>
                <w:sz w:val="20"/>
              </w:rPr>
            </w:pPr>
            <w:r w:rsidRPr="00201922">
              <w:rPr>
                <w:rFonts w:cs="Arial"/>
                <w:sz w:val="20"/>
              </w:rPr>
              <w:t xml:space="preserve">Adres Wykonawcy: </w:t>
            </w:r>
          </w:p>
          <w:p w14:paraId="46C517EB" w14:textId="77777777" w:rsidR="006902BF" w:rsidRPr="00201922" w:rsidRDefault="006902BF" w:rsidP="00774D5C">
            <w:pPr>
              <w:spacing w:line="276" w:lineRule="auto"/>
              <w:jc w:val="left"/>
              <w:rPr>
                <w:rFonts w:cs="Arial"/>
                <w:sz w:val="20"/>
              </w:rPr>
            </w:pPr>
            <w:r w:rsidRPr="00201922">
              <w:rPr>
                <w:rFonts w:cs="Arial"/>
                <w:sz w:val="20"/>
              </w:rPr>
              <w:t xml:space="preserve">ulica, nr lokalu, </w:t>
            </w:r>
          </w:p>
          <w:p w14:paraId="12336804" w14:textId="77777777" w:rsidR="006902BF" w:rsidRPr="00201922" w:rsidRDefault="006902BF" w:rsidP="00774D5C">
            <w:pPr>
              <w:spacing w:line="276" w:lineRule="auto"/>
              <w:jc w:val="left"/>
              <w:rPr>
                <w:rFonts w:cs="Arial"/>
                <w:sz w:val="20"/>
              </w:rPr>
            </w:pPr>
            <w:r w:rsidRPr="00201922">
              <w:rPr>
                <w:rFonts w:cs="Arial"/>
                <w:sz w:val="20"/>
              </w:rPr>
              <w:t xml:space="preserve">kod, miejscowość </w:t>
            </w:r>
          </w:p>
        </w:tc>
        <w:tc>
          <w:tcPr>
            <w:tcW w:w="3517" w:type="pct"/>
            <w:vAlign w:val="center"/>
          </w:tcPr>
          <w:p w14:paraId="592A2C88" w14:textId="77777777" w:rsidR="006902BF" w:rsidRPr="00201922" w:rsidRDefault="006902BF" w:rsidP="00774D5C">
            <w:pPr>
              <w:spacing w:line="240" w:lineRule="auto"/>
              <w:jc w:val="left"/>
              <w:rPr>
                <w:rFonts w:cs="Arial"/>
                <w:sz w:val="24"/>
              </w:rPr>
            </w:pPr>
          </w:p>
        </w:tc>
      </w:tr>
    </w:tbl>
    <w:p w14:paraId="5D88FD4C" w14:textId="77777777" w:rsidR="006902BF" w:rsidRPr="00201922" w:rsidRDefault="006902BF" w:rsidP="006902BF">
      <w:pPr>
        <w:tabs>
          <w:tab w:val="center" w:pos="0"/>
          <w:tab w:val="right" w:pos="9072"/>
        </w:tabs>
        <w:spacing w:before="240" w:line="360" w:lineRule="auto"/>
        <w:rPr>
          <w:rFonts w:cs="Arial"/>
          <w:szCs w:val="22"/>
        </w:rPr>
      </w:pPr>
    </w:p>
    <w:p w14:paraId="6B6A441E" w14:textId="7B75D8D2" w:rsidR="006902BF" w:rsidRPr="00201922" w:rsidRDefault="006902BF" w:rsidP="006902BF">
      <w:pPr>
        <w:tabs>
          <w:tab w:val="center" w:pos="0"/>
          <w:tab w:val="right" w:pos="9072"/>
        </w:tabs>
        <w:spacing w:before="240" w:line="360" w:lineRule="auto"/>
        <w:rPr>
          <w:rFonts w:cs="Arial"/>
          <w:sz w:val="20"/>
          <w:szCs w:val="20"/>
        </w:rPr>
      </w:pPr>
      <w:r w:rsidRPr="00201922">
        <w:rPr>
          <w:rFonts w:cs="Arial"/>
          <w:sz w:val="20"/>
          <w:szCs w:val="20"/>
        </w:rPr>
        <w:t>W związku z</w:t>
      </w:r>
      <w:r w:rsidR="00201922" w:rsidRPr="00201922">
        <w:rPr>
          <w:rFonts w:cs="Arial"/>
          <w:sz w:val="20"/>
          <w:szCs w:val="20"/>
        </w:rPr>
        <w:t xml:space="preserve"> ubieganiem się</w:t>
      </w:r>
      <w:r w:rsidRPr="00201922">
        <w:rPr>
          <w:rFonts w:cs="Arial"/>
          <w:sz w:val="20"/>
          <w:szCs w:val="20"/>
        </w:rPr>
        <w:t xml:space="preserve"> o udzielenie zamówienia niepublicznego prowadzonego w trybie przetargu nieograniczonego pn. </w:t>
      </w:r>
      <w:r w:rsidR="00201922" w:rsidRPr="00201922">
        <w:rPr>
          <w:rFonts w:cs="Arial"/>
          <w:sz w:val="20"/>
          <w:szCs w:val="20"/>
        </w:rPr>
        <w:t>„</w:t>
      </w:r>
      <w:r w:rsidR="00201922" w:rsidRPr="00201922">
        <w:rPr>
          <w:rFonts w:cs="Arial"/>
          <w:b/>
          <w:sz w:val="20"/>
          <w:szCs w:val="20"/>
        </w:rPr>
        <w:t>Zakup barytu w celu zabezpieczenie pod względem przeciwerupcyjnym realizowanych wierceń</w:t>
      </w:r>
      <w:r w:rsidR="00201922" w:rsidRPr="00201922">
        <w:rPr>
          <w:rFonts w:cs="Arial"/>
          <w:sz w:val="20"/>
          <w:szCs w:val="20"/>
        </w:rPr>
        <w:t xml:space="preserve">”, numer postępowania: </w:t>
      </w:r>
      <w:r w:rsidR="00201922" w:rsidRPr="00201922">
        <w:rPr>
          <w:rFonts w:cs="Arial"/>
          <w:b/>
          <w:sz w:val="20"/>
          <w:szCs w:val="20"/>
        </w:rPr>
        <w:t>NP/ORLEN/25/0487/GE/DWR</w:t>
      </w:r>
      <w:r w:rsidR="00201922" w:rsidRPr="00201922">
        <w:rPr>
          <w:rFonts w:cs="Arial"/>
          <w:sz w:val="20"/>
          <w:szCs w:val="20"/>
        </w:rPr>
        <w:t xml:space="preserve"> </w:t>
      </w:r>
      <w:r w:rsidRPr="00201922">
        <w:rPr>
          <w:rFonts w:cs="Arial"/>
          <w:sz w:val="20"/>
          <w:szCs w:val="20"/>
        </w:rPr>
        <w:t>oświadczam</w:t>
      </w:r>
      <w:r w:rsidR="00201922" w:rsidRPr="00201922">
        <w:rPr>
          <w:rFonts w:cs="Arial"/>
          <w:sz w:val="20"/>
          <w:szCs w:val="20"/>
        </w:rPr>
        <w:t>/y</w:t>
      </w:r>
      <w:r w:rsidRPr="00201922">
        <w:rPr>
          <w:rFonts w:cs="Arial"/>
          <w:sz w:val="20"/>
          <w:szCs w:val="20"/>
        </w:rPr>
        <w:t xml:space="preserve">, że </w:t>
      </w:r>
      <w:r w:rsidR="00201922" w:rsidRPr="00201922">
        <w:rPr>
          <w:rFonts w:cs="Arial"/>
          <w:sz w:val="20"/>
          <w:szCs w:val="20"/>
        </w:rPr>
        <w:t>wykonaliśmy następujące dostawy</w:t>
      </w:r>
      <w:r w:rsidR="00EA33C4">
        <w:rPr>
          <w:rFonts w:cs="Arial"/>
          <w:sz w:val="20"/>
          <w:szCs w:val="20"/>
        </w:rPr>
        <w:t xml:space="preserve"> barytu</w:t>
      </w:r>
      <w:r w:rsidRPr="00201922">
        <w:rPr>
          <w:rFonts w:cs="Arial"/>
          <w:sz w:val="20"/>
          <w:szCs w:val="20"/>
        </w:rPr>
        <w:t>:</w:t>
      </w:r>
    </w:p>
    <w:tbl>
      <w:tblPr>
        <w:tblStyle w:val="Tabela-Siatka"/>
        <w:tblW w:w="5000" w:type="pct"/>
        <w:jc w:val="center"/>
        <w:tblLayout w:type="fixed"/>
        <w:tblLook w:val="04A0" w:firstRow="1" w:lastRow="0" w:firstColumn="1" w:lastColumn="0" w:noHBand="0" w:noVBand="1"/>
      </w:tblPr>
      <w:tblGrid>
        <w:gridCol w:w="402"/>
        <w:gridCol w:w="2655"/>
        <w:gridCol w:w="2039"/>
        <w:gridCol w:w="2039"/>
        <w:gridCol w:w="1927"/>
      </w:tblGrid>
      <w:tr w:rsidR="00EA33C4" w:rsidRPr="000F4156" w14:paraId="7FA2F366" w14:textId="77777777" w:rsidTr="00EA33C4">
        <w:trPr>
          <w:trHeight w:val="1610"/>
          <w:jc w:val="center"/>
        </w:trPr>
        <w:tc>
          <w:tcPr>
            <w:tcW w:w="222" w:type="pct"/>
            <w:shd w:val="clear" w:color="auto" w:fill="D9D9D9" w:themeFill="background1" w:themeFillShade="D9"/>
            <w:vAlign w:val="center"/>
          </w:tcPr>
          <w:p w14:paraId="6C6F90C0" w14:textId="77777777" w:rsidR="00EA33C4" w:rsidRPr="00F66128" w:rsidRDefault="00EA33C4" w:rsidP="00352087">
            <w:pPr>
              <w:spacing w:line="240" w:lineRule="auto"/>
              <w:jc w:val="center"/>
              <w:rPr>
                <w:sz w:val="20"/>
                <w:szCs w:val="20"/>
              </w:rPr>
            </w:pPr>
            <w:r w:rsidRPr="000F4156">
              <w:rPr>
                <w:sz w:val="20"/>
                <w:szCs w:val="20"/>
              </w:rPr>
              <w:t>Lp.</w:t>
            </w:r>
          </w:p>
        </w:tc>
        <w:tc>
          <w:tcPr>
            <w:tcW w:w="1465" w:type="pct"/>
            <w:shd w:val="clear" w:color="auto" w:fill="D9D9D9" w:themeFill="background1" w:themeFillShade="D9"/>
            <w:vAlign w:val="center"/>
          </w:tcPr>
          <w:p w14:paraId="0F1106F8" w14:textId="574875CA" w:rsidR="00EA33C4" w:rsidRDefault="00EA33C4" w:rsidP="00EA33C4">
            <w:pPr>
              <w:spacing w:line="240" w:lineRule="auto"/>
              <w:jc w:val="center"/>
              <w:rPr>
                <w:sz w:val="20"/>
                <w:szCs w:val="20"/>
              </w:rPr>
            </w:pPr>
            <w:r>
              <w:rPr>
                <w:sz w:val="20"/>
                <w:szCs w:val="20"/>
              </w:rPr>
              <w:t>Opis i zakres dostawy</w:t>
            </w:r>
          </w:p>
          <w:p w14:paraId="1B451D41" w14:textId="77777777" w:rsidR="00EA33C4" w:rsidRPr="007D7FA5" w:rsidRDefault="00EA33C4" w:rsidP="00EA33C4">
            <w:pPr>
              <w:spacing w:line="240" w:lineRule="auto"/>
              <w:jc w:val="center"/>
              <w:rPr>
                <w:sz w:val="20"/>
                <w:szCs w:val="20"/>
              </w:rPr>
            </w:pPr>
            <w:r>
              <w:rPr>
                <w:sz w:val="20"/>
                <w:szCs w:val="20"/>
              </w:rPr>
              <w:t>[</w:t>
            </w:r>
            <w:r w:rsidRPr="007D7FA5">
              <w:rPr>
                <w:sz w:val="20"/>
                <w:szCs w:val="20"/>
              </w:rPr>
              <w:t>w zakresie warunku określonego w pkt. 10.2.1 SWZ</w:t>
            </w:r>
            <w:r>
              <w:rPr>
                <w:sz w:val="20"/>
                <w:szCs w:val="20"/>
              </w:rPr>
              <w:t>]</w:t>
            </w:r>
          </w:p>
        </w:tc>
        <w:tc>
          <w:tcPr>
            <w:tcW w:w="1125" w:type="pct"/>
            <w:shd w:val="clear" w:color="auto" w:fill="D9D9D9" w:themeFill="background1" w:themeFillShade="D9"/>
            <w:vAlign w:val="center"/>
          </w:tcPr>
          <w:p w14:paraId="7F655C56" w14:textId="77777777" w:rsidR="00EA33C4" w:rsidRDefault="00EA33C4" w:rsidP="00EA33C4">
            <w:pPr>
              <w:spacing w:line="240" w:lineRule="auto"/>
              <w:jc w:val="center"/>
              <w:rPr>
                <w:sz w:val="20"/>
                <w:szCs w:val="20"/>
              </w:rPr>
            </w:pPr>
            <w:r>
              <w:rPr>
                <w:sz w:val="20"/>
                <w:szCs w:val="20"/>
              </w:rPr>
              <w:t>Ilość dostawy</w:t>
            </w:r>
          </w:p>
          <w:p w14:paraId="2F54FE8D" w14:textId="665FD1AB" w:rsidR="00EA33C4" w:rsidRPr="007D7FA5" w:rsidRDefault="00EA33C4" w:rsidP="00EA33C4">
            <w:pPr>
              <w:spacing w:line="240" w:lineRule="auto"/>
              <w:jc w:val="center"/>
              <w:rPr>
                <w:sz w:val="20"/>
                <w:szCs w:val="20"/>
              </w:rPr>
            </w:pPr>
            <w:r>
              <w:rPr>
                <w:sz w:val="20"/>
                <w:szCs w:val="20"/>
              </w:rPr>
              <w:t>w TONACH</w:t>
            </w:r>
          </w:p>
        </w:tc>
        <w:tc>
          <w:tcPr>
            <w:tcW w:w="1125" w:type="pct"/>
            <w:tcBorders>
              <w:top w:val="single" w:sz="4" w:space="0" w:color="auto"/>
            </w:tcBorders>
            <w:shd w:val="clear" w:color="auto" w:fill="D9D9D9" w:themeFill="background1" w:themeFillShade="D9"/>
            <w:vAlign w:val="center"/>
          </w:tcPr>
          <w:p w14:paraId="7E489116" w14:textId="38AF1212" w:rsidR="00EA33C4" w:rsidRPr="007D7FA5" w:rsidRDefault="00EA33C4" w:rsidP="00EA33C4">
            <w:pPr>
              <w:spacing w:line="240" w:lineRule="auto"/>
              <w:jc w:val="center"/>
              <w:rPr>
                <w:b/>
                <w:bCs/>
                <w:sz w:val="20"/>
                <w:szCs w:val="20"/>
              </w:rPr>
            </w:pPr>
            <w:r w:rsidRPr="007D7FA5">
              <w:rPr>
                <w:sz w:val="20"/>
                <w:szCs w:val="20"/>
              </w:rPr>
              <w:t>Data</w:t>
            </w:r>
            <w:r>
              <w:rPr>
                <w:sz w:val="20"/>
                <w:szCs w:val="20"/>
              </w:rPr>
              <w:t>/y</w:t>
            </w:r>
            <w:r w:rsidRPr="007D7FA5">
              <w:rPr>
                <w:sz w:val="20"/>
                <w:szCs w:val="20"/>
              </w:rPr>
              <w:t xml:space="preserve"> wykonania </w:t>
            </w:r>
            <w:r>
              <w:rPr>
                <w:sz w:val="20"/>
                <w:szCs w:val="20"/>
              </w:rPr>
              <w:t>dostawy</w:t>
            </w:r>
          </w:p>
          <w:p w14:paraId="40F2EDF5" w14:textId="77777777" w:rsidR="00EA33C4" w:rsidRPr="007D7FA5" w:rsidRDefault="00EA33C4" w:rsidP="00EA33C4">
            <w:pPr>
              <w:spacing w:line="240" w:lineRule="auto"/>
              <w:jc w:val="center"/>
              <w:rPr>
                <w:sz w:val="20"/>
                <w:szCs w:val="20"/>
              </w:rPr>
            </w:pPr>
            <w:r w:rsidRPr="007D7FA5">
              <w:rPr>
                <w:sz w:val="20"/>
                <w:szCs w:val="20"/>
              </w:rPr>
              <w:t>[dd/mm/rrrr]</w:t>
            </w:r>
          </w:p>
        </w:tc>
        <w:tc>
          <w:tcPr>
            <w:tcW w:w="1063" w:type="pct"/>
            <w:tcBorders>
              <w:top w:val="single" w:sz="4" w:space="0" w:color="auto"/>
            </w:tcBorders>
            <w:shd w:val="clear" w:color="auto" w:fill="D9D9D9" w:themeFill="background1" w:themeFillShade="D9"/>
            <w:vAlign w:val="center"/>
          </w:tcPr>
          <w:p w14:paraId="429F984F" w14:textId="3564B91C" w:rsidR="00EA33C4" w:rsidRPr="007D7FA5" w:rsidRDefault="00EA33C4" w:rsidP="00EA33C4">
            <w:pPr>
              <w:spacing w:line="240" w:lineRule="auto"/>
              <w:jc w:val="center"/>
              <w:rPr>
                <w:sz w:val="20"/>
                <w:szCs w:val="20"/>
              </w:rPr>
            </w:pPr>
            <w:r w:rsidRPr="007D7FA5">
              <w:rPr>
                <w:sz w:val="20"/>
                <w:szCs w:val="20"/>
              </w:rPr>
              <w:t xml:space="preserve">Nazwa podmiotu, na rzecz, którego </w:t>
            </w:r>
            <w:r>
              <w:rPr>
                <w:sz w:val="20"/>
                <w:szCs w:val="20"/>
              </w:rPr>
              <w:t xml:space="preserve">dostawa </w:t>
            </w:r>
            <w:r w:rsidRPr="007D7FA5">
              <w:rPr>
                <w:sz w:val="20"/>
                <w:szCs w:val="20"/>
              </w:rPr>
              <w:t>została wykonana</w:t>
            </w:r>
          </w:p>
        </w:tc>
      </w:tr>
      <w:tr w:rsidR="00EA33C4" w:rsidRPr="000F4156" w14:paraId="49EFABE3" w14:textId="77777777" w:rsidTr="00EA33C4">
        <w:trPr>
          <w:trHeight w:val="308"/>
          <w:jc w:val="center"/>
        </w:trPr>
        <w:tc>
          <w:tcPr>
            <w:tcW w:w="222" w:type="pct"/>
          </w:tcPr>
          <w:p w14:paraId="2960950E" w14:textId="77777777" w:rsidR="00EA33C4" w:rsidRPr="000F4156" w:rsidRDefault="00EA33C4" w:rsidP="00352087">
            <w:pPr>
              <w:spacing w:line="240" w:lineRule="auto"/>
              <w:ind w:left="-11"/>
              <w:jc w:val="center"/>
              <w:rPr>
                <w:b/>
                <w:bCs/>
                <w:sz w:val="20"/>
                <w:szCs w:val="20"/>
              </w:rPr>
            </w:pPr>
            <w:r w:rsidRPr="000F4156">
              <w:rPr>
                <w:sz w:val="20"/>
                <w:szCs w:val="20"/>
              </w:rPr>
              <w:t>1</w:t>
            </w:r>
          </w:p>
        </w:tc>
        <w:tc>
          <w:tcPr>
            <w:tcW w:w="1465" w:type="pct"/>
            <w:vAlign w:val="center"/>
          </w:tcPr>
          <w:p w14:paraId="7942FD71" w14:textId="77777777" w:rsidR="00EA33C4" w:rsidRPr="000F4156" w:rsidRDefault="00EA33C4" w:rsidP="00352087">
            <w:pPr>
              <w:spacing w:line="240" w:lineRule="auto"/>
              <w:ind w:left="-11"/>
              <w:jc w:val="center"/>
              <w:rPr>
                <w:b/>
                <w:bCs/>
                <w:sz w:val="20"/>
                <w:szCs w:val="20"/>
              </w:rPr>
            </w:pPr>
          </w:p>
        </w:tc>
        <w:tc>
          <w:tcPr>
            <w:tcW w:w="1125" w:type="pct"/>
          </w:tcPr>
          <w:p w14:paraId="6D1032CD" w14:textId="77777777" w:rsidR="00EA33C4" w:rsidRPr="000F4156" w:rsidRDefault="00EA33C4" w:rsidP="00352087">
            <w:pPr>
              <w:spacing w:line="240" w:lineRule="auto"/>
              <w:ind w:left="-11"/>
              <w:jc w:val="center"/>
              <w:rPr>
                <w:b/>
                <w:bCs/>
                <w:sz w:val="20"/>
                <w:szCs w:val="20"/>
              </w:rPr>
            </w:pPr>
          </w:p>
        </w:tc>
        <w:tc>
          <w:tcPr>
            <w:tcW w:w="1125" w:type="pct"/>
            <w:vAlign w:val="center"/>
          </w:tcPr>
          <w:p w14:paraId="46FC8A24" w14:textId="6AB64209" w:rsidR="00EA33C4" w:rsidRPr="000F4156" w:rsidRDefault="00EA33C4" w:rsidP="00352087">
            <w:pPr>
              <w:spacing w:line="240" w:lineRule="auto"/>
              <w:ind w:left="-11"/>
              <w:jc w:val="center"/>
              <w:rPr>
                <w:b/>
                <w:bCs/>
                <w:sz w:val="20"/>
                <w:szCs w:val="20"/>
              </w:rPr>
            </w:pPr>
          </w:p>
        </w:tc>
        <w:tc>
          <w:tcPr>
            <w:tcW w:w="1063" w:type="pct"/>
            <w:vAlign w:val="center"/>
          </w:tcPr>
          <w:p w14:paraId="614C5F44" w14:textId="77777777" w:rsidR="00EA33C4" w:rsidRPr="000F4156" w:rsidRDefault="00EA33C4" w:rsidP="00352087">
            <w:pPr>
              <w:spacing w:line="240" w:lineRule="auto"/>
              <w:jc w:val="center"/>
              <w:rPr>
                <w:b/>
                <w:bCs/>
                <w:sz w:val="20"/>
                <w:szCs w:val="20"/>
              </w:rPr>
            </w:pPr>
          </w:p>
        </w:tc>
      </w:tr>
      <w:tr w:rsidR="00EA33C4" w:rsidRPr="000F4156" w14:paraId="1F9140AB" w14:textId="77777777" w:rsidTr="00EA33C4">
        <w:trPr>
          <w:trHeight w:val="308"/>
          <w:jc w:val="center"/>
        </w:trPr>
        <w:tc>
          <w:tcPr>
            <w:tcW w:w="222" w:type="pct"/>
          </w:tcPr>
          <w:p w14:paraId="0AA20ACB" w14:textId="3889229A" w:rsidR="00EA33C4" w:rsidRPr="000F4156" w:rsidRDefault="00EA33C4" w:rsidP="00352087">
            <w:pPr>
              <w:spacing w:line="240" w:lineRule="auto"/>
              <w:ind w:left="-11"/>
              <w:jc w:val="center"/>
              <w:rPr>
                <w:b/>
                <w:bCs/>
                <w:sz w:val="20"/>
                <w:szCs w:val="20"/>
              </w:rPr>
            </w:pPr>
            <w:r>
              <w:rPr>
                <w:sz w:val="20"/>
                <w:szCs w:val="20"/>
              </w:rPr>
              <w:t>…</w:t>
            </w:r>
          </w:p>
        </w:tc>
        <w:tc>
          <w:tcPr>
            <w:tcW w:w="1465" w:type="pct"/>
            <w:vAlign w:val="center"/>
          </w:tcPr>
          <w:p w14:paraId="0584D3BC" w14:textId="77777777" w:rsidR="00EA33C4" w:rsidRPr="000F4156" w:rsidRDefault="00EA33C4" w:rsidP="00352087">
            <w:pPr>
              <w:spacing w:line="240" w:lineRule="auto"/>
              <w:jc w:val="center"/>
              <w:rPr>
                <w:b/>
                <w:sz w:val="20"/>
                <w:szCs w:val="20"/>
              </w:rPr>
            </w:pPr>
          </w:p>
        </w:tc>
        <w:tc>
          <w:tcPr>
            <w:tcW w:w="1125" w:type="pct"/>
          </w:tcPr>
          <w:p w14:paraId="59A113B2" w14:textId="77777777" w:rsidR="00EA33C4" w:rsidRPr="000F4156" w:rsidRDefault="00EA33C4" w:rsidP="00352087">
            <w:pPr>
              <w:spacing w:line="240" w:lineRule="auto"/>
              <w:jc w:val="center"/>
              <w:rPr>
                <w:b/>
                <w:sz w:val="20"/>
                <w:szCs w:val="20"/>
              </w:rPr>
            </w:pPr>
          </w:p>
        </w:tc>
        <w:tc>
          <w:tcPr>
            <w:tcW w:w="1125" w:type="pct"/>
            <w:vAlign w:val="center"/>
          </w:tcPr>
          <w:p w14:paraId="4555EBCC" w14:textId="2179D304" w:rsidR="00EA33C4" w:rsidRPr="000F4156" w:rsidRDefault="00EA33C4" w:rsidP="00352087">
            <w:pPr>
              <w:spacing w:line="240" w:lineRule="auto"/>
              <w:jc w:val="center"/>
              <w:rPr>
                <w:b/>
                <w:sz w:val="20"/>
                <w:szCs w:val="20"/>
              </w:rPr>
            </w:pPr>
          </w:p>
        </w:tc>
        <w:tc>
          <w:tcPr>
            <w:tcW w:w="1063" w:type="pct"/>
            <w:vAlign w:val="center"/>
          </w:tcPr>
          <w:p w14:paraId="0C43C961" w14:textId="77777777" w:rsidR="00EA33C4" w:rsidRPr="000F4156" w:rsidRDefault="00EA33C4" w:rsidP="00352087">
            <w:pPr>
              <w:spacing w:line="240" w:lineRule="auto"/>
              <w:jc w:val="center"/>
              <w:rPr>
                <w:b/>
                <w:sz w:val="20"/>
                <w:szCs w:val="20"/>
              </w:rPr>
            </w:pPr>
          </w:p>
        </w:tc>
      </w:tr>
    </w:tbl>
    <w:p w14:paraId="14F5AE08" w14:textId="77777777" w:rsidR="00EA33C4" w:rsidRDefault="00EA33C4" w:rsidP="00EA33C4">
      <w:pPr>
        <w:shd w:val="clear" w:color="auto" w:fill="FFFFFF"/>
        <w:tabs>
          <w:tab w:val="left" w:pos="274"/>
        </w:tabs>
        <w:rPr>
          <w:rFonts w:cs="Arial"/>
          <w:spacing w:val="-10"/>
          <w:sz w:val="20"/>
          <w:szCs w:val="20"/>
        </w:rPr>
      </w:pPr>
    </w:p>
    <w:p w14:paraId="30221557" w14:textId="6FE28D05" w:rsidR="00EA33C4" w:rsidRPr="000F4156" w:rsidRDefault="00EA33C4" w:rsidP="00EA33C4">
      <w:pPr>
        <w:spacing w:line="240" w:lineRule="auto"/>
        <w:rPr>
          <w:sz w:val="20"/>
          <w:szCs w:val="20"/>
        </w:rPr>
      </w:pPr>
      <w:r w:rsidRPr="000F4156">
        <w:rPr>
          <w:sz w:val="20"/>
          <w:szCs w:val="20"/>
        </w:rPr>
        <w:t xml:space="preserve">Do wykazu załączamy list/y referencyjny/e potwierdzający/e, że </w:t>
      </w:r>
      <w:r>
        <w:rPr>
          <w:sz w:val="20"/>
          <w:szCs w:val="20"/>
        </w:rPr>
        <w:t xml:space="preserve">dostawy te </w:t>
      </w:r>
      <w:r w:rsidRPr="000F4156">
        <w:rPr>
          <w:sz w:val="20"/>
          <w:szCs w:val="20"/>
        </w:rPr>
        <w:t>zostały wykonane należycie;</w:t>
      </w:r>
    </w:p>
    <w:p w14:paraId="2699796F" w14:textId="77777777" w:rsidR="00EA33C4" w:rsidRPr="000F4156" w:rsidRDefault="00EA33C4" w:rsidP="00EA33C4">
      <w:pPr>
        <w:spacing w:line="240" w:lineRule="auto"/>
        <w:rPr>
          <w:sz w:val="20"/>
          <w:szCs w:val="20"/>
        </w:rPr>
      </w:pPr>
      <w:r w:rsidRPr="000F4156">
        <w:rPr>
          <w:sz w:val="20"/>
          <w:szCs w:val="20"/>
        </w:rPr>
        <w:t>1) ………………………..</w:t>
      </w:r>
    </w:p>
    <w:p w14:paraId="68D44E18" w14:textId="77777777" w:rsidR="00EA33C4" w:rsidRPr="000F4156" w:rsidRDefault="00EA33C4" w:rsidP="00EA33C4">
      <w:pPr>
        <w:autoSpaceDE w:val="0"/>
        <w:autoSpaceDN w:val="0"/>
        <w:adjustRightInd w:val="0"/>
        <w:spacing w:before="120" w:line="276" w:lineRule="auto"/>
        <w:rPr>
          <w:rFonts w:cs="Arial"/>
          <w:sz w:val="20"/>
          <w:szCs w:val="20"/>
        </w:rPr>
      </w:pPr>
    </w:p>
    <w:p w14:paraId="33C4E675" w14:textId="77777777" w:rsidR="00EA33C4" w:rsidRPr="000F4156" w:rsidRDefault="00EA33C4" w:rsidP="00EA33C4">
      <w:pPr>
        <w:spacing w:line="240" w:lineRule="auto"/>
        <w:ind w:left="426"/>
        <w:rPr>
          <w:rFonts w:cs="Arial"/>
          <w:sz w:val="20"/>
          <w:szCs w:val="20"/>
        </w:rPr>
      </w:pPr>
      <w:r w:rsidRPr="000F4156">
        <w:rPr>
          <w:rFonts w:cs="Arial"/>
          <w:sz w:val="20"/>
          <w:szCs w:val="20"/>
        </w:rPr>
        <w:t xml:space="preserve">UWAGA: </w:t>
      </w:r>
    </w:p>
    <w:p w14:paraId="23C9D406" w14:textId="08A52014" w:rsidR="00EA33C4" w:rsidRPr="000F4156" w:rsidRDefault="00EA33C4" w:rsidP="00EA33C4">
      <w:pPr>
        <w:pStyle w:val="Akapitzlist"/>
        <w:numPr>
          <w:ilvl w:val="0"/>
          <w:numId w:val="41"/>
        </w:numPr>
        <w:spacing w:line="240" w:lineRule="auto"/>
        <w:ind w:left="426"/>
        <w:rPr>
          <w:rFonts w:eastAsia="Calibri" w:cs="Arial"/>
          <w:sz w:val="20"/>
          <w:szCs w:val="20"/>
          <w:lang w:eastAsia="en-US"/>
        </w:rPr>
      </w:pPr>
      <w:r w:rsidRPr="000F4156">
        <w:rPr>
          <w:rFonts w:cs="Arial"/>
          <w:sz w:val="20"/>
          <w:szCs w:val="20"/>
        </w:rPr>
        <w:t>jeżeli Wykonawcy wspólnie ubiegają się o udziele</w:t>
      </w:r>
      <w:r>
        <w:rPr>
          <w:rFonts w:cs="Arial"/>
          <w:sz w:val="20"/>
          <w:szCs w:val="20"/>
        </w:rPr>
        <w:t>nie zamówienia należy wskazać w </w:t>
      </w:r>
      <w:r w:rsidRPr="000F4156">
        <w:rPr>
          <w:rFonts w:cs="Arial"/>
          <w:sz w:val="20"/>
          <w:szCs w:val="20"/>
        </w:rPr>
        <w:t xml:space="preserve">przedmiotowym Wykazie, który z Wykonawców występujących wspólnie wykonał wykazaną </w:t>
      </w:r>
      <w:r>
        <w:rPr>
          <w:rFonts w:cs="Arial"/>
          <w:sz w:val="20"/>
          <w:szCs w:val="20"/>
        </w:rPr>
        <w:t>dostawę</w:t>
      </w:r>
      <w:r w:rsidRPr="000F4156">
        <w:rPr>
          <w:rFonts w:cs="Arial"/>
          <w:sz w:val="20"/>
          <w:szCs w:val="20"/>
        </w:rPr>
        <w:t>.</w:t>
      </w:r>
    </w:p>
    <w:p w14:paraId="10D7A287" w14:textId="4F3E87F0" w:rsidR="00EA33C4" w:rsidRDefault="00EA33C4" w:rsidP="00EA33C4">
      <w:pPr>
        <w:pStyle w:val="Akapitzlist"/>
        <w:numPr>
          <w:ilvl w:val="0"/>
          <w:numId w:val="41"/>
        </w:numPr>
        <w:spacing w:line="240" w:lineRule="auto"/>
        <w:ind w:left="426"/>
        <w:rPr>
          <w:rFonts w:eastAsia="Calibri" w:cs="Arial"/>
          <w:sz w:val="20"/>
          <w:szCs w:val="20"/>
          <w:lang w:eastAsia="en-US"/>
        </w:rPr>
      </w:pPr>
      <w:r>
        <w:rPr>
          <w:rFonts w:eastAsia="Calibri" w:cs="Arial"/>
          <w:sz w:val="20"/>
          <w:szCs w:val="20"/>
          <w:lang w:eastAsia="en-US"/>
        </w:rPr>
        <w:t>z</w:t>
      </w:r>
      <w:r w:rsidRPr="000F4156">
        <w:rPr>
          <w:rFonts w:eastAsia="Calibri" w:cs="Arial"/>
          <w:sz w:val="20"/>
          <w:szCs w:val="20"/>
          <w:lang w:eastAsia="en-US"/>
        </w:rPr>
        <w:t xml:space="preserve">asady załączenia listów referencyjnych potwierdzających należyte wykonanie </w:t>
      </w:r>
      <w:r>
        <w:rPr>
          <w:rFonts w:eastAsia="Calibri" w:cs="Arial"/>
          <w:sz w:val="20"/>
          <w:szCs w:val="20"/>
          <w:lang w:eastAsia="en-US"/>
        </w:rPr>
        <w:t>dostaw</w:t>
      </w:r>
      <w:r w:rsidRPr="000F4156">
        <w:rPr>
          <w:rFonts w:eastAsia="Calibri" w:cs="Arial"/>
          <w:sz w:val="20"/>
          <w:szCs w:val="20"/>
          <w:lang w:eastAsia="en-US"/>
        </w:rPr>
        <w:t xml:space="preserve"> opis</w:t>
      </w:r>
      <w:r>
        <w:rPr>
          <w:rFonts w:eastAsia="Calibri" w:cs="Arial"/>
          <w:sz w:val="20"/>
          <w:szCs w:val="20"/>
          <w:lang w:eastAsia="en-US"/>
        </w:rPr>
        <w:t>ano w </w:t>
      </w:r>
      <w:r w:rsidRPr="00BA0519">
        <w:rPr>
          <w:rFonts w:eastAsia="Calibri" w:cs="Arial"/>
          <w:sz w:val="20"/>
          <w:szCs w:val="20"/>
          <w:lang w:eastAsia="en-US"/>
        </w:rPr>
        <w:t>pkt. 11.1. lit</w:t>
      </w:r>
      <w:r>
        <w:rPr>
          <w:rFonts w:eastAsia="Calibri" w:cs="Arial"/>
          <w:sz w:val="20"/>
          <w:szCs w:val="20"/>
          <w:lang w:eastAsia="en-US"/>
        </w:rPr>
        <w:t>. j</w:t>
      </w:r>
      <w:r w:rsidRPr="00BA0519">
        <w:rPr>
          <w:rFonts w:eastAsia="Calibri" w:cs="Arial"/>
          <w:sz w:val="20"/>
          <w:szCs w:val="20"/>
          <w:lang w:eastAsia="en-US"/>
        </w:rPr>
        <w:t xml:space="preserve">) </w:t>
      </w:r>
      <w:r w:rsidRPr="000F4156">
        <w:rPr>
          <w:rFonts w:eastAsia="Calibri" w:cs="Arial"/>
          <w:sz w:val="20"/>
          <w:szCs w:val="20"/>
          <w:lang w:eastAsia="en-US"/>
        </w:rPr>
        <w:t>SWZ.</w:t>
      </w:r>
    </w:p>
    <w:p w14:paraId="1CD020D4" w14:textId="0FEA974E" w:rsidR="006902BF" w:rsidRPr="00201922" w:rsidRDefault="006902BF" w:rsidP="006902BF">
      <w:pPr>
        <w:tabs>
          <w:tab w:val="center" w:pos="0"/>
          <w:tab w:val="right" w:pos="9072"/>
        </w:tabs>
        <w:spacing w:after="240" w:line="360"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201922" w14:paraId="67A886F6" w14:textId="77777777" w:rsidTr="00774D5C">
        <w:trPr>
          <w:cantSplit/>
          <w:trHeight w:val="703"/>
          <w:jc w:val="center"/>
        </w:trPr>
        <w:tc>
          <w:tcPr>
            <w:tcW w:w="2269" w:type="pct"/>
            <w:vAlign w:val="center"/>
          </w:tcPr>
          <w:p w14:paraId="3D0ED534" w14:textId="31C076AE" w:rsidR="006902BF" w:rsidRPr="00201922" w:rsidRDefault="00B83B79" w:rsidP="00774D5C">
            <w:pPr>
              <w:spacing w:line="240" w:lineRule="auto"/>
              <w:jc w:val="center"/>
              <w:rPr>
                <w:rFonts w:cs="Arial"/>
                <w:bCs/>
                <w:sz w:val="20"/>
                <w:szCs w:val="20"/>
              </w:rPr>
            </w:pPr>
            <w:r w:rsidRPr="00201922">
              <w:rPr>
                <w:rFonts w:cs="Arial"/>
                <w:bCs/>
                <w:sz w:val="18"/>
                <w:szCs w:val="18"/>
              </w:rPr>
              <w:t>Nazwisko i imię osoby (osób) uprawnionej(ych) do występowania w obrocie prawnym lub posiadającej (ych) pełnomocnictwo</w:t>
            </w:r>
          </w:p>
        </w:tc>
        <w:tc>
          <w:tcPr>
            <w:tcW w:w="1539" w:type="pct"/>
            <w:vAlign w:val="center"/>
          </w:tcPr>
          <w:p w14:paraId="7D15F325" w14:textId="63C59D5E" w:rsidR="006902BF" w:rsidRPr="00201922" w:rsidRDefault="00B83B79" w:rsidP="00774D5C">
            <w:pPr>
              <w:spacing w:line="240" w:lineRule="auto"/>
              <w:jc w:val="center"/>
              <w:rPr>
                <w:rFonts w:cs="Arial"/>
                <w:bCs/>
                <w:sz w:val="20"/>
                <w:szCs w:val="20"/>
              </w:rPr>
            </w:pPr>
            <w:r w:rsidRPr="00201922">
              <w:rPr>
                <w:rFonts w:cs="Arial"/>
                <w:bCs/>
                <w:sz w:val="18"/>
                <w:szCs w:val="18"/>
              </w:rPr>
              <w:t>Podpis(y) osoby(osób) uprawnionej</w:t>
            </w:r>
            <w:r w:rsidRPr="00201922" w:rsidDel="000F6600">
              <w:rPr>
                <w:rFonts w:cs="Arial"/>
                <w:bCs/>
                <w:sz w:val="18"/>
                <w:szCs w:val="18"/>
              </w:rPr>
              <w:t xml:space="preserve"> </w:t>
            </w:r>
            <w:r w:rsidRPr="00201922">
              <w:rPr>
                <w:rFonts w:cs="Arial"/>
                <w:bCs/>
                <w:sz w:val="18"/>
                <w:szCs w:val="18"/>
              </w:rPr>
              <w:t>(ych)</w:t>
            </w:r>
          </w:p>
        </w:tc>
        <w:tc>
          <w:tcPr>
            <w:tcW w:w="1192" w:type="pct"/>
            <w:vAlign w:val="center"/>
          </w:tcPr>
          <w:p w14:paraId="4E1DC8AD" w14:textId="77777777" w:rsidR="006902BF" w:rsidRPr="00201922" w:rsidRDefault="006902BF" w:rsidP="00774D5C">
            <w:pPr>
              <w:spacing w:line="240" w:lineRule="auto"/>
              <w:jc w:val="center"/>
              <w:rPr>
                <w:rFonts w:cs="Arial"/>
                <w:bCs/>
                <w:sz w:val="20"/>
                <w:szCs w:val="20"/>
              </w:rPr>
            </w:pPr>
            <w:r w:rsidRPr="00201922">
              <w:rPr>
                <w:rFonts w:cs="Arial"/>
                <w:bCs/>
                <w:sz w:val="20"/>
                <w:szCs w:val="20"/>
              </w:rPr>
              <w:t>Miejscowość i data</w:t>
            </w:r>
          </w:p>
        </w:tc>
      </w:tr>
      <w:tr w:rsidR="006902BF" w:rsidRPr="00201922" w14:paraId="12A05BA2" w14:textId="77777777" w:rsidTr="00774D5C">
        <w:trPr>
          <w:cantSplit/>
          <w:trHeight w:val="674"/>
          <w:jc w:val="center"/>
        </w:trPr>
        <w:tc>
          <w:tcPr>
            <w:tcW w:w="2269" w:type="pct"/>
            <w:vAlign w:val="center"/>
          </w:tcPr>
          <w:p w14:paraId="474E7DB5" w14:textId="77777777" w:rsidR="006902BF" w:rsidRPr="00201922" w:rsidRDefault="006902BF" w:rsidP="00774D5C">
            <w:pPr>
              <w:spacing w:after="200" w:line="276" w:lineRule="auto"/>
              <w:jc w:val="left"/>
              <w:rPr>
                <w:rFonts w:cs="Arial"/>
                <w:b/>
                <w:sz w:val="20"/>
                <w:szCs w:val="20"/>
              </w:rPr>
            </w:pPr>
          </w:p>
          <w:p w14:paraId="293969A3" w14:textId="77777777" w:rsidR="006902BF" w:rsidRPr="00201922"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201922"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201922" w:rsidRDefault="006902BF" w:rsidP="00774D5C">
            <w:pPr>
              <w:spacing w:after="200" w:line="276" w:lineRule="auto"/>
              <w:jc w:val="left"/>
              <w:rPr>
                <w:rFonts w:cs="Arial"/>
                <w:b/>
                <w:sz w:val="20"/>
                <w:szCs w:val="20"/>
              </w:rPr>
            </w:pPr>
          </w:p>
        </w:tc>
      </w:tr>
    </w:tbl>
    <w:p w14:paraId="47031AFB" w14:textId="165F38A5" w:rsidR="00137221" w:rsidRDefault="00137221">
      <w:pPr>
        <w:spacing w:line="240" w:lineRule="auto"/>
        <w:jc w:val="left"/>
      </w:pPr>
    </w:p>
    <w:p w14:paraId="5E0CD3F4" w14:textId="64C34599" w:rsidR="00201922" w:rsidRDefault="00201922">
      <w:pPr>
        <w:spacing w:line="240" w:lineRule="auto"/>
        <w:jc w:val="left"/>
      </w:pPr>
      <w:r>
        <w:br w:type="page"/>
      </w:r>
    </w:p>
    <w:p w14:paraId="3251E83B" w14:textId="77777777" w:rsidR="00137221" w:rsidRDefault="00137221">
      <w:pPr>
        <w:spacing w:line="240" w:lineRule="auto"/>
        <w:jc w:val="left"/>
      </w:pPr>
    </w:p>
    <w:p w14:paraId="20E05D77" w14:textId="02185CA0"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TYLKO DLA SPÓŁEK</w:t>
      </w:r>
      <w:r>
        <w:rPr>
          <w:i/>
          <w:color w:val="4F81BD" w:themeColor="accent1"/>
        </w:rPr>
        <w:t xml:space="preserve"> Z</w:t>
      </w:r>
      <w:r w:rsidR="00201922">
        <w:rPr>
          <w:i/>
          <w:color w:val="4F81BD" w:themeColor="accent1"/>
        </w:rPr>
        <w:t xml:space="preserve"> GK ORLEN </w:t>
      </w:r>
    </w:p>
    <w:p w14:paraId="5A6E5574" w14:textId="77777777" w:rsidR="00137221" w:rsidRDefault="00137221" w:rsidP="00137221"/>
    <w:p w14:paraId="55D117F5" w14:textId="3401B81E" w:rsidR="00137221" w:rsidRPr="002512BE" w:rsidRDefault="00137221" w:rsidP="00137221">
      <w:pPr>
        <w:autoSpaceDE w:val="0"/>
        <w:autoSpaceDN w:val="0"/>
        <w:adjustRightInd w:val="0"/>
        <w:spacing w:before="120" w:after="120" w:line="240" w:lineRule="auto"/>
        <w:jc w:val="right"/>
        <w:rPr>
          <w:szCs w:val="22"/>
        </w:rPr>
      </w:pPr>
      <w:r w:rsidRPr="002512BE">
        <w:rPr>
          <w:b/>
          <w:szCs w:val="22"/>
        </w:rPr>
        <w:t xml:space="preserve">Załącznik nr </w:t>
      </w:r>
      <w:r w:rsidR="00201922">
        <w:rPr>
          <w:b/>
          <w:szCs w:val="22"/>
        </w:rPr>
        <w:t>6</w:t>
      </w:r>
      <w:r w:rsidRPr="002512BE">
        <w:rPr>
          <w:szCs w:val="22"/>
        </w:rPr>
        <w:t xml:space="preserve"> </w:t>
      </w:r>
      <w:r w:rsidRPr="002512BE">
        <w:rPr>
          <w:b/>
          <w:szCs w:val="22"/>
        </w:rPr>
        <w:t xml:space="preserve">do </w:t>
      </w:r>
      <w:r>
        <w:rPr>
          <w:b/>
          <w:szCs w:val="22"/>
        </w:rPr>
        <w:t>SWZ</w:t>
      </w:r>
      <w:r w:rsidR="00C763DA">
        <w:rPr>
          <w:b/>
          <w:szCs w:val="22"/>
        </w:rPr>
        <w:t xml:space="preserve"> </w:t>
      </w:r>
    </w:p>
    <w:p w14:paraId="51910385" w14:textId="77777777" w:rsidR="00137221" w:rsidRPr="002512BE" w:rsidRDefault="00137221" w:rsidP="00137221">
      <w:pPr>
        <w:autoSpaceDE w:val="0"/>
        <w:autoSpaceDN w:val="0"/>
        <w:adjustRightInd w:val="0"/>
        <w:spacing w:before="120" w:after="120" w:line="240" w:lineRule="auto"/>
        <w:jc w:val="right"/>
        <w:rPr>
          <w:szCs w:val="22"/>
        </w:rPr>
      </w:pPr>
    </w:p>
    <w:p w14:paraId="4340E646"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2BCEE6EB"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64384" behindDoc="0" locked="0" layoutInCell="0" allowOverlap="1" wp14:anchorId="64EC22AD" wp14:editId="51FB3C26">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1B136" id="Line 5"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137221" w:rsidRPr="002512BE" w14:paraId="776EC125" w14:textId="77777777" w:rsidTr="003356A1">
        <w:trPr>
          <w:cantSplit/>
          <w:trHeight w:hRule="exact" w:val="931"/>
          <w:jc w:val="center"/>
        </w:trPr>
        <w:tc>
          <w:tcPr>
            <w:tcW w:w="3552" w:type="dxa"/>
            <w:shd w:val="clear" w:color="auto" w:fill="17365D" w:themeFill="text2" w:themeFillShade="BF"/>
            <w:vAlign w:val="center"/>
          </w:tcPr>
          <w:p w14:paraId="3B7D96E5" w14:textId="77777777" w:rsidR="00137221" w:rsidRPr="002512BE" w:rsidRDefault="00137221" w:rsidP="003356A1">
            <w:pPr>
              <w:spacing w:line="240" w:lineRule="auto"/>
              <w:rPr>
                <w:b/>
                <w:color w:val="FFFFFF" w:themeColor="background1"/>
                <w:szCs w:val="22"/>
              </w:rPr>
            </w:pPr>
            <w:r w:rsidRPr="002512BE">
              <w:rPr>
                <w:b/>
                <w:color w:val="FFFFFF" w:themeColor="background1"/>
                <w:szCs w:val="22"/>
              </w:rPr>
              <w:t>Dane Wykonawcy:</w:t>
            </w:r>
          </w:p>
        </w:tc>
        <w:tc>
          <w:tcPr>
            <w:tcW w:w="5521" w:type="dxa"/>
          </w:tcPr>
          <w:p w14:paraId="5C129AA5" w14:textId="77777777" w:rsidR="00137221" w:rsidRPr="002512BE" w:rsidRDefault="00137221" w:rsidP="003356A1">
            <w:pPr>
              <w:spacing w:line="240" w:lineRule="auto"/>
              <w:ind w:left="497" w:right="1064" w:firstLine="497"/>
              <w:rPr>
                <w:szCs w:val="22"/>
              </w:rPr>
            </w:pPr>
          </w:p>
          <w:p w14:paraId="50C38268" w14:textId="77777777" w:rsidR="00137221" w:rsidRPr="002512BE" w:rsidRDefault="00137221" w:rsidP="003356A1">
            <w:pPr>
              <w:spacing w:line="240" w:lineRule="auto"/>
              <w:rPr>
                <w:szCs w:val="22"/>
              </w:rPr>
            </w:pPr>
          </w:p>
        </w:tc>
      </w:tr>
      <w:tr w:rsidR="00137221" w:rsidRPr="00413B99" w14:paraId="0DD38938" w14:textId="77777777" w:rsidTr="003356A1">
        <w:trPr>
          <w:cantSplit/>
          <w:trHeight w:hRule="exact" w:val="1253"/>
          <w:jc w:val="center"/>
        </w:trPr>
        <w:tc>
          <w:tcPr>
            <w:tcW w:w="3552" w:type="dxa"/>
            <w:shd w:val="clear" w:color="auto" w:fill="17365D" w:themeFill="text2" w:themeFillShade="BF"/>
            <w:vAlign w:val="center"/>
          </w:tcPr>
          <w:p w14:paraId="6EF4A1D3" w14:textId="77777777" w:rsidR="00137221" w:rsidRPr="002512BE" w:rsidRDefault="00137221" w:rsidP="003356A1">
            <w:pPr>
              <w:spacing w:line="240" w:lineRule="auto"/>
              <w:rPr>
                <w:b/>
                <w:color w:val="FFFFFF" w:themeColor="background1"/>
                <w:szCs w:val="22"/>
              </w:rPr>
            </w:pPr>
            <w:r w:rsidRPr="002512BE">
              <w:rPr>
                <w:b/>
                <w:color w:val="FFFFFF" w:themeColor="background1"/>
                <w:szCs w:val="22"/>
              </w:rPr>
              <w:t xml:space="preserve">Adres Wykonawcy: </w:t>
            </w:r>
          </w:p>
          <w:p w14:paraId="39F0FF62" w14:textId="77777777" w:rsidR="00137221" w:rsidRPr="002512BE" w:rsidRDefault="00137221" w:rsidP="003356A1">
            <w:pPr>
              <w:spacing w:line="240" w:lineRule="auto"/>
              <w:rPr>
                <w:b/>
                <w:color w:val="FFFFFF" w:themeColor="background1"/>
                <w:szCs w:val="22"/>
              </w:rPr>
            </w:pPr>
            <w:r w:rsidRPr="002512BE">
              <w:rPr>
                <w:b/>
                <w:color w:val="FFFFFF" w:themeColor="background1"/>
                <w:szCs w:val="22"/>
              </w:rPr>
              <w:t xml:space="preserve">kod, miejscowość </w:t>
            </w:r>
          </w:p>
          <w:p w14:paraId="6D822372" w14:textId="77777777" w:rsidR="00137221" w:rsidRPr="002512BE" w:rsidRDefault="00137221" w:rsidP="003356A1">
            <w:pPr>
              <w:spacing w:line="240" w:lineRule="auto"/>
              <w:rPr>
                <w:b/>
                <w:color w:val="FFFFFF" w:themeColor="background1"/>
                <w:szCs w:val="22"/>
              </w:rPr>
            </w:pPr>
            <w:r w:rsidRPr="002512BE">
              <w:rPr>
                <w:b/>
                <w:color w:val="FFFFFF" w:themeColor="background1"/>
                <w:szCs w:val="22"/>
              </w:rPr>
              <w:t>ulica, nr lokalu</w:t>
            </w:r>
          </w:p>
          <w:p w14:paraId="3496CC3E" w14:textId="77777777" w:rsidR="00137221" w:rsidRPr="002512BE" w:rsidRDefault="00137221" w:rsidP="003356A1">
            <w:pPr>
              <w:spacing w:line="240" w:lineRule="auto"/>
              <w:rPr>
                <w:b/>
                <w:color w:val="FFFFFF" w:themeColor="background1"/>
                <w:szCs w:val="22"/>
              </w:rPr>
            </w:pPr>
          </w:p>
        </w:tc>
        <w:tc>
          <w:tcPr>
            <w:tcW w:w="5521" w:type="dxa"/>
          </w:tcPr>
          <w:p w14:paraId="18263BDF" w14:textId="77777777" w:rsidR="00137221" w:rsidRPr="002512BE" w:rsidRDefault="00137221" w:rsidP="003356A1">
            <w:pPr>
              <w:spacing w:line="240" w:lineRule="auto"/>
              <w:ind w:right="1064"/>
              <w:rPr>
                <w:szCs w:val="22"/>
              </w:rPr>
            </w:pPr>
          </w:p>
        </w:tc>
      </w:tr>
    </w:tbl>
    <w:p w14:paraId="0743ED75" w14:textId="77777777" w:rsidR="00137221" w:rsidRPr="002512BE" w:rsidRDefault="00137221" w:rsidP="00137221">
      <w:pPr>
        <w:autoSpaceDE w:val="0"/>
        <w:autoSpaceDN w:val="0"/>
        <w:adjustRightInd w:val="0"/>
        <w:spacing w:before="120" w:after="120"/>
        <w:rPr>
          <w:rFonts w:eastAsia="Arial Unicode MS"/>
          <w:szCs w:val="22"/>
        </w:rPr>
      </w:pPr>
    </w:p>
    <w:p w14:paraId="53F95940" w14:textId="490EDDEA" w:rsidR="00137221" w:rsidRPr="002512BE" w:rsidRDefault="00137221" w:rsidP="00137221">
      <w:pPr>
        <w:rPr>
          <w:iCs/>
          <w:color w:val="000000" w:themeColor="text1"/>
          <w:szCs w:val="22"/>
          <w:u w:val="single"/>
        </w:rPr>
      </w:pPr>
      <w:r w:rsidRPr="002512BE">
        <w:rPr>
          <w:iCs/>
          <w:color w:val="000000" w:themeColor="text1"/>
          <w:szCs w:val="22"/>
        </w:rPr>
        <w:t xml:space="preserve">Uczestnicząc w postępowaniu o udzielenie zamówienia </w:t>
      </w:r>
      <w:r w:rsidR="00E47CCA" w:rsidRPr="00E47CCA">
        <w:rPr>
          <w:iCs/>
          <w:color w:val="000000" w:themeColor="text1"/>
          <w:szCs w:val="22"/>
        </w:rPr>
        <w:t>niepublicznego prowadzonego w</w:t>
      </w:r>
      <w:r w:rsidR="00E47CCA">
        <w:rPr>
          <w:iCs/>
          <w:color w:val="000000" w:themeColor="text1"/>
          <w:szCs w:val="22"/>
        </w:rPr>
        <w:t> </w:t>
      </w:r>
      <w:r w:rsidR="00E47CCA" w:rsidRPr="00E47CCA">
        <w:rPr>
          <w:iCs/>
          <w:color w:val="000000" w:themeColor="text1"/>
          <w:szCs w:val="22"/>
        </w:rPr>
        <w:t>trybie przetargu nieograniczonego</w:t>
      </w:r>
      <w:r w:rsidRPr="002512BE">
        <w:rPr>
          <w:iCs/>
          <w:color w:val="000000" w:themeColor="text1"/>
          <w:szCs w:val="22"/>
        </w:rPr>
        <w:t xml:space="preserve">, pn.: </w:t>
      </w:r>
      <w:r w:rsidR="00201922" w:rsidRPr="00201922">
        <w:rPr>
          <w:rFonts w:cs="Arial"/>
          <w:szCs w:val="22"/>
        </w:rPr>
        <w:t>„</w:t>
      </w:r>
      <w:r w:rsidR="00201922" w:rsidRPr="00201922">
        <w:rPr>
          <w:rFonts w:cs="Arial"/>
          <w:b/>
          <w:szCs w:val="22"/>
        </w:rPr>
        <w:t>Zakup barytu w celu zabezpieczenie pod względem przeciwerupcyjnym realizowanych wierceń</w:t>
      </w:r>
      <w:r w:rsidR="00201922" w:rsidRPr="00201922">
        <w:rPr>
          <w:rFonts w:cs="Arial"/>
          <w:szCs w:val="22"/>
        </w:rPr>
        <w:t xml:space="preserve">”, numer postępowania: </w:t>
      </w:r>
      <w:r w:rsidR="00201922" w:rsidRPr="00201922">
        <w:rPr>
          <w:rFonts w:cs="Arial"/>
          <w:b/>
          <w:szCs w:val="22"/>
        </w:rPr>
        <w:t>NP/ORLEN/25/0487/GE/DWR</w:t>
      </w:r>
      <w:r w:rsidRPr="003422EF">
        <w:rPr>
          <w:iCs/>
          <w:color w:val="000000" w:themeColor="text1"/>
          <w:szCs w:val="22"/>
        </w:rPr>
        <w:t>,</w:t>
      </w:r>
      <w:r w:rsidRPr="002512BE">
        <w:rPr>
          <w:iCs/>
          <w:color w:val="000000" w:themeColor="text1"/>
          <w:szCs w:val="22"/>
        </w:rPr>
        <w:t xml:space="preserve"> oświadczamy, że zaoferowana przez nas </w:t>
      </w:r>
      <w:r w:rsidRPr="002B6243">
        <w:rPr>
          <w:iCs/>
          <w:color w:val="000000" w:themeColor="text1"/>
          <w:szCs w:val="22"/>
        </w:rPr>
        <w:t xml:space="preserve">Cena za realizację przedmiotu zamówienia </w:t>
      </w:r>
      <w:r w:rsidRPr="002B6243">
        <w:rPr>
          <w:b/>
          <w:iCs/>
          <w:color w:val="000000" w:themeColor="text1"/>
          <w:szCs w:val="22"/>
          <w:u w:val="single"/>
        </w:rPr>
        <w:t>została ustalona zgodnie z zasadą ceny rynkowej w rozumieniu przepisów o cenach transferowych*.</w:t>
      </w:r>
    </w:p>
    <w:p w14:paraId="1FE1CB7C" w14:textId="77777777" w:rsidR="00137221" w:rsidRPr="002512BE" w:rsidRDefault="00137221" w:rsidP="00137221">
      <w:pPr>
        <w:ind w:firstLine="6"/>
        <w:rPr>
          <w:i/>
          <w:iCs/>
          <w:color w:val="FF0000"/>
          <w:sz w:val="16"/>
          <w:szCs w:val="16"/>
        </w:rPr>
      </w:pPr>
    </w:p>
    <w:p w14:paraId="344828B8" w14:textId="77777777" w:rsidR="00137221" w:rsidRPr="002512BE" w:rsidRDefault="00137221" w:rsidP="00137221">
      <w:pPr>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137221" w:rsidRPr="002512BE" w14:paraId="7B4B6254" w14:textId="77777777" w:rsidTr="003356A1">
        <w:trPr>
          <w:cantSplit/>
          <w:trHeight w:val="696"/>
        </w:trPr>
        <w:tc>
          <w:tcPr>
            <w:tcW w:w="496" w:type="dxa"/>
            <w:vAlign w:val="center"/>
          </w:tcPr>
          <w:p w14:paraId="51F6DB0B" w14:textId="77777777" w:rsidR="00137221" w:rsidRPr="002512BE" w:rsidRDefault="00137221" w:rsidP="003356A1">
            <w:pPr>
              <w:spacing w:line="240" w:lineRule="auto"/>
              <w:jc w:val="center"/>
              <w:rPr>
                <w:bCs/>
                <w:sz w:val="16"/>
                <w:szCs w:val="16"/>
              </w:rPr>
            </w:pPr>
            <w:r w:rsidRPr="002512BE">
              <w:rPr>
                <w:bCs/>
                <w:sz w:val="16"/>
                <w:szCs w:val="16"/>
              </w:rPr>
              <w:t>Lp.</w:t>
            </w:r>
          </w:p>
        </w:tc>
        <w:tc>
          <w:tcPr>
            <w:tcW w:w="3752" w:type="dxa"/>
            <w:vAlign w:val="center"/>
          </w:tcPr>
          <w:p w14:paraId="063E0D91" w14:textId="77777777" w:rsidR="00137221" w:rsidRPr="002512BE" w:rsidRDefault="00137221" w:rsidP="003356A1">
            <w:pPr>
              <w:spacing w:line="240" w:lineRule="auto"/>
              <w:jc w:val="center"/>
              <w:rPr>
                <w:bCs/>
                <w:sz w:val="16"/>
                <w:szCs w:val="16"/>
              </w:rPr>
            </w:pPr>
            <w:r w:rsidRPr="002512BE">
              <w:rPr>
                <w:bCs/>
                <w:sz w:val="16"/>
                <w:szCs w:val="16"/>
              </w:rPr>
              <w:t>Nazwisko i imię osoby (osób) uprawnionej(ych) do występowania w obrocie prawnym lub posiadającej (ych) pełnomocnictwo:</w:t>
            </w:r>
          </w:p>
        </w:tc>
        <w:tc>
          <w:tcPr>
            <w:tcW w:w="2935" w:type="dxa"/>
            <w:vAlign w:val="center"/>
          </w:tcPr>
          <w:p w14:paraId="159B1B9E" w14:textId="77777777" w:rsidR="00137221" w:rsidRPr="002512BE" w:rsidRDefault="00137221" w:rsidP="003356A1">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(ych):</w:t>
            </w:r>
          </w:p>
        </w:tc>
        <w:tc>
          <w:tcPr>
            <w:tcW w:w="1601" w:type="dxa"/>
            <w:vAlign w:val="center"/>
          </w:tcPr>
          <w:p w14:paraId="7A7F28C1" w14:textId="77777777" w:rsidR="00137221" w:rsidRPr="002512BE" w:rsidRDefault="00137221" w:rsidP="003356A1">
            <w:pPr>
              <w:spacing w:line="240" w:lineRule="auto"/>
              <w:jc w:val="center"/>
              <w:rPr>
                <w:bCs/>
                <w:sz w:val="16"/>
                <w:szCs w:val="16"/>
              </w:rPr>
            </w:pPr>
            <w:r w:rsidRPr="002512BE">
              <w:rPr>
                <w:bCs/>
                <w:sz w:val="16"/>
                <w:szCs w:val="16"/>
              </w:rPr>
              <w:t>Miejscowość i data:</w:t>
            </w:r>
          </w:p>
        </w:tc>
      </w:tr>
      <w:tr w:rsidR="00137221" w:rsidRPr="002512BE" w14:paraId="35BE8E05" w14:textId="77777777" w:rsidTr="003356A1">
        <w:trPr>
          <w:cantSplit/>
          <w:trHeight w:val="423"/>
        </w:trPr>
        <w:tc>
          <w:tcPr>
            <w:tcW w:w="496" w:type="dxa"/>
          </w:tcPr>
          <w:p w14:paraId="16083837" w14:textId="77777777" w:rsidR="00137221" w:rsidRPr="002512BE" w:rsidRDefault="00137221" w:rsidP="003356A1">
            <w:pPr>
              <w:spacing w:line="240" w:lineRule="auto"/>
              <w:jc w:val="center"/>
              <w:rPr>
                <w:bCs/>
                <w:sz w:val="16"/>
                <w:szCs w:val="16"/>
              </w:rPr>
            </w:pPr>
          </w:p>
        </w:tc>
        <w:tc>
          <w:tcPr>
            <w:tcW w:w="3752" w:type="dxa"/>
          </w:tcPr>
          <w:p w14:paraId="546147A8" w14:textId="77777777" w:rsidR="00137221" w:rsidRPr="002512BE" w:rsidRDefault="00137221" w:rsidP="003356A1">
            <w:pPr>
              <w:spacing w:line="240" w:lineRule="auto"/>
              <w:jc w:val="center"/>
              <w:rPr>
                <w:bCs/>
                <w:sz w:val="16"/>
                <w:szCs w:val="16"/>
              </w:rPr>
            </w:pPr>
          </w:p>
        </w:tc>
        <w:tc>
          <w:tcPr>
            <w:tcW w:w="2935" w:type="dxa"/>
          </w:tcPr>
          <w:p w14:paraId="3306E248" w14:textId="77777777" w:rsidR="00137221" w:rsidRPr="002512BE" w:rsidRDefault="00137221" w:rsidP="003356A1">
            <w:pPr>
              <w:spacing w:line="240" w:lineRule="auto"/>
              <w:jc w:val="center"/>
              <w:rPr>
                <w:bCs/>
                <w:sz w:val="16"/>
                <w:szCs w:val="16"/>
              </w:rPr>
            </w:pPr>
          </w:p>
        </w:tc>
        <w:tc>
          <w:tcPr>
            <w:tcW w:w="1601" w:type="dxa"/>
          </w:tcPr>
          <w:p w14:paraId="2A23AD5D" w14:textId="77777777" w:rsidR="00137221" w:rsidRPr="002512BE" w:rsidRDefault="00137221" w:rsidP="003356A1">
            <w:pPr>
              <w:spacing w:line="240" w:lineRule="auto"/>
              <w:jc w:val="center"/>
              <w:rPr>
                <w:bCs/>
                <w:sz w:val="16"/>
                <w:szCs w:val="16"/>
              </w:rPr>
            </w:pPr>
          </w:p>
        </w:tc>
      </w:tr>
    </w:tbl>
    <w:p w14:paraId="6A5B295C" w14:textId="77777777" w:rsidR="00137221" w:rsidRPr="002512BE" w:rsidRDefault="00137221" w:rsidP="00201922">
      <w:pPr>
        <w:autoSpaceDE w:val="0"/>
        <w:autoSpaceDN w:val="0"/>
        <w:adjustRightInd w:val="0"/>
        <w:spacing w:before="120" w:after="120" w:line="240" w:lineRule="auto"/>
        <w:jc w:val="right"/>
        <w:rPr>
          <w:szCs w:val="22"/>
        </w:rPr>
      </w:pPr>
    </w:p>
    <w:sectPr w:rsidR="00137221" w:rsidRPr="002512BE"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2D858" w14:textId="77777777" w:rsidR="00CF2780" w:rsidRDefault="00CF2780">
      <w:r>
        <w:separator/>
      </w:r>
    </w:p>
  </w:endnote>
  <w:endnote w:type="continuationSeparator" w:id="0">
    <w:p w14:paraId="50811FC1" w14:textId="77777777" w:rsidR="00CF2780" w:rsidRDefault="00CF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1D0C79BE" w:rsidR="0077177E" w:rsidRPr="00872672" w:rsidRDefault="0077177E">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4F2229">
              <w:rPr>
                <w:rFonts w:cs="Arial"/>
                <w:b/>
                <w:bCs/>
                <w:noProof/>
                <w:sz w:val="16"/>
              </w:rPr>
              <w:t>20</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4F2229">
              <w:rPr>
                <w:rFonts w:cs="Arial"/>
                <w:b/>
                <w:bCs/>
                <w:noProof/>
                <w:sz w:val="16"/>
              </w:rPr>
              <w:t>30</w:t>
            </w:r>
            <w:r w:rsidRPr="00872672">
              <w:rPr>
                <w:rFonts w:cs="Arial"/>
                <w:b/>
                <w:bCs/>
                <w:sz w:val="16"/>
              </w:rPr>
              <w:fldChar w:fldCharType="end"/>
            </w:r>
          </w:p>
        </w:sdtContent>
      </w:sdt>
    </w:sdtContent>
  </w:sdt>
  <w:p w14:paraId="3A1AE1B1" w14:textId="77777777" w:rsidR="0077177E" w:rsidRDefault="007717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03BF1" w14:textId="77777777" w:rsidR="00CF2780" w:rsidRDefault="00CF2780">
      <w:r>
        <w:separator/>
      </w:r>
    </w:p>
  </w:footnote>
  <w:footnote w:type="continuationSeparator" w:id="0">
    <w:p w14:paraId="7BC8B280" w14:textId="77777777" w:rsidR="00CF2780" w:rsidRDefault="00CF2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0907DA4" w:rsidR="0077177E" w:rsidRPr="00872672" w:rsidRDefault="0077177E" w:rsidP="00D877C6">
    <w:pPr>
      <w:tabs>
        <w:tab w:val="right" w:pos="8505"/>
      </w:tabs>
      <w:suppressAutoHyphens/>
      <w:spacing w:line="160" w:lineRule="exact"/>
      <w:rPr>
        <w:sz w:val="12"/>
      </w:rPr>
    </w:pPr>
    <w:r w:rsidRPr="004C2855">
      <w:rPr>
        <w:sz w:val="12"/>
      </w:rPr>
      <w:t>Nazwa i numer postępowania:</w:t>
    </w:r>
    <w:r w:rsidRPr="005E4CAF">
      <w:rPr>
        <w:rFonts w:cs="Arial"/>
        <w:color w:val="000000"/>
        <w:sz w:val="18"/>
        <w:szCs w:val="18"/>
        <w:shd w:val="clear" w:color="auto" w:fill="FFFFFF"/>
      </w:rPr>
      <w:t xml:space="preserve"> </w:t>
    </w:r>
    <w:r w:rsidRPr="005E4CAF">
      <w:rPr>
        <w:sz w:val="12"/>
      </w:rPr>
      <w:t>Zakup barytu w celu zabezpieczenie pod względem przeciwerupcyjnym realizowanych wierceń, NP/ORLEN/25/0487/GE/DWR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651ECBA0"/>
    <w:lvl w:ilvl="0" w:tplc="58FAF0A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2"/>
  </w:num>
  <w:num w:numId="2">
    <w:abstractNumId w:val="9"/>
  </w:num>
  <w:num w:numId="3">
    <w:abstractNumId w:val="4"/>
  </w:num>
  <w:num w:numId="4">
    <w:abstractNumId w:val="16"/>
  </w:num>
  <w:num w:numId="5">
    <w:abstractNumId w:val="17"/>
  </w:num>
  <w:num w:numId="6">
    <w:abstractNumId w:val="19"/>
  </w:num>
  <w:num w:numId="7">
    <w:abstractNumId w:val="2"/>
  </w:num>
  <w:num w:numId="8">
    <w:abstractNumId w:val="25"/>
  </w:num>
  <w:num w:numId="9">
    <w:abstractNumId w:val="8"/>
  </w:num>
  <w:num w:numId="10">
    <w:abstractNumId w:val="7"/>
  </w:num>
  <w:num w:numId="11">
    <w:abstractNumId w:val="22"/>
  </w:num>
  <w:num w:numId="12">
    <w:abstractNumId w:val="26"/>
  </w:num>
  <w:num w:numId="13">
    <w:abstractNumId w:val="21"/>
  </w:num>
  <w:num w:numId="14">
    <w:abstractNumId w:val="31"/>
  </w:num>
  <w:num w:numId="15">
    <w:abstractNumId w:val="3"/>
  </w:num>
  <w:num w:numId="16">
    <w:abstractNumId w:val="27"/>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8"/>
  </w:num>
  <w:num w:numId="26">
    <w:abstractNumId w:val="5"/>
  </w:num>
  <w:num w:numId="27">
    <w:abstractNumId w:val="14"/>
  </w:num>
  <w:num w:numId="28">
    <w:abstractNumId w:val="20"/>
  </w:num>
  <w:num w:numId="29">
    <w:abstractNumId w:val="11"/>
  </w:num>
  <w:num w:numId="30">
    <w:abstractNumId w:val="30"/>
  </w:num>
  <w:num w:numId="31">
    <w:abstractNumId w:val="29"/>
  </w:num>
  <w:num w:numId="32">
    <w:abstractNumId w:val="6"/>
  </w:num>
  <w:num w:numId="33">
    <w:abstractNumId w:val="13"/>
  </w:num>
  <w:num w:numId="34">
    <w:abstractNumId w:val="0"/>
  </w:num>
  <w:num w:numId="35">
    <w:abstractNumId w:val="2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1"/>
  </w:num>
  <w:num w:numId="41">
    <w:abstractNumId w:val="18"/>
  </w:num>
  <w:num w:numId="42">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00C"/>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1A2B"/>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47918"/>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1922"/>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57ABB"/>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56A1"/>
    <w:rsid w:val="00336512"/>
    <w:rsid w:val="00337A10"/>
    <w:rsid w:val="00351B34"/>
    <w:rsid w:val="00352087"/>
    <w:rsid w:val="003522E3"/>
    <w:rsid w:val="00357BE5"/>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047A"/>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22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4859"/>
    <w:rsid w:val="005C694C"/>
    <w:rsid w:val="005D2AA8"/>
    <w:rsid w:val="005E00F1"/>
    <w:rsid w:val="005E1FB9"/>
    <w:rsid w:val="005E272E"/>
    <w:rsid w:val="005E3BFC"/>
    <w:rsid w:val="005E43DD"/>
    <w:rsid w:val="005E44DE"/>
    <w:rsid w:val="005E4CAF"/>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1D"/>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2724"/>
    <w:rsid w:val="00696E9C"/>
    <w:rsid w:val="006974F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06C8"/>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177E"/>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59CB"/>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34B2D"/>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05AE9"/>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B3F03"/>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26907"/>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22A2"/>
    <w:rsid w:val="00C75651"/>
    <w:rsid w:val="00C75EDE"/>
    <w:rsid w:val="00C763DA"/>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2780"/>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5A"/>
    <w:rsid w:val="00D6487E"/>
    <w:rsid w:val="00D66049"/>
    <w:rsid w:val="00D720D4"/>
    <w:rsid w:val="00D733B3"/>
    <w:rsid w:val="00D74284"/>
    <w:rsid w:val="00D75150"/>
    <w:rsid w:val="00D80D3F"/>
    <w:rsid w:val="00D845A5"/>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3C4"/>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357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55271736">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78EAC-5C18-4135-849D-C537684C0D6D}">
  <ds:schemaRefs>
    <ds:schemaRef ds:uri="http://schemas.microsoft.com/office/2006/metadata/properties"/>
    <ds:schemaRef ds:uri="http://schemas.microsoft.com/office/infopath/2007/PartnerControls"/>
    <ds:schemaRef ds:uri="83cc594e-1913-4543-bb38-8a2f73b7f1c3"/>
  </ds:schemaRefs>
</ds:datastoreItem>
</file>

<file path=customXml/itemProps2.xml><?xml version="1.0" encoding="utf-8"?>
<ds:datastoreItem xmlns:ds="http://schemas.openxmlformats.org/officeDocument/2006/customXml" ds:itemID="{2B51B3C8-C58D-4EC9-A75B-400236571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6E3A99-EE56-4C39-81C7-0402B802832A}">
  <ds:schemaRefs>
    <ds:schemaRef ds:uri="http://schemas.microsoft.com/sharepoint/v3/contenttype/forms"/>
  </ds:schemaRefs>
</ds:datastoreItem>
</file>

<file path=customXml/itemProps4.xml><?xml version="1.0" encoding="utf-8"?>
<ds:datastoreItem xmlns:ds="http://schemas.openxmlformats.org/officeDocument/2006/customXml" ds:itemID="{2F0F2E7A-4611-4BF1-906D-F5591332C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273</TotalTime>
  <Pages>30</Pages>
  <Words>10493</Words>
  <Characters>62961</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Warjas Renata</cp:lastModifiedBy>
  <cp:revision>41</cp:revision>
  <cp:lastPrinted>2018-05-25T12:56:00Z</cp:lastPrinted>
  <dcterms:created xsi:type="dcterms:W3CDTF">2024-10-04T06:14:00Z</dcterms:created>
  <dcterms:modified xsi:type="dcterms:W3CDTF">2025-04-04T10:50:00Z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