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jc w:val="center"/>
        <w:rPr>
          <w:b/>
          <w:color w:val="C9211E"/>
          <w:sz w:val="34"/>
          <w:szCs w:val="34"/>
          <w:highlight w:val="yellow"/>
        </w:rPr>
      </w:pPr>
      <w:r>
        <w:rPr>
          <w:b/>
          <w:color w:val="C9211E"/>
          <w:sz w:val="34"/>
          <w:szCs w:val="34"/>
          <w:highlight w:val="yellow"/>
        </w:rPr>
      </w:r>
    </w:p>
    <w:p>
      <w:pPr>
        <w:pStyle w:val="Normal"/>
        <w:jc w:val="center"/>
        <w:rPr>
          <w:b/>
          <w:sz w:val="34"/>
          <w:szCs w:val="34"/>
        </w:rPr>
      </w:pPr>
      <w:r>
        <w:rPr>
          <w:b/>
          <w:sz w:val="34"/>
          <w:szCs w:val="34"/>
        </w:rPr>
        <w:t>SPECYFIKACJA WARUNKÓW ZAMÓWIENIA</w:t>
      </w:r>
    </w:p>
    <w:p>
      <w:pPr>
        <w:pStyle w:val="Normal"/>
        <w:jc w:val="center"/>
        <w:rPr/>
      </w:pPr>
      <w:r>
        <w:rPr/>
      </w:r>
    </w:p>
    <w:p>
      <w:pPr>
        <w:pStyle w:val="Normal"/>
        <w:jc w:val="center"/>
        <w:rPr/>
      </w:pPr>
      <w:r>
        <w:rPr/>
      </w:r>
    </w:p>
    <w:p>
      <w:pPr>
        <w:pStyle w:val="Normal"/>
        <w:jc w:val="center"/>
        <w:rPr>
          <w:sz w:val="24"/>
          <w:szCs w:val="24"/>
        </w:rPr>
      </w:pPr>
      <w:r>
        <w:rPr>
          <w:b/>
        </w:rPr>
        <w:t>ZAMAWIAJĄCY:</w:t>
      </w:r>
    </w:p>
    <w:p>
      <w:pPr>
        <w:pStyle w:val="Normal"/>
        <w:jc w:val="center"/>
        <w:rPr>
          <w:sz w:val="24"/>
          <w:szCs w:val="24"/>
        </w:rPr>
      </w:pPr>
      <w:r>
        <w:rPr>
          <w:sz w:val="24"/>
          <w:szCs w:val="24"/>
        </w:rPr>
      </w:r>
    </w:p>
    <w:p>
      <w:pPr>
        <w:pStyle w:val="Normal"/>
        <w:jc w:val="center"/>
        <w:rPr>
          <w:sz w:val="24"/>
          <w:szCs w:val="24"/>
        </w:rPr>
      </w:pPr>
      <w:r>
        <w:rPr>
          <w:b/>
          <w:bCs/>
          <w:sz w:val="24"/>
          <w:szCs w:val="24"/>
        </w:rPr>
        <w:t>Zakład Gospodarki Mieszkaniowej Sp. z o.o.</w:t>
      </w:r>
    </w:p>
    <w:p>
      <w:pPr>
        <w:pStyle w:val="Normal"/>
        <w:jc w:val="center"/>
        <w:rPr>
          <w:sz w:val="24"/>
          <w:szCs w:val="24"/>
        </w:rPr>
      </w:pPr>
      <w:r>
        <w:rPr>
          <w:sz w:val="24"/>
          <w:szCs w:val="24"/>
        </w:rPr>
        <w:t>ul. Rawska 33</w:t>
      </w:r>
    </w:p>
    <w:p>
      <w:pPr>
        <w:pStyle w:val="Normal"/>
        <w:jc w:val="center"/>
        <w:rPr>
          <w:sz w:val="24"/>
          <w:szCs w:val="24"/>
        </w:rPr>
      </w:pPr>
      <w:r>
        <w:rPr>
          <w:sz w:val="24"/>
          <w:szCs w:val="24"/>
        </w:rPr>
        <w:t>96-100 Skierniewice</w:t>
      </w:r>
    </w:p>
    <w:p>
      <w:pPr>
        <w:pStyle w:val="Normal"/>
        <w:jc w:val="center"/>
        <w:rPr/>
      </w:pPr>
      <w:r>
        <w:rPr/>
      </w:r>
    </w:p>
    <w:p>
      <w:pPr>
        <w:pStyle w:val="Normal"/>
        <w:spacing w:lineRule="auto" w:line="360" w:before="240" w:after="0"/>
        <w:jc w:val="center"/>
        <w:rPr/>
      </w:pPr>
      <w:r>
        <w:rPr>
          <w:rStyle w:val="Domylnaczcionkaakapitu1"/>
          <w:sz w:val="20"/>
          <w:szCs w:val="20"/>
        </w:rPr>
        <w:t>Zaprasza do złożenia oferty w trybie art. 275 pkt 1 (trybie podstawowym bez negocjacji) o wartości zamówienia nieprzekraczającej progów unijnych, o jakich stanowi art. 3 ustawy z 11 września 2019 r. - Prawo zamówień publicznych (tj. Dz. U. z 2024 r. poz. 1320 z późn.zm.) – dalej ustawy PZP pn:</w:t>
      </w:r>
    </w:p>
    <w:p>
      <w:pPr>
        <w:pStyle w:val="Normal"/>
        <w:spacing w:lineRule="auto" w:line="360" w:before="240" w:after="0"/>
        <w:jc w:val="center"/>
        <w:rPr>
          <w:rStyle w:val="Domylnaczcionkaakapitu1"/>
          <w:rFonts w:eastAsia="Times New Roman"/>
          <w:b/>
          <w:bCs/>
          <w:iCs/>
          <w:color w:val="000000"/>
          <w:highlight w:val="white"/>
          <w:shd w:fill="FFFFFF" w:val="clear"/>
          <w:lang w:eastAsia="pl-PL" w:bidi="ar-SA"/>
        </w:rPr>
      </w:pPr>
      <w:r>
        <w:rPr>
          <w:rStyle w:val="Domylnaczcionkaakapitu1"/>
          <w:rFonts w:eastAsia="Times New Roman"/>
          <w:b/>
          <w:bCs/>
          <w:iCs/>
          <w:color w:val="000000"/>
          <w:highlight w:val="white"/>
          <w:shd w:fill="FFFFFF" w:val="clear"/>
          <w:lang w:eastAsia="pl-PL" w:bidi="ar-SA"/>
        </w:rPr>
        <w:t xml:space="preserve">Budowa wielorodzinnego budynku mieszkalnego </w:t>
      </w:r>
    </w:p>
    <w:p>
      <w:pPr>
        <w:pStyle w:val="Normal"/>
        <w:spacing w:lineRule="auto" w:line="360" w:before="240" w:after="0"/>
        <w:jc w:val="center"/>
        <w:rPr/>
      </w:pPr>
      <w:r>
        <w:rPr>
          <w:rStyle w:val="Domylnaczcionkaakapitu1"/>
          <w:rFonts w:eastAsia="Times New Roman"/>
          <w:b/>
          <w:bCs/>
          <w:iCs/>
          <w:color w:val="000000"/>
          <w:highlight w:val="white"/>
          <w:shd w:fill="FFFFFF" w:val="clear"/>
          <w:lang w:eastAsia="pl-PL" w:bidi="ar-SA"/>
        </w:rPr>
        <w:t>przy ul. Miedniewickiej w Skierniewicach</w:t>
      </w:r>
      <w:r>
        <w:rPr>
          <w:rStyle w:val="Domylnaczcionkaakapitu1"/>
          <w:rFonts w:eastAsia="Times New Roman" w:cs="Times New Roman" w:ascii="Times New Roman" w:hAnsi="Times New Roman"/>
          <w:b/>
          <w:bCs/>
          <w:iCs/>
          <w:color w:val="000000"/>
          <w:sz w:val="16"/>
          <w:szCs w:val="16"/>
          <w:highlight w:val="white"/>
          <w:shd w:fill="FFFFFF" w:val="clear"/>
          <w:lang w:eastAsia="pl-PL" w:bidi="ar-SA"/>
        </w:rPr>
        <w:t xml:space="preserve"> </w:t>
      </w:r>
      <w:r>
        <w:rPr>
          <w:rStyle w:val="Domylnaczcionkaakapitu1"/>
          <w:rFonts w:eastAsia="Times New Roman" w:cs="Times New Roman"/>
          <w:b/>
          <w:bCs/>
          <w:iCs/>
          <w:color w:val="000000"/>
          <w:highlight w:val="white"/>
          <w:shd w:fill="FFFFFF" w:val="clear"/>
          <w:lang w:eastAsia="pl-PL" w:bidi="ar-SA"/>
        </w:rPr>
        <w:t>– etap II</w:t>
      </w:r>
    </w:p>
    <w:p>
      <w:pPr>
        <w:pStyle w:val="Normal"/>
        <w:jc w:val="center"/>
        <w:rPr>
          <w:rFonts w:ascii="Times New Roman" w:hAnsi="Times New Roman" w:eastAsia="Times New Roman" w:cs="Times New Roman"/>
          <w:sz w:val="16"/>
          <w:szCs w:val="16"/>
          <w:lang w:eastAsia="pl-PL" w:bidi="ar-SA"/>
        </w:rPr>
      </w:pPr>
      <w:r>
        <w:rPr>
          <w:rFonts w:eastAsia="Times New Roman" w:cs="Times New Roman" w:ascii="Times New Roman" w:hAnsi="Times New Roman"/>
          <w:sz w:val="16"/>
          <w:szCs w:val="16"/>
          <w:lang w:eastAsia="pl-PL" w:bidi="ar-SA"/>
        </w:rPr>
      </w:r>
    </w:p>
    <w:p>
      <w:pPr>
        <w:pStyle w:val="Normal"/>
        <w:jc w:val="center"/>
        <w:rPr>
          <w:rFonts w:ascii="Times New Roman" w:hAnsi="Times New Roman" w:eastAsia="Times New Roman" w:cs="Times New Roman"/>
          <w:color w:val="FF0000"/>
          <w:sz w:val="16"/>
          <w:szCs w:val="16"/>
          <w:lang w:eastAsia="pl-PL" w:bidi="ar-SA"/>
        </w:rPr>
      </w:pPr>
      <w:r>
        <w:rPr>
          <w:rFonts w:eastAsia="Times New Roman" w:cs="Times New Roman" w:ascii="Times New Roman" w:hAnsi="Times New Roman"/>
          <w:color w:val="FF0000"/>
          <w:sz w:val="16"/>
          <w:szCs w:val="16"/>
          <w:lang w:eastAsia="pl-PL" w:bidi="ar-SA"/>
        </w:rPr>
      </w:r>
    </w:p>
    <w:p>
      <w:pPr>
        <w:pStyle w:val="Normal"/>
        <w:jc w:val="center"/>
        <w:rPr/>
      </w:pPr>
      <w:r>
        <w:rPr/>
        <w:t>Nr postępowania: ZP/1/2026</w:t>
      </w:r>
    </w:p>
    <w:p>
      <w:pPr>
        <w:pStyle w:val="Normal"/>
        <w:jc w:val="center"/>
        <w:rPr>
          <w:color w:val="FF0000"/>
        </w:rPr>
      </w:pPr>
      <w:r>
        <w:rPr>
          <w:color w:val="FF0000"/>
        </w:rPr>
      </w:r>
    </w:p>
    <w:p>
      <w:pPr>
        <w:pStyle w:val="Heading1"/>
        <w:numPr>
          <w:ilvl w:val="0"/>
          <w:numId w:val="1"/>
        </w:numPr>
        <w:jc w:val="center"/>
        <w:rPr>
          <w:rFonts w:hint="eastAsia"/>
          <w:color w:val="FF0000"/>
        </w:rPr>
      </w:pPr>
      <w:r>
        <w:rPr>
          <w:rFonts w:hint="eastAsia"/>
          <w:color w:val="FF0000"/>
        </w:rPr>
      </w:r>
    </w:p>
    <w:p>
      <w:pPr>
        <w:pStyle w:val="Heading1"/>
        <w:rPr>
          <w:rFonts w:hint="eastAsia"/>
          <w:color w:val="FF0000"/>
        </w:rPr>
      </w:pPr>
      <w:r>
        <w:rPr>
          <w:rFonts w:hint="eastAsia"/>
          <w:color w:val="FF0000"/>
        </w:rPr>
      </w:r>
    </w:p>
    <w:p>
      <w:pPr>
        <w:pStyle w:val="Normal"/>
        <w:rPr>
          <w:sz w:val="20"/>
          <w:szCs w:val="20"/>
        </w:rPr>
      </w:pPr>
      <w:r>
        <w:rPr>
          <w:sz w:val="20"/>
          <w:szCs w:val="20"/>
        </w:rPr>
        <w:tab/>
        <w:tab/>
        <w:tab/>
        <w:tab/>
        <w:tab/>
        <w:tab/>
        <w:tab/>
        <w:tab/>
        <w:tab/>
      </w:r>
    </w:p>
    <w:p>
      <w:pPr>
        <w:pStyle w:val="Normal"/>
        <w:rPr>
          <w:sz w:val="20"/>
          <w:szCs w:val="20"/>
        </w:rPr>
      </w:pPr>
      <w:r>
        <w:rPr>
          <w:sz w:val="20"/>
          <w:szCs w:val="20"/>
        </w:rPr>
        <w:tab/>
        <w:tab/>
        <w:tab/>
        <w:tab/>
        <w:tab/>
        <w:tab/>
        <w:tab/>
        <w:tab/>
        <w:tab/>
        <w:t>Zatwierdził:</w:t>
      </w:r>
    </w:p>
    <w:p>
      <w:pPr>
        <w:pStyle w:val="Normal"/>
        <w:rPr/>
      </w:pPr>
      <w:r>
        <w:rPr/>
      </w:r>
    </w:p>
    <w:p>
      <w:pPr>
        <w:pStyle w:val="Normal"/>
        <w:rPr/>
      </w:pPr>
      <w:r>
        <w:rPr>
          <w:i/>
          <w:iCs/>
          <w:sz w:val="20"/>
          <w:szCs w:val="20"/>
        </w:rPr>
        <w:tab/>
        <w:tab/>
        <w:tab/>
        <w:tab/>
        <w:tab/>
        <w:tab/>
        <w:tab/>
        <w:tab/>
        <w:t xml:space="preserve">        </w:t>
      </w:r>
      <w:r>
        <w:rPr>
          <w:sz w:val="20"/>
          <w:szCs w:val="20"/>
        </w:rPr>
        <w:t>Prezes Zarządu</w:t>
      </w:r>
    </w:p>
    <w:p>
      <w:pPr>
        <w:pStyle w:val="Normal"/>
        <w:rPr/>
      </w:pPr>
      <w:r>
        <w:rPr/>
      </w:r>
    </w:p>
    <w:p>
      <w:pPr>
        <w:pStyle w:val="Normal"/>
        <w:rPr>
          <w:i/>
          <w:iCs/>
          <w:sz w:val="20"/>
          <w:szCs w:val="20"/>
        </w:rPr>
      </w:pPr>
      <w:r>
        <w:rPr>
          <w:sz w:val="20"/>
          <w:szCs w:val="20"/>
        </w:rPr>
        <w:tab/>
        <w:tab/>
        <w:tab/>
        <w:tab/>
        <w:tab/>
        <w:tab/>
        <w:tab/>
        <w:tab/>
        <w:t xml:space="preserve">        Łukasz Paruzel</w:t>
      </w:r>
    </w:p>
    <w:p>
      <w:pPr>
        <w:pStyle w:val="Normal"/>
        <w:rPr>
          <w:sz w:val="20"/>
          <w:szCs w:val="20"/>
        </w:rPr>
      </w:pPr>
      <w:r>
        <w:rPr>
          <w:i/>
          <w:iCs/>
          <w:sz w:val="20"/>
          <w:szCs w:val="20"/>
        </w:rPr>
        <w:tab/>
        <w:tab/>
        <w:tab/>
        <w:tab/>
        <w:tab/>
        <w:tab/>
        <w:tab/>
        <w:tab/>
      </w:r>
    </w:p>
    <w:p>
      <w:pPr>
        <w:pStyle w:val="Normal"/>
        <w:jc w:val="both"/>
        <w:rPr>
          <w:sz w:val="20"/>
          <w:szCs w:val="20"/>
        </w:rPr>
      </w:pPr>
      <w:r>
        <w:rPr>
          <w:sz w:val="20"/>
          <w:szCs w:val="20"/>
        </w:rPr>
        <w:tab/>
        <w:tab/>
        <w:tab/>
        <w:tab/>
        <w:tab/>
        <w:tab/>
        <w:tab/>
        <w:tab/>
        <w:t>...............................................</w:t>
      </w:r>
    </w:p>
    <w:p>
      <w:pPr>
        <w:pStyle w:val="Normal"/>
        <w:jc w:val="center"/>
        <w:rPr>
          <w:sz w:val="20"/>
          <w:szCs w:val="20"/>
        </w:rPr>
      </w:pPr>
      <w:r>
        <w:rPr>
          <w:sz w:val="20"/>
          <w:szCs w:val="20"/>
        </w:rPr>
        <w:tab/>
        <w:tab/>
        <w:tab/>
        <w:tab/>
        <w:tab/>
        <w:tab/>
        <w:tab/>
        <w:t>(podpis</w:t>
      </w:r>
      <w:r>
        <w:rPr>
          <w:rFonts w:eastAsia="Nimbus Roman No9 L;Times New Ro"/>
          <w:sz w:val="20"/>
          <w:szCs w:val="20"/>
        </w:rPr>
        <w:t xml:space="preserve"> </w:t>
      </w:r>
      <w:r>
        <w:rPr>
          <w:sz w:val="20"/>
          <w:szCs w:val="20"/>
        </w:rPr>
        <w:t>osoby</w:t>
      </w:r>
      <w:r>
        <w:rPr>
          <w:rFonts w:eastAsia="Nimbus Roman No9 L;Times New Ro"/>
          <w:sz w:val="20"/>
          <w:szCs w:val="20"/>
        </w:rPr>
        <w:t xml:space="preserve"> </w:t>
      </w:r>
      <w:r>
        <w:rPr>
          <w:sz w:val="20"/>
          <w:szCs w:val="20"/>
        </w:rPr>
        <w:t>upoważnionej)</w:t>
      </w:r>
    </w:p>
    <w:p>
      <w:pPr>
        <w:pStyle w:val="Normal"/>
        <w:rPr>
          <w:sz w:val="20"/>
          <w:szCs w:val="20"/>
        </w:rPr>
      </w:pPr>
      <w:r>
        <w:rPr>
          <w:sz w:val="20"/>
          <w:szCs w:val="20"/>
        </w:rPr>
        <w:tab/>
        <w:tab/>
        <w:tab/>
        <w:tab/>
        <w:tab/>
        <w:tab/>
        <w:tab/>
      </w:r>
    </w:p>
    <w:p>
      <w:pPr>
        <w:pStyle w:val="Normal"/>
        <w:rPr>
          <w:sz w:val="20"/>
          <w:szCs w:val="20"/>
        </w:rPr>
      </w:pPr>
      <w:r>
        <w:rPr>
          <w:sz w:val="20"/>
          <w:szCs w:val="20"/>
        </w:rPr>
      </w:r>
    </w:p>
    <w:p>
      <w:pPr>
        <w:pStyle w:val="Normal"/>
        <w:rPr/>
        <w:sectPr>
          <w:type w:val="nextPage"/>
          <w:pgSz w:w="11906" w:h="16838"/>
          <w:pgMar w:left="1440" w:right="1440" w:gutter="0" w:header="0" w:top="1440" w:footer="0" w:bottom="1440"/>
          <w:pgNumType w:start="1" w:fmt="decimal"/>
          <w:formProt w:val="false"/>
          <w:textDirection w:val="lrTb"/>
          <w:docGrid w:type="default" w:linePitch="600" w:charSpace="36864"/>
        </w:sectPr>
      </w:pPr>
      <w:r>
        <w:rPr>
          <w:sz w:val="20"/>
          <w:szCs w:val="20"/>
        </w:rPr>
        <w:tab/>
        <w:tab/>
        <w:tab/>
        <w:tab/>
        <w:tab/>
        <w:tab/>
        <w:tab/>
        <w:tab/>
        <w:t>Skierniewice, dnia 15.05.2026r.</w:t>
      </w:r>
    </w:p>
    <w:p>
      <w:pPr>
        <w:pStyle w:val="Heading2"/>
        <w:numPr>
          <w:ilvl w:val="1"/>
          <w:numId w:val="1"/>
        </w:numPr>
        <w:tabs>
          <w:tab w:val="clear" w:pos="720"/>
          <w:tab w:val="left" w:pos="0" w:leader="none"/>
        </w:tabs>
        <w:jc w:val="both"/>
        <w:rPr>
          <w:rFonts w:hint="eastAsia"/>
        </w:rPr>
      </w:pPr>
      <w:bookmarkStart w:id="0" w:name="_kabgz8l7slm3"/>
      <w:bookmarkEnd w:id="0"/>
      <w:r>
        <w:rPr>
          <w:sz w:val="30"/>
          <w:szCs w:val="30"/>
        </w:rPr>
        <w:t>I. Nazwa oraz adres Zamawiającego</w:t>
      </w:r>
    </w:p>
    <w:p>
      <w:pPr>
        <w:pStyle w:val="Normal"/>
        <w:jc w:val="both"/>
        <w:rPr/>
      </w:pPr>
      <w:r>
        <w:rPr/>
        <w:t>Zakład Gospodarki Mieszkaniowej Sp. z o.o.</w:t>
      </w:r>
    </w:p>
    <w:p>
      <w:pPr>
        <w:pStyle w:val="Normal"/>
        <w:jc w:val="both"/>
        <w:rPr/>
      </w:pPr>
      <w:r>
        <w:rPr/>
        <w:t>ul. Rawska 33</w:t>
      </w:r>
    </w:p>
    <w:p>
      <w:pPr>
        <w:pStyle w:val="Normal"/>
        <w:jc w:val="both"/>
        <w:rPr/>
      </w:pPr>
      <w:r>
        <w:rPr/>
        <w:t>96-100 Skierniewice</w:t>
      </w:r>
    </w:p>
    <w:p>
      <w:pPr>
        <w:pStyle w:val="Normal"/>
        <w:jc w:val="both"/>
        <w:rPr/>
      </w:pPr>
      <w:r>
        <w:rPr/>
        <w:t>NIP: 836-13-31-403</w:t>
      </w:r>
    </w:p>
    <w:p>
      <w:pPr>
        <w:pStyle w:val="Normal"/>
        <w:jc w:val="both"/>
        <w:rPr>
          <w:rStyle w:val="Domylnaczcionkaakapitu1"/>
        </w:rPr>
      </w:pPr>
      <w:r>
        <w:rPr/>
        <w:t>REGON: 750051353</w:t>
      </w:r>
    </w:p>
    <w:p>
      <w:pPr>
        <w:pStyle w:val="Normal"/>
        <w:spacing w:lineRule="auto" w:line="240"/>
        <w:jc w:val="both"/>
        <w:rPr>
          <w:rStyle w:val="Domylnaczcionkaakapitu1"/>
          <w:sz w:val="20"/>
          <w:szCs w:val="20"/>
          <w:lang w:val="de-DE"/>
        </w:rPr>
      </w:pPr>
      <w:r>
        <w:rPr>
          <w:rStyle w:val="Domylnaczcionkaakapitu1"/>
        </w:rPr>
        <w:t>tel.</w:t>
      </w:r>
      <w:r>
        <w:rPr>
          <w:rStyle w:val="Domylnaczcionkaakapitu1"/>
          <w:b/>
        </w:rPr>
        <w:t xml:space="preserve"> </w:t>
      </w:r>
      <w:r>
        <w:rPr>
          <w:rStyle w:val="Domylnaczcionkaakapitu1"/>
        </w:rPr>
        <w:t>46 833 26 53</w:t>
      </w:r>
    </w:p>
    <w:p>
      <w:pPr>
        <w:pStyle w:val="Normal"/>
        <w:spacing w:lineRule="auto" w:line="240"/>
        <w:jc w:val="both"/>
        <w:rPr/>
      </w:pPr>
      <w:r>
        <w:rPr>
          <w:rStyle w:val="Domylnaczcionkaakapitu1"/>
        </w:rPr>
        <w:t>adres e-mail</w:t>
      </w:r>
      <w:r>
        <w:rPr>
          <w:rStyle w:val="Domylnaczcionkaakapitu1"/>
          <w:lang w:val="de-DE"/>
        </w:rPr>
        <w:t xml:space="preserve">: </w:t>
      </w:r>
      <w:hyperlink r:id="rId2">
        <w:r>
          <w:rPr>
            <w:rStyle w:val="Style1"/>
            <w:color w:val="000080"/>
            <w:u w:val="single"/>
            <w:lang w:val="de-DE"/>
          </w:rPr>
          <w:t>sekretariat@zgmskierniewice.com.pl</w:t>
        </w:r>
      </w:hyperlink>
      <w:r>
        <w:rPr>
          <w:lang w:val="de-DE"/>
        </w:rPr>
        <w:t xml:space="preserve"> </w:t>
      </w:r>
    </w:p>
    <w:p>
      <w:pPr>
        <w:pStyle w:val="Normal"/>
        <w:spacing w:lineRule="auto" w:line="240"/>
        <w:jc w:val="both"/>
        <w:rPr>
          <w:rFonts w:cs="Calibri"/>
          <w:bCs/>
          <w:lang w:val="de-DE"/>
        </w:rPr>
      </w:pPr>
      <w:r>
        <w:rPr>
          <w:rFonts w:cs="Calibri"/>
          <w:bCs/>
          <w:lang w:val="de-DE"/>
        </w:rPr>
      </w:r>
    </w:p>
    <w:p>
      <w:pPr>
        <w:pStyle w:val="Normal"/>
        <w:spacing w:before="240" w:after="240"/>
        <w:jc w:val="both"/>
        <w:rPr>
          <w:rFonts w:cs="Calibri"/>
          <w:b/>
          <w:bCs/>
        </w:rPr>
      </w:pPr>
      <w:r>
        <w:rPr/>
        <w:t>Godziny pracy Zamawiającego: Poniedziałek – Piątek 7:00 – 15:00.</w:t>
      </w:r>
    </w:p>
    <w:p>
      <w:pPr>
        <w:pStyle w:val="NormalWeb"/>
        <w:spacing w:lineRule="auto" w:line="240" w:before="0" w:after="0"/>
        <w:jc w:val="both"/>
        <w:rPr>
          <w:b/>
          <w:bCs/>
          <w:color w:val="000000"/>
        </w:rPr>
      </w:pPr>
      <w:r>
        <w:rPr>
          <w:rFonts w:cs="Calibri"/>
          <w:b/>
          <w:bCs/>
        </w:rPr>
        <w:t>Adres strony internetowej, na której prowadzone jest postępowanie:</w:t>
      </w:r>
    </w:p>
    <w:p>
      <w:pPr>
        <w:pStyle w:val="Normal"/>
        <w:tabs>
          <w:tab w:val="clear" w:pos="720"/>
          <w:tab w:val="left" w:pos="360" w:leader="none"/>
        </w:tabs>
        <w:spacing w:lineRule="auto" w:line="240" w:before="240" w:after="240"/>
        <w:jc w:val="both"/>
        <w:rPr>
          <w:rFonts w:cs="Calibri"/>
          <w:b/>
          <w:bCs/>
        </w:rPr>
      </w:pPr>
      <w:r>
        <w:rPr>
          <w:b/>
          <w:bCs/>
          <w:color w:val="000000"/>
        </w:rPr>
        <w:t>https://ezamowienia.gov.pl/</w:t>
      </w:r>
    </w:p>
    <w:p>
      <w:pPr>
        <w:pStyle w:val="NormalWeb"/>
        <w:spacing w:lineRule="auto" w:line="240" w:before="0" w:after="0"/>
        <w:jc w:val="both"/>
        <w:rPr>
          <w:rFonts w:cs="Calibri"/>
          <w:b/>
          <w:bCs/>
        </w:rPr>
      </w:pPr>
      <w:r>
        <w:rPr>
          <w:rFonts w:cs="Calibri"/>
          <w:b/>
          <w:bCs/>
        </w:rPr>
      </w:r>
    </w:p>
    <w:p>
      <w:pPr>
        <w:pStyle w:val="Normal"/>
        <w:tabs>
          <w:tab w:val="clear" w:pos="720"/>
          <w:tab w:val="left" w:pos="558" w:leader="none"/>
        </w:tabs>
        <w:spacing w:before="0" w:after="180"/>
        <w:jc w:val="both"/>
        <w:rPr/>
      </w:pPr>
      <w:r>
        <w:rPr>
          <w:b/>
          <w:bCs/>
        </w:rPr>
        <w:t>Adres strony internetowej, na której udostępniane będą zmiany i wyjaśnienia treści SWZ oraz inne dokumenty zamówienia bezpośrednio związane z postępowaniem o udzielenie zamówienia:</w:t>
      </w:r>
    </w:p>
    <w:p>
      <w:pPr>
        <w:pStyle w:val="Normal"/>
        <w:tabs>
          <w:tab w:val="clear" w:pos="720"/>
          <w:tab w:val="left" w:pos="558" w:leader="none"/>
        </w:tabs>
        <w:spacing w:before="0" w:after="180"/>
        <w:jc w:val="both"/>
        <w:rPr/>
      </w:pPr>
      <w:hyperlink r:id="rId3">
        <w:r>
          <w:rPr>
            <w:rStyle w:val="Style1"/>
            <w:b/>
            <w:bCs/>
            <w:color w:val="000000"/>
            <w:u w:val="none"/>
          </w:rPr>
          <w:t>https://ezamowienia.gov.pl/</w:t>
        </w:r>
      </w:hyperlink>
    </w:p>
    <w:p>
      <w:pPr>
        <w:pStyle w:val="Heading2"/>
        <w:numPr>
          <w:ilvl w:val="1"/>
          <w:numId w:val="1"/>
        </w:numPr>
        <w:tabs>
          <w:tab w:val="clear" w:pos="720"/>
          <w:tab w:val="left" w:pos="0" w:leader="none"/>
        </w:tabs>
        <w:spacing w:before="240" w:after="240"/>
        <w:jc w:val="both"/>
        <w:rPr>
          <w:rFonts w:hint="eastAsia"/>
        </w:rPr>
      </w:pPr>
      <w:r>
        <w:rPr/>
        <w:t xml:space="preserve">II. </w:t>
      </w:r>
      <w:r>
        <w:rPr>
          <w:rStyle w:val="Domylnaczcionkaakapitu1"/>
          <w:sz w:val="30"/>
          <w:szCs w:val="30"/>
        </w:rPr>
        <w:t>OBOWIĄZEK INFORMACYJNY DOTYCZĄCY PRZETWARZANIA DANYCH OSOBOWYCH</w:t>
      </w:r>
    </w:p>
    <w:p>
      <w:pPr>
        <w:pStyle w:val="Normal"/>
        <w:numPr>
          <w:ilvl w:val="0"/>
          <w:numId w:val="3"/>
        </w:numPr>
        <w:ind w:hanging="401" w:left="709"/>
        <w:jc w:val="both"/>
        <w:rPr/>
      </w:pPr>
      <w:r>
        <w:rPr/>
        <w:t>Administratorem Pani/Pana danych osobowych jest ZGM Sp. z o.o., ul. Rawska 33,                96-100 Skierniewice.</w:t>
      </w:r>
    </w:p>
    <w:p>
      <w:pPr>
        <w:pStyle w:val="Normal"/>
        <w:numPr>
          <w:ilvl w:val="0"/>
          <w:numId w:val="3"/>
        </w:numPr>
        <w:ind w:hanging="401" w:left="709"/>
        <w:jc w:val="both"/>
        <w:rPr/>
      </w:pPr>
      <w:r>
        <w:rPr/>
        <w:t xml:space="preserve">Kontakt z inspektorem ochrony danych osobowych, powołanym przez Administratora: </w:t>
      </w:r>
      <w:r>
        <w:rPr>
          <w:rStyle w:val="Domylnaczcionkaakapitu1"/>
          <w:strike/>
        </w:rPr>
        <w:t xml:space="preserve"> </w:t>
      </w:r>
      <w:r>
        <w:rPr/>
        <w:t xml:space="preserve">Inspektor Danych Osobowych, ZGM Sp. z o.o., ul. Rawska 33, 96-100 Skierniewice, </w:t>
      </w:r>
      <w:r>
        <w:rPr>
          <w:rStyle w:val="Domylnaczcionkaakapitu1"/>
        </w:rPr>
        <w:t xml:space="preserve">  </w:t>
      </w:r>
      <w:r>
        <w:rPr>
          <w:rStyle w:val="Domylnaczcionkaakapitu1"/>
          <w:strike/>
        </w:rPr>
        <w:t xml:space="preserve">    </w:t>
      </w:r>
      <w:r>
        <w:rPr/>
        <w:t>e-mail: sekretariat</w:t>
      </w:r>
      <w:r>
        <w:rPr>
          <w:rStyle w:val="Domylnaczcionkaakapitu1"/>
          <w:lang w:eastAsia="pl-PL"/>
        </w:rPr>
        <w:t>@zgmskierniewice.com.pl.</w:t>
      </w:r>
    </w:p>
    <w:p>
      <w:pPr>
        <w:pStyle w:val="Normal"/>
        <w:numPr>
          <w:ilvl w:val="0"/>
          <w:numId w:val="3"/>
        </w:numPr>
        <w:ind w:hanging="401" w:left="709"/>
        <w:jc w:val="both"/>
        <w:rPr/>
      </w:pPr>
      <w:r>
        <w:rPr/>
        <w:t xml:space="preserve">Pani/Pana dane osobowe przetwarzane będą na podstawie ustawy Prawo zamówień publicznych (dalej „ustawa PZP” lub „PZP”) w celu związanym z postępowaniem </w:t>
        <w:tab/>
        <w:tab/>
        <w:t>o udzielenie zamówienia publicznego, prowadzonym w trybie podstawowym</w:t>
      </w:r>
    </w:p>
    <w:p>
      <w:pPr>
        <w:pStyle w:val="Normal"/>
        <w:numPr>
          <w:ilvl w:val="0"/>
          <w:numId w:val="3"/>
        </w:numPr>
        <w:ind w:hanging="401" w:left="709"/>
        <w:jc w:val="both"/>
        <w:rPr/>
      </w:pPr>
      <w:r>
        <w:rPr/>
        <w:t>Odbiorcami Pani/Pana danych osobowych będą osoby lub podmioty, którym udostępniona zostanie dokumentacja postępowania w oparciu o ustawę PZP;</w:t>
      </w:r>
    </w:p>
    <w:p>
      <w:pPr>
        <w:pStyle w:val="Normal"/>
        <w:numPr>
          <w:ilvl w:val="0"/>
          <w:numId w:val="3"/>
        </w:numPr>
        <w:ind w:hanging="401" w:left="709"/>
        <w:jc w:val="both"/>
        <w:rPr/>
      </w:pPr>
      <w:r>
        <w:rPr/>
        <w:t>Pani/Pana dane osobowe będą przechowywane przez okres 4 lat od dnia zakończenia postępowania o udzielenie zamówienia, a jeżeli czas trwania umowy przekracza 4 lata, okres przechowywania obejmuje cały czas trwania umowy.</w:t>
      </w:r>
    </w:p>
    <w:p>
      <w:pPr>
        <w:pStyle w:val="Normal"/>
        <w:numPr>
          <w:ilvl w:val="0"/>
          <w:numId w:val="3"/>
        </w:numPr>
        <w:ind w:hanging="401" w:left="709"/>
        <w:jc w:val="both"/>
        <w:rPr/>
      </w:pPr>
      <w:r>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pPr>
        <w:pStyle w:val="Normal"/>
        <w:numPr>
          <w:ilvl w:val="0"/>
          <w:numId w:val="3"/>
        </w:numPr>
        <w:ind w:hanging="401" w:left="709"/>
        <w:jc w:val="both"/>
        <w:rPr/>
      </w:pPr>
      <w:r>
        <w:rPr/>
        <w:t>W odniesieniu do Pani/Pana danych osobowych decyzje nie będą podejmowane</w:t>
        <w:tab/>
        <w:tab/>
        <w:t>w sposób zautomatyzowany.</w:t>
      </w:r>
    </w:p>
    <w:p>
      <w:pPr>
        <w:pStyle w:val="Normal"/>
        <w:numPr>
          <w:ilvl w:val="0"/>
          <w:numId w:val="3"/>
        </w:numPr>
        <w:ind w:hanging="401" w:left="709"/>
        <w:jc w:val="both"/>
        <w:rPr/>
      </w:pPr>
      <w:r>
        <w:rPr/>
        <w:t>Posiada Pani/Pan:</w:t>
      </w:r>
    </w:p>
    <w:p>
      <w:pPr>
        <w:pStyle w:val="Normal"/>
        <w:numPr>
          <w:ilvl w:val="0"/>
          <w:numId w:val="4"/>
        </w:numPr>
        <w:ind w:hanging="462" w:left="1064"/>
        <w:jc w:val="both"/>
        <w:rPr/>
      </w:pPr>
      <w:r>
        <w:rPr/>
        <w:t>prawo dostępu do danych osobowych Pani/Pana;</w:t>
      </w:r>
    </w:p>
    <w:p>
      <w:pPr>
        <w:pStyle w:val="Normal"/>
        <w:numPr>
          <w:ilvl w:val="0"/>
          <w:numId w:val="4"/>
        </w:numPr>
        <w:ind w:hanging="462" w:left="1064"/>
        <w:jc w:val="both"/>
        <w:rPr/>
      </w:pPr>
      <w:r>
        <w:rPr/>
        <w:t>prawo do sprostowania Pani/Pana danych osobowych (</w:t>
      </w:r>
      <w:r>
        <w:rPr>
          <w:rStyle w:val="Domylnaczcionkaakapitu1"/>
          <w:i/>
        </w:rPr>
        <w:t xml:space="preserve">skorzystanie z prawa </w:t>
        <w:tab/>
        <w:t>do sprostowania nie może skutkować zmianą wyniku postępowania o udzielenie zamówienia publicznego ani zmianą postanowień umowy w zakresie niezgodnym   z ustawą PZP oraz nie może naruszać integralności protokołu oraz jego załączników</w:t>
      </w:r>
      <w:r>
        <w:rPr/>
        <w:t>);</w:t>
      </w:r>
    </w:p>
    <w:p>
      <w:pPr>
        <w:pStyle w:val="Normal"/>
        <w:numPr>
          <w:ilvl w:val="0"/>
          <w:numId w:val="4"/>
        </w:numPr>
        <w:ind w:hanging="462" w:left="1064"/>
        <w:jc w:val="both"/>
        <w:rPr/>
      </w:pPr>
      <w:r>
        <w:rPr/>
        <w:t>prawo żądania od administratora ograniczenia przetwarzania danych osobowych (skorzystanie z prawa do ograniczenia przetwarzania nie ogranicza przetwarzania danych osobowych do czasu zakończenia tego postępowania);</w:t>
      </w:r>
    </w:p>
    <w:p>
      <w:pPr>
        <w:pStyle w:val="Normal"/>
        <w:numPr>
          <w:ilvl w:val="0"/>
          <w:numId w:val="4"/>
        </w:numPr>
        <w:ind w:hanging="462" w:left="1064"/>
        <w:jc w:val="both"/>
        <w:rPr/>
      </w:pPr>
      <w:r>
        <w:rPr/>
        <w:t xml:space="preserve">prawo do wniesienia skargi do Prezesa Urzędu Ochrony Danych Osobowych, gdy uzna Pani/Pan, że przetwarzanie danych osobowych Pani/Pana dotyczących narusza przepisy RODO; </w:t>
      </w:r>
      <w:r>
        <w:rPr>
          <w:rStyle w:val="Domylnaczcionkaakapitu1"/>
          <w:i/>
        </w:rPr>
        <w:t xml:space="preserve"> </w:t>
      </w:r>
    </w:p>
    <w:p>
      <w:pPr>
        <w:pStyle w:val="Normal"/>
        <w:ind w:left="284"/>
        <w:jc w:val="both"/>
        <w:rPr/>
      </w:pPr>
      <w:bookmarkStart w:id="1" w:name="_GoBack"/>
      <w:bookmarkEnd w:id="1"/>
      <w:r>
        <w:rPr/>
        <w:t>9. Nie przysługuje Pani/Panu:</w:t>
      </w:r>
    </w:p>
    <w:p>
      <w:pPr>
        <w:pStyle w:val="Normal"/>
        <w:numPr>
          <w:ilvl w:val="0"/>
          <w:numId w:val="5"/>
        </w:numPr>
        <w:ind w:hanging="392" w:left="1008"/>
        <w:jc w:val="both"/>
        <w:rPr/>
      </w:pPr>
      <w:r>
        <w:rPr/>
        <w:t>prawo do usunięcia danych osobowych;</w:t>
      </w:r>
    </w:p>
    <w:p>
      <w:pPr>
        <w:pStyle w:val="Normal"/>
        <w:numPr>
          <w:ilvl w:val="0"/>
          <w:numId w:val="5"/>
        </w:numPr>
        <w:ind w:hanging="392" w:left="1008"/>
        <w:jc w:val="both"/>
        <w:rPr/>
      </w:pPr>
      <w:r>
        <w:rPr/>
        <w:t>prawo do przenoszenia danych osobowych;</w:t>
      </w:r>
    </w:p>
    <w:p>
      <w:pPr>
        <w:pStyle w:val="Normal"/>
        <w:numPr>
          <w:ilvl w:val="0"/>
          <w:numId w:val="5"/>
        </w:numPr>
        <w:ind w:hanging="392" w:left="1008"/>
        <w:jc w:val="both"/>
        <w:rPr>
          <w:sz w:val="30"/>
          <w:szCs w:val="30"/>
        </w:rPr>
      </w:pPr>
      <w:r>
        <w:rPr/>
        <w:t xml:space="preserve">prawo sprzeciwu, wobec przetwarzania danych osobowych, gdyż podstawą prawną przetwarzania Pani/Pana danych osobowych jest prawny obowiązek ciążący </w:t>
        <w:tab/>
        <w:t xml:space="preserve">       na administratorze.</w:t>
      </w:r>
    </w:p>
    <w:p>
      <w:pPr>
        <w:pStyle w:val="Heading2"/>
        <w:numPr>
          <w:ilvl w:val="1"/>
          <w:numId w:val="1"/>
        </w:numPr>
        <w:tabs>
          <w:tab w:val="clear" w:pos="720"/>
          <w:tab w:val="left" w:pos="0" w:leader="none"/>
        </w:tabs>
        <w:spacing w:before="240" w:after="240"/>
        <w:rPr>
          <w:rFonts w:hint="eastAsia"/>
        </w:rPr>
      </w:pPr>
      <w:bookmarkStart w:id="2" w:name="_epsepounxnv1"/>
      <w:bookmarkEnd w:id="2"/>
      <w:r>
        <w:rPr>
          <w:sz w:val="30"/>
          <w:szCs w:val="30"/>
        </w:rPr>
        <w:t>III. Tryb udzielania zamówienia</w:t>
      </w:r>
    </w:p>
    <w:p>
      <w:pPr>
        <w:pStyle w:val="Normal"/>
        <w:numPr>
          <w:ilvl w:val="0"/>
          <w:numId w:val="16"/>
        </w:numPr>
        <w:ind w:hanging="425" w:left="709"/>
        <w:jc w:val="both"/>
        <w:rPr/>
      </w:pPr>
      <w:r>
        <w:rPr/>
        <w:t>Niniejsze postępowanie prowadzone jest w trybie podstawowym, o jakim stanowi art. 275 pkt 1 ustawy PZP oraz niniejszej Specyfikacji Warunków Zamówienia, zwaną dalej „SWZ”.</w:t>
      </w:r>
    </w:p>
    <w:p>
      <w:pPr>
        <w:pStyle w:val="Normal"/>
        <w:numPr>
          <w:ilvl w:val="0"/>
          <w:numId w:val="16"/>
        </w:numPr>
        <w:ind w:hanging="425" w:left="709"/>
        <w:jc w:val="both"/>
        <w:rPr/>
      </w:pPr>
      <w:r>
        <w:rPr/>
        <w:t>Zamawiający nie przewiduje prowadzenia negocjacji.</w:t>
      </w:r>
    </w:p>
    <w:p>
      <w:pPr>
        <w:pStyle w:val="Normal"/>
        <w:numPr>
          <w:ilvl w:val="0"/>
          <w:numId w:val="16"/>
        </w:numPr>
        <w:ind w:hanging="425" w:left="709"/>
        <w:jc w:val="both"/>
        <w:rPr/>
      </w:pPr>
      <w:r>
        <w:rPr/>
        <w:t xml:space="preserve">Szacunkowa wartość przedmiotowego zamówienia nie przekracza progów unijnych, </w:t>
        <w:tab/>
        <w:t xml:space="preserve">o jakich mowa w art. 3 ustawy PZP.  </w:t>
      </w:r>
    </w:p>
    <w:p>
      <w:pPr>
        <w:pStyle w:val="Normal"/>
        <w:numPr>
          <w:ilvl w:val="0"/>
          <w:numId w:val="16"/>
        </w:numPr>
        <w:ind w:hanging="425" w:left="709"/>
        <w:jc w:val="both"/>
        <w:rPr/>
      </w:pPr>
      <w:r>
        <w:rPr/>
        <w:t>Zamawiający nie przewiduje aukcji elektronicznej.</w:t>
      </w:r>
    </w:p>
    <w:p>
      <w:pPr>
        <w:pStyle w:val="Normal"/>
        <w:numPr>
          <w:ilvl w:val="0"/>
          <w:numId w:val="16"/>
        </w:numPr>
        <w:ind w:hanging="425" w:left="709"/>
        <w:jc w:val="both"/>
        <w:rPr/>
      </w:pPr>
      <w:r>
        <w:rPr/>
        <w:t>Zamawiający nie przewiduje złożenia oferty w postaci katalogów elektronicznych.</w:t>
      </w:r>
    </w:p>
    <w:p>
      <w:pPr>
        <w:pStyle w:val="Normal"/>
        <w:numPr>
          <w:ilvl w:val="0"/>
          <w:numId w:val="16"/>
        </w:numPr>
        <w:ind w:hanging="425" w:left="709"/>
        <w:jc w:val="both"/>
        <w:rPr/>
      </w:pPr>
      <w:r>
        <w:rPr/>
        <w:t>Zamawiający nie prowadzi postępowania w celu zawarcia umowy ramowej.</w:t>
      </w:r>
    </w:p>
    <w:p>
      <w:pPr>
        <w:pStyle w:val="Normal"/>
        <w:numPr>
          <w:ilvl w:val="0"/>
          <w:numId w:val="16"/>
        </w:numPr>
        <w:ind w:hanging="425" w:left="709"/>
        <w:jc w:val="both"/>
        <w:rPr/>
      </w:pPr>
      <w:r>
        <w:rPr/>
        <w:t>Zamawiający nie zastrzega możliwości ubiegania się o udzielenie zamówienia wyłącznie przez Wykonawców, o których mowa w art. 94 PZP.</w:t>
      </w:r>
    </w:p>
    <w:p>
      <w:pPr>
        <w:pStyle w:val="Normal"/>
        <w:numPr>
          <w:ilvl w:val="0"/>
          <w:numId w:val="16"/>
        </w:numPr>
        <w:ind w:hanging="425" w:left="709"/>
        <w:jc w:val="both"/>
        <w:rPr/>
      </w:pPr>
      <w:r>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(t.j. Dz. U. z 2025 r. poz. 277 ze zm.) obejmują następujące rodzaje czynności:</w:t>
      </w:r>
      <w:r>
        <w:rPr>
          <w:color w:val="C9211E"/>
        </w:rPr>
        <w:t xml:space="preserve"> </w:t>
      </w:r>
      <w:r>
        <w:rPr/>
        <w:t>roboty konstrukcyjno-budowlane.</w:t>
      </w:r>
    </w:p>
    <w:p>
      <w:pPr>
        <w:pStyle w:val="Normal"/>
        <w:numPr>
          <w:ilvl w:val="0"/>
          <w:numId w:val="16"/>
        </w:numPr>
        <w:ind w:hanging="425" w:left="709"/>
        <w:jc w:val="both"/>
        <w:rPr/>
      </w:pPr>
      <w:r>
        <w:rPr/>
        <w:t xml:space="preserve">Szczegółowe wymagania dotyczące realizacji oraz egzekwowania wymogu zatrudnienia na podstawie stosunku pracy zostały określone we wzorze umowy stanowiącym </w:t>
      </w:r>
      <w:r>
        <w:rPr>
          <w:rStyle w:val="Domylnaczcionkaakapitu1"/>
          <w:b/>
          <w:bCs/>
        </w:rPr>
        <w:t>załącznik nr 4 do SWZ .</w:t>
      </w:r>
    </w:p>
    <w:p>
      <w:pPr>
        <w:pStyle w:val="Normal"/>
        <w:numPr>
          <w:ilvl w:val="0"/>
          <w:numId w:val="16"/>
        </w:numPr>
        <w:ind w:hanging="425" w:left="709"/>
        <w:jc w:val="both"/>
        <w:rPr/>
      </w:pPr>
      <w:r>
        <w:rPr/>
        <w:t>Zamawiający nie określa dodatkowych wymagań związanych z zatrudnianiem osób,                o których mowa w art. 96 ust. 2 pkt 2 PZP.</w:t>
      </w:r>
    </w:p>
    <w:p>
      <w:pPr>
        <w:pStyle w:val="Normal"/>
        <w:ind w:left="1200"/>
        <w:jc w:val="both"/>
        <w:rPr/>
      </w:pPr>
      <w:r>
        <w:rPr/>
      </w:r>
    </w:p>
    <w:p>
      <w:pPr>
        <w:pStyle w:val="Heading2"/>
        <w:numPr>
          <w:ilvl w:val="1"/>
          <w:numId w:val="1"/>
        </w:numPr>
        <w:tabs>
          <w:tab w:val="clear" w:pos="720"/>
          <w:tab w:val="left" w:pos="0" w:leader="none"/>
        </w:tabs>
        <w:spacing w:before="0" w:after="240"/>
        <w:rPr>
          <w:rFonts w:hint="eastAsia"/>
        </w:rPr>
      </w:pPr>
      <w:bookmarkStart w:id="3" w:name="_x24vtaagcm5x"/>
      <w:bookmarkEnd w:id="3"/>
      <w:r>
        <w:rPr>
          <w:sz w:val="30"/>
          <w:szCs w:val="30"/>
        </w:rPr>
        <w:t>IV. Opis przedmiotu zamówienia</w:t>
      </w:r>
    </w:p>
    <w:p>
      <w:pPr>
        <w:pStyle w:val="Normal"/>
        <w:jc w:val="both"/>
        <w:rPr/>
      </w:pPr>
      <w:r>
        <w:rPr/>
      </w:r>
    </w:p>
    <w:p>
      <w:pPr>
        <w:pStyle w:val="Normal"/>
        <w:jc w:val="both"/>
        <w:rPr/>
      </w:pPr>
      <w:r>
        <w:rPr/>
        <w:t>1. Przedmiotem zamówienia jest budowa wielorodzinnego budynku mieszkalnego przy ul. Miedniewickiej w Skierniewicach zwanego w dalszej części umowy „budynkiem” wraz   z zagospodarowaniem terenu, przyłączami i infrastrukturą techniczną.</w:t>
      </w:r>
    </w:p>
    <w:p>
      <w:pPr>
        <w:pStyle w:val="Normal"/>
        <w:jc w:val="both"/>
        <w:rPr/>
      </w:pPr>
      <w:r>
        <w:rPr/>
        <w:t>2. Zakres robót przewidzianych do realizacji w ramach prowadzonego postępowania obejmuje m.in.:</w:t>
      </w:r>
    </w:p>
    <w:p>
      <w:pPr>
        <w:pStyle w:val="Normal"/>
        <w:jc w:val="both"/>
        <w:rPr/>
      </w:pPr>
      <w:r>
        <w:rPr/>
        <w:t>- budowę wielorodzinnego budynku oznaczonego w projekcie zagospodarowania terenu symbolem „2”. Przedmiotowy budynek stanowi zespół złożony z 3 obiektów charakteryzujących się następującymi parametrami:</w:t>
      </w:r>
    </w:p>
    <w:tbl>
      <w:tblPr>
        <w:tblW w:w="9104" w:type="dxa"/>
        <w:jc w:val="left"/>
        <w:tblInd w:w="109" w:type="dxa"/>
        <w:tblLayout w:type="fixed"/>
        <w:tblCellMar>
          <w:top w:w="0" w:type="dxa"/>
          <w:left w:w="103" w:type="dxa"/>
          <w:bottom w:w="0" w:type="dxa"/>
          <w:right w:w="108" w:type="dxa"/>
        </w:tblCellMar>
        <w:tblLook w:firstRow="0" w:noVBand="0" w:lastRow="0" w:firstColumn="0" w:lastColumn="0" w:noHBand="0" w:val="0000"/>
      </w:tblPr>
      <w:tblGrid>
        <w:gridCol w:w="4390"/>
        <w:gridCol w:w="3118"/>
        <w:gridCol w:w="1596"/>
      </w:tblGrid>
      <w:tr>
        <w:trPr/>
        <w:tc>
          <w:tcPr>
            <w:tcW w:w="4390"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both"/>
              <w:rPr/>
            </w:pPr>
            <w:r>
              <w:rPr/>
              <w:t>Klatki schodowe</w:t>
            </w:r>
          </w:p>
        </w:tc>
        <w:tc>
          <w:tcPr>
            <w:tcW w:w="3118"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center"/>
              <w:rPr/>
            </w:pPr>
            <w:r>
              <w:rPr/>
              <w:t>3 – do części naziemnej</w:t>
            </w:r>
          </w:p>
          <w:p>
            <w:pPr>
              <w:pStyle w:val="Normal"/>
              <w:jc w:val="center"/>
              <w:rPr/>
            </w:pPr>
            <w:r>
              <w:rPr/>
              <w:t>2 – do części podziemnej</w:t>
            </w:r>
          </w:p>
        </w:tc>
        <w:tc>
          <w:tcPr>
            <w:tcW w:w="1596" w:type="dxa"/>
            <w:tcBorders>
              <w:top w:val="single" w:sz="4" w:space="0" w:color="000001"/>
              <w:left w:val="single" w:sz="4" w:space="0" w:color="000001"/>
              <w:bottom w:val="single" w:sz="4" w:space="0" w:color="000001"/>
              <w:right w:val="single" w:sz="4" w:space="0" w:color="000001"/>
            </w:tcBorders>
            <w:shd w:color="auto" w:fill="F2F2F2" w:val="clear"/>
          </w:tcPr>
          <w:p>
            <w:pPr>
              <w:pStyle w:val="Normal"/>
              <w:snapToGrid w:val="false"/>
              <w:jc w:val="center"/>
              <w:rPr/>
            </w:pPr>
            <w:r>
              <w:rPr/>
            </w:r>
          </w:p>
        </w:tc>
      </w:tr>
      <w:tr>
        <w:trPr/>
        <w:tc>
          <w:tcPr>
            <w:tcW w:w="4390"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both"/>
              <w:rPr/>
            </w:pPr>
            <w:r>
              <w:rPr/>
              <w:t>Kondygnacje nadziemne</w:t>
            </w:r>
          </w:p>
        </w:tc>
        <w:tc>
          <w:tcPr>
            <w:tcW w:w="3118"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center"/>
              <w:rPr/>
            </w:pPr>
            <w:r>
              <w:rPr/>
              <w:t>2</w:t>
            </w:r>
          </w:p>
        </w:tc>
        <w:tc>
          <w:tcPr>
            <w:tcW w:w="1596" w:type="dxa"/>
            <w:tcBorders>
              <w:top w:val="single" w:sz="4" w:space="0" w:color="000001"/>
              <w:left w:val="single" w:sz="4" w:space="0" w:color="000001"/>
              <w:bottom w:val="single" w:sz="4" w:space="0" w:color="000001"/>
              <w:right w:val="single" w:sz="4" w:space="0" w:color="000001"/>
            </w:tcBorders>
            <w:shd w:color="auto" w:fill="auto" w:val="clear"/>
          </w:tcPr>
          <w:p>
            <w:pPr>
              <w:pStyle w:val="Normal"/>
              <w:snapToGrid w:val="false"/>
              <w:jc w:val="center"/>
              <w:rPr/>
            </w:pPr>
            <w:r>
              <w:rPr/>
            </w:r>
          </w:p>
        </w:tc>
      </w:tr>
      <w:tr>
        <w:trPr/>
        <w:tc>
          <w:tcPr>
            <w:tcW w:w="4390"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both"/>
              <w:rPr/>
            </w:pPr>
            <w:r>
              <w:rPr/>
              <w:t>Kondygnacje podziemne</w:t>
            </w:r>
          </w:p>
        </w:tc>
        <w:tc>
          <w:tcPr>
            <w:tcW w:w="3118"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center"/>
              <w:rPr/>
            </w:pPr>
            <w:r>
              <w:rPr/>
              <w:t>1</w:t>
            </w:r>
          </w:p>
        </w:tc>
        <w:tc>
          <w:tcPr>
            <w:tcW w:w="1596" w:type="dxa"/>
            <w:tcBorders>
              <w:top w:val="single" w:sz="4" w:space="0" w:color="000001"/>
              <w:left w:val="single" w:sz="4" w:space="0" w:color="000001"/>
              <w:bottom w:val="single" w:sz="4" w:space="0" w:color="000001"/>
              <w:right w:val="single" w:sz="4" w:space="0" w:color="000001"/>
            </w:tcBorders>
            <w:shd w:color="auto" w:fill="F2F2F2" w:val="clear"/>
          </w:tcPr>
          <w:p>
            <w:pPr>
              <w:pStyle w:val="Normal"/>
              <w:snapToGrid w:val="false"/>
              <w:jc w:val="center"/>
              <w:rPr/>
            </w:pPr>
            <w:r>
              <w:rPr/>
            </w:r>
          </w:p>
        </w:tc>
      </w:tr>
      <w:tr>
        <w:trPr/>
        <w:tc>
          <w:tcPr>
            <w:tcW w:w="4390"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both"/>
              <w:rPr/>
            </w:pPr>
            <w:r>
              <w:rPr/>
              <w:t>Powierzchnia zabudowy</w:t>
            </w:r>
          </w:p>
        </w:tc>
        <w:tc>
          <w:tcPr>
            <w:tcW w:w="3118"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center"/>
              <w:rPr/>
            </w:pPr>
            <w:r>
              <w:rPr/>
              <w:t>768,08</w:t>
            </w:r>
          </w:p>
        </w:tc>
        <w:tc>
          <w:tcPr>
            <w:tcW w:w="1596"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center"/>
              <w:rPr/>
            </w:pPr>
            <w:r>
              <w:rPr/>
              <w:t>m</w:t>
            </w:r>
            <w:r>
              <w:rPr>
                <w:vertAlign w:val="superscript"/>
              </w:rPr>
              <w:t>2</w:t>
            </w:r>
          </w:p>
        </w:tc>
      </w:tr>
      <w:tr>
        <w:trPr/>
        <w:tc>
          <w:tcPr>
            <w:tcW w:w="4390"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both"/>
              <w:rPr/>
            </w:pPr>
            <w:r>
              <w:rPr/>
              <w:t>Powierzchnia całkowita</w:t>
            </w:r>
          </w:p>
        </w:tc>
        <w:tc>
          <w:tcPr>
            <w:tcW w:w="3118"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center"/>
              <w:rPr/>
            </w:pPr>
            <w:r>
              <w:rPr/>
              <w:t>2247,14</w:t>
            </w:r>
          </w:p>
        </w:tc>
        <w:tc>
          <w:tcPr>
            <w:tcW w:w="1596"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center"/>
              <w:rPr/>
            </w:pPr>
            <w:r>
              <w:rPr/>
              <w:t>m</w:t>
            </w:r>
            <w:r>
              <w:rPr>
                <w:vertAlign w:val="superscript"/>
              </w:rPr>
              <w:t>2</w:t>
            </w:r>
          </w:p>
        </w:tc>
      </w:tr>
      <w:tr>
        <w:trPr/>
        <w:tc>
          <w:tcPr>
            <w:tcW w:w="4390"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both"/>
              <w:rPr/>
            </w:pPr>
            <w:r>
              <w:rPr/>
              <w:t>Powierzchnia użytkowa piwnicy</w:t>
            </w:r>
          </w:p>
        </w:tc>
        <w:tc>
          <w:tcPr>
            <w:tcW w:w="3118"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center"/>
              <w:rPr/>
            </w:pPr>
            <w:r>
              <w:rPr/>
              <w:t>605,92</w:t>
            </w:r>
          </w:p>
        </w:tc>
        <w:tc>
          <w:tcPr>
            <w:tcW w:w="1596"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center"/>
              <w:rPr/>
            </w:pPr>
            <w:r>
              <w:rPr/>
              <w:t>m</w:t>
            </w:r>
            <w:r>
              <w:rPr>
                <w:vertAlign w:val="superscript"/>
              </w:rPr>
              <w:t>2</w:t>
            </w:r>
          </w:p>
        </w:tc>
      </w:tr>
      <w:tr>
        <w:trPr/>
        <w:tc>
          <w:tcPr>
            <w:tcW w:w="4390"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both"/>
              <w:rPr/>
            </w:pPr>
            <w:r>
              <w:rPr/>
              <w:t>Powierzchnia użytkowa parteru</w:t>
            </w:r>
          </w:p>
        </w:tc>
        <w:tc>
          <w:tcPr>
            <w:tcW w:w="3118"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center"/>
              <w:rPr/>
            </w:pPr>
            <w:r>
              <w:rPr/>
              <w:t>611,10</w:t>
            </w:r>
          </w:p>
        </w:tc>
        <w:tc>
          <w:tcPr>
            <w:tcW w:w="1596"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center"/>
              <w:rPr/>
            </w:pPr>
            <w:r>
              <w:rPr/>
              <w:t>m</w:t>
            </w:r>
            <w:r>
              <w:rPr>
                <w:vertAlign w:val="superscript"/>
              </w:rPr>
              <w:t>2</w:t>
            </w:r>
          </w:p>
        </w:tc>
      </w:tr>
      <w:tr>
        <w:trPr/>
        <w:tc>
          <w:tcPr>
            <w:tcW w:w="4390"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both"/>
              <w:rPr/>
            </w:pPr>
            <w:r>
              <w:rPr/>
              <w:t>Powierzchnia użytkowa piętra</w:t>
            </w:r>
          </w:p>
        </w:tc>
        <w:tc>
          <w:tcPr>
            <w:tcW w:w="3118"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center"/>
              <w:rPr/>
            </w:pPr>
            <w:r>
              <w:rPr/>
              <w:t>545,06</w:t>
            </w:r>
          </w:p>
        </w:tc>
        <w:tc>
          <w:tcPr>
            <w:tcW w:w="1596"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center"/>
              <w:rPr/>
            </w:pPr>
            <w:r>
              <w:rPr/>
              <w:t>m</w:t>
            </w:r>
            <w:r>
              <w:rPr>
                <w:vertAlign w:val="superscript"/>
              </w:rPr>
              <w:t>2</w:t>
            </w:r>
          </w:p>
        </w:tc>
      </w:tr>
      <w:tr>
        <w:trPr/>
        <w:tc>
          <w:tcPr>
            <w:tcW w:w="4390"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both"/>
              <w:rPr/>
            </w:pPr>
            <w:r>
              <w:rPr/>
              <w:t>Powierzchnia użytkowa</w:t>
            </w:r>
          </w:p>
        </w:tc>
        <w:tc>
          <w:tcPr>
            <w:tcW w:w="3118"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center"/>
              <w:rPr/>
            </w:pPr>
            <w:r>
              <w:rPr/>
              <w:t>1762,08</w:t>
            </w:r>
          </w:p>
        </w:tc>
        <w:tc>
          <w:tcPr>
            <w:tcW w:w="1596"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center"/>
              <w:rPr/>
            </w:pPr>
            <w:r>
              <w:rPr/>
              <w:t>m</w:t>
            </w:r>
            <w:r>
              <w:rPr>
                <w:vertAlign w:val="superscript"/>
              </w:rPr>
              <w:t>2</w:t>
            </w:r>
          </w:p>
        </w:tc>
      </w:tr>
      <w:tr>
        <w:trPr/>
        <w:tc>
          <w:tcPr>
            <w:tcW w:w="4390"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both"/>
              <w:rPr/>
            </w:pPr>
            <w:r>
              <w:rPr/>
              <w:t>Kubatura</w:t>
            </w:r>
          </w:p>
        </w:tc>
        <w:tc>
          <w:tcPr>
            <w:tcW w:w="3118"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center"/>
              <w:rPr/>
            </w:pPr>
            <w:r>
              <w:rPr/>
              <w:t>5293,20</w:t>
            </w:r>
          </w:p>
        </w:tc>
        <w:tc>
          <w:tcPr>
            <w:tcW w:w="1596"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center"/>
              <w:rPr/>
            </w:pPr>
            <w:r>
              <w:rPr/>
              <w:t>m</w:t>
            </w:r>
            <w:r>
              <w:rPr>
                <w:vertAlign w:val="superscript"/>
              </w:rPr>
              <w:t>3</w:t>
            </w:r>
          </w:p>
        </w:tc>
      </w:tr>
      <w:tr>
        <w:trPr/>
        <w:tc>
          <w:tcPr>
            <w:tcW w:w="4390"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both"/>
              <w:rPr/>
            </w:pPr>
            <w:r>
              <w:rPr/>
              <w:t>Wysokość zabudowy</w:t>
            </w:r>
          </w:p>
        </w:tc>
        <w:tc>
          <w:tcPr>
            <w:tcW w:w="3118"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center"/>
              <w:rPr/>
            </w:pPr>
            <w:r>
              <w:rPr/>
              <w:t>7,10</w:t>
            </w:r>
          </w:p>
        </w:tc>
        <w:tc>
          <w:tcPr>
            <w:tcW w:w="1596"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center"/>
              <w:rPr/>
            </w:pPr>
            <w:r>
              <w:rPr/>
              <w:t>m</w:t>
            </w:r>
          </w:p>
        </w:tc>
      </w:tr>
      <w:tr>
        <w:trPr/>
        <w:tc>
          <w:tcPr>
            <w:tcW w:w="4390"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both"/>
              <w:rPr/>
            </w:pPr>
            <w:r>
              <w:rPr/>
              <w:t>Szerokość x długość</w:t>
            </w:r>
          </w:p>
        </w:tc>
        <w:tc>
          <w:tcPr>
            <w:tcW w:w="3118"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center"/>
              <w:rPr/>
            </w:pPr>
            <w:r>
              <w:rPr/>
              <w:t>13,51 x 80,00</w:t>
            </w:r>
          </w:p>
        </w:tc>
        <w:tc>
          <w:tcPr>
            <w:tcW w:w="1596" w:type="dxa"/>
            <w:tcBorders>
              <w:top w:val="single" w:sz="4" w:space="0" w:color="000001"/>
              <w:left w:val="single" w:sz="4" w:space="0" w:color="000001"/>
              <w:bottom w:val="single" w:sz="4" w:space="0" w:color="000001"/>
              <w:right w:val="single" w:sz="4" w:space="0" w:color="000001"/>
            </w:tcBorders>
            <w:shd w:color="auto" w:fill="auto" w:val="clear"/>
          </w:tcPr>
          <w:p>
            <w:pPr>
              <w:pStyle w:val="Normal"/>
              <w:jc w:val="center"/>
              <w:rPr/>
            </w:pPr>
            <w:r>
              <w:rPr/>
              <w:t>m</w:t>
            </w:r>
          </w:p>
        </w:tc>
      </w:tr>
      <w:tr>
        <w:trPr/>
        <w:tc>
          <w:tcPr>
            <w:tcW w:w="4390"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both"/>
              <w:rPr/>
            </w:pPr>
            <w:r>
              <w:rPr/>
              <w:t>Dach płaski</w:t>
            </w:r>
          </w:p>
        </w:tc>
        <w:tc>
          <w:tcPr>
            <w:tcW w:w="3118"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center"/>
              <w:rPr/>
            </w:pPr>
            <w:r>
              <w:rPr/>
              <w:t>3</w:t>
            </w:r>
          </w:p>
        </w:tc>
        <w:tc>
          <w:tcPr>
            <w:tcW w:w="1596" w:type="dxa"/>
            <w:tcBorders>
              <w:top w:val="single" w:sz="4" w:space="0" w:color="000001"/>
              <w:left w:val="single" w:sz="4" w:space="0" w:color="000001"/>
              <w:bottom w:val="single" w:sz="4" w:space="0" w:color="000001"/>
              <w:right w:val="single" w:sz="4" w:space="0" w:color="000001"/>
            </w:tcBorders>
            <w:shd w:color="auto" w:fill="F2F2F2" w:val="clear"/>
          </w:tcPr>
          <w:p>
            <w:pPr>
              <w:pStyle w:val="Normal"/>
              <w:jc w:val="center"/>
              <w:rPr/>
            </w:pPr>
            <w:r>
              <w:rPr/>
              <w:t>%</w:t>
            </w:r>
          </w:p>
        </w:tc>
      </w:tr>
    </w:tbl>
    <w:p>
      <w:pPr>
        <w:pStyle w:val="Normal"/>
        <w:spacing w:before="120" w:after="0"/>
        <w:jc w:val="both"/>
        <w:rPr/>
      </w:pPr>
      <w:r>
        <w:rPr/>
        <w:t xml:space="preserve">- wykonanie drogi p.poż. wraz z placem manewrowym, miejsc parkingowych oraz chodników </w:t>
        <w:br/>
        <w:t>i dojść – zgodnie z projektem zagospodarowania terenu;</w:t>
      </w:r>
    </w:p>
    <w:p>
      <w:pPr>
        <w:pStyle w:val="Normal"/>
        <w:jc w:val="both"/>
        <w:rPr/>
      </w:pPr>
      <w:r>
        <w:rPr/>
        <w:t>- wykonanie podziemnego zbiornika p.poż.;</w:t>
      </w:r>
    </w:p>
    <w:p>
      <w:pPr>
        <w:pStyle w:val="Normal"/>
        <w:jc w:val="both"/>
        <w:rPr/>
      </w:pPr>
      <w:r>
        <w:rPr/>
        <w:t>- wykonanie doziemnej instalacji energetycznej, kanalizacji teletechnicznej, instalacji wodociągowej do uzupełniania zbiornika p.poż., instalacji ciepłowniczej i CWU;</w:t>
      </w:r>
    </w:p>
    <w:p>
      <w:pPr>
        <w:pStyle w:val="Normal"/>
        <w:jc w:val="both"/>
        <w:rPr/>
      </w:pPr>
      <w:r>
        <w:rPr/>
        <w:t>- wykonanie instalacji fotowoltaicznej wraz z ogrodzeniem oraz instalacji pomp ciepła;</w:t>
      </w:r>
    </w:p>
    <w:p>
      <w:pPr>
        <w:pStyle w:val="Normal"/>
        <w:jc w:val="both"/>
        <w:rPr/>
      </w:pPr>
      <w:r>
        <w:rPr/>
        <w:t>- wyposażenie lokali mieszkalnych zgodnie z zapisami art. 6b ustawy z dnia 8 grudnia 2006 r.               o finansowym wsparciu niektórych przedsięwzięć mieszkaniowych (t.j. Dz. U. z 2026 r. poz. 511), tj.:</w:t>
      </w:r>
    </w:p>
    <w:p>
      <w:pPr>
        <w:pStyle w:val="Normal"/>
        <w:jc w:val="both"/>
        <w:rPr/>
      </w:pPr>
      <w:r>
        <w:rPr/>
        <w:tab/>
        <w:t>- wannę lub kabinę natryskową - w łazience,</w:t>
      </w:r>
    </w:p>
    <w:p>
      <w:pPr>
        <w:pStyle w:val="Normal"/>
        <w:ind w:firstLine="708"/>
        <w:jc w:val="both"/>
        <w:rPr/>
      </w:pPr>
      <w:r>
        <w:rPr/>
        <w:t>- umywalkę - w łazience,</w:t>
      </w:r>
    </w:p>
    <w:p>
      <w:pPr>
        <w:pStyle w:val="Normal"/>
        <w:ind w:firstLine="708"/>
        <w:jc w:val="both"/>
        <w:rPr/>
      </w:pPr>
      <w:r>
        <w:rPr/>
        <w:t>- miskę ustępową - w łazience lub wydzielonym ustępie,</w:t>
      </w:r>
    </w:p>
    <w:p>
      <w:pPr>
        <w:pStyle w:val="Normal"/>
        <w:ind w:firstLine="708"/>
        <w:jc w:val="both"/>
        <w:rPr/>
      </w:pPr>
      <w:r>
        <w:rPr/>
        <w:t>- zlewozmywak,</w:t>
      </w:r>
    </w:p>
    <w:p>
      <w:pPr>
        <w:pStyle w:val="Normal"/>
        <w:ind w:left="708"/>
        <w:jc w:val="both"/>
        <w:rPr/>
      </w:pPr>
      <w:r>
        <w:rPr/>
        <w:t>- czteropaleniskową kuchenkę gazową lub na inne paliwo, lub równoważną użytkowo kuchenkę elektryczną.</w:t>
      </w:r>
    </w:p>
    <w:p>
      <w:pPr>
        <w:pStyle w:val="Normal"/>
        <w:jc w:val="both"/>
        <w:rPr>
          <w:b/>
          <w:u w:val="single"/>
        </w:rPr>
      </w:pPr>
      <w:r>
        <w:rPr/>
        <w:t xml:space="preserve"> </w:t>
      </w:r>
    </w:p>
    <w:p>
      <w:pPr>
        <w:pStyle w:val="Normal"/>
        <w:jc w:val="both"/>
        <w:rPr>
          <w:b/>
        </w:rPr>
      </w:pPr>
      <w:r>
        <w:rPr>
          <w:b/>
          <w:u w:val="single"/>
        </w:rPr>
        <w:t>UWAGA</w:t>
      </w:r>
      <w:r>
        <w:rPr>
          <w:u w:val="single"/>
        </w:rPr>
        <w:t>:</w:t>
      </w:r>
    </w:p>
    <w:p>
      <w:pPr>
        <w:pStyle w:val="Normal"/>
        <w:jc w:val="both"/>
        <w:rPr/>
      </w:pPr>
      <w:r>
        <w:rPr/>
        <w:t>Projektowane przyłącze wody i projektowana instalacja kanalizacji sanitarnej do realizacji po stronie ZWiK „WOD-KAN” w Skierniewicach.</w:t>
      </w:r>
    </w:p>
    <w:p>
      <w:pPr>
        <w:pStyle w:val="Normal"/>
        <w:jc w:val="both"/>
        <w:rPr/>
      </w:pPr>
      <w:r>
        <w:rPr/>
      </w:r>
    </w:p>
    <w:p>
      <w:pPr>
        <w:pStyle w:val="Normal"/>
        <w:jc w:val="both"/>
        <w:rPr/>
      </w:pPr>
      <w:r>
        <w:rPr/>
        <w:t>3. Szczegółowy zakres robót określony został w dokumentacji projektowej, Specyfikacjach Technicznych Wykonania i Obioru Robót oraz przedmiarach robót stanowiących załącznik nr 6 do SWZ.</w:t>
      </w:r>
    </w:p>
    <w:p>
      <w:pPr>
        <w:pStyle w:val="Normal"/>
        <w:jc w:val="both"/>
        <w:rPr/>
      </w:pPr>
      <w:r>
        <w:rPr/>
        <w:t>4. Zakres zamówienia obejmuje również:</w:t>
      </w:r>
    </w:p>
    <w:p>
      <w:pPr>
        <w:pStyle w:val="Normal"/>
        <w:ind w:left="567"/>
        <w:jc w:val="both"/>
        <w:rPr/>
      </w:pPr>
      <w:r>
        <w:rPr/>
        <w:t>a) wykonanie pełnej obsługi geodezyjnej (wszystkie wymagane pomiary geodezyjne                  w tym wykonanie inwentaryzacji geodezyjnej powykonawczej);</w:t>
      </w:r>
    </w:p>
    <w:p>
      <w:pPr>
        <w:pStyle w:val="Normal"/>
        <w:ind w:left="567"/>
        <w:jc w:val="both"/>
        <w:rPr/>
      </w:pPr>
      <w:r>
        <w:rPr/>
        <w:t>b) wykonanie wymaganych prawem i określonych w SWZ (w tym w specyfikacji technicznej): badań, prób i  pomiarów,</w:t>
      </w:r>
    </w:p>
    <w:p>
      <w:pPr>
        <w:pStyle w:val="Normal"/>
        <w:ind w:left="567"/>
        <w:jc w:val="both"/>
        <w:rPr/>
      </w:pPr>
      <w:r>
        <w:rPr/>
        <w:t>c) przygotowanie w terminie niezbędnych dokumentów wymaganych do realizacji robót, jak np.: oświadczenie kierownika budowy, kierowników robót, a także wszystkie inne dokumenty wymagane w trakcie budowy (np. oświadczenia o gotowości instalacji przyłączanej) oraz do odbioru robót,</w:t>
      </w:r>
    </w:p>
    <w:p>
      <w:pPr>
        <w:pStyle w:val="Normal"/>
        <w:ind w:left="567"/>
        <w:jc w:val="both"/>
        <w:rPr/>
      </w:pPr>
      <w:r>
        <w:rPr/>
        <w:t>d) sporządzenie dokumentacji powykonawczej (naniesienie na dokumentacji wykonawczej zmian powstałych w trakcie realizacji zadania);</w:t>
      </w:r>
    </w:p>
    <w:p>
      <w:pPr>
        <w:pStyle w:val="Normal"/>
        <w:ind w:left="567"/>
        <w:jc w:val="both"/>
        <w:rPr/>
      </w:pPr>
      <w:r>
        <w:rPr/>
        <w:t>e) uzyskanie w imieniu Zamawiającego pozwolenia na użytkowanie.</w:t>
      </w:r>
    </w:p>
    <w:p>
      <w:pPr>
        <w:pStyle w:val="Normal"/>
        <w:jc w:val="both"/>
        <w:rPr/>
      </w:pPr>
      <w:r>
        <w:rPr/>
        <w:t>5. Przedmiot Umowy należy wykonać tak, aby spełniał swoją funkcję, zgodnie z wymogami określonymi w obowiązujących przepisach prawa polskiego i wspólnotowego oraz                                w następujących dokumentach:</w:t>
      </w:r>
    </w:p>
    <w:p>
      <w:pPr>
        <w:pStyle w:val="Normal"/>
        <w:ind w:left="567"/>
        <w:jc w:val="both"/>
        <w:rPr/>
      </w:pPr>
      <w:r>
        <w:rPr/>
        <w:t>a) specyfikacji warunków zamówienia, na postawie której przeprowadzono procedurę wyboru wykonawcy,</w:t>
      </w:r>
    </w:p>
    <w:p>
      <w:pPr>
        <w:pStyle w:val="Normal"/>
        <w:ind w:left="567"/>
        <w:jc w:val="both"/>
        <w:rPr/>
      </w:pPr>
      <w:r>
        <w:rPr/>
        <w:t>b) dokumentacji projektowej,</w:t>
      </w:r>
    </w:p>
    <w:p>
      <w:pPr>
        <w:pStyle w:val="Normal"/>
        <w:ind w:left="567"/>
        <w:jc w:val="both"/>
        <w:rPr/>
      </w:pPr>
      <w:r>
        <w:rPr/>
        <w:t>c) specyfikacji techniczne wykonania i odbioru robót budowlanych,</w:t>
      </w:r>
    </w:p>
    <w:p>
      <w:pPr>
        <w:pStyle w:val="Normal"/>
        <w:ind w:left="567"/>
        <w:jc w:val="both"/>
        <w:rPr/>
      </w:pPr>
      <w:r>
        <w:rPr/>
        <w:t>d) złożonej ofercie,</w:t>
      </w:r>
    </w:p>
    <w:p>
      <w:pPr>
        <w:pStyle w:val="Normal"/>
        <w:ind w:left="567"/>
        <w:jc w:val="both"/>
        <w:rPr/>
      </w:pPr>
      <w:r>
        <w:rPr/>
        <w:t>e) oraz zgodnie ze wskazanymi normami, zasadami wiedzy technicznej, sztuki budowlanej jak i dobrą praktyką.</w:t>
      </w:r>
    </w:p>
    <w:p>
      <w:pPr>
        <w:pStyle w:val="Normal"/>
        <w:jc w:val="both"/>
        <w:rPr/>
      </w:pPr>
      <w:r>
        <w:rPr/>
      </w:r>
    </w:p>
    <w:p>
      <w:pPr>
        <w:pStyle w:val="Normal"/>
        <w:jc w:val="both"/>
        <w:rPr>
          <w:u w:val="single"/>
        </w:rPr>
      </w:pPr>
      <w:r>
        <w:rPr>
          <w:u w:val="single"/>
        </w:rPr>
        <w:t>UWAGA:</w:t>
      </w:r>
    </w:p>
    <w:p>
      <w:pPr>
        <w:pStyle w:val="Normal"/>
        <w:jc w:val="both"/>
        <w:rPr/>
      </w:pPr>
      <w:r>
        <w:rPr/>
        <w:t>Jeśli gdziekolwiek w dokumentacji technicznej zostało wskazane pochodzenie (marka, znak towarowy, producent, dostawca) materiałów lub normy, o których mowa w art. 99 ust. 4 ustawy Pzp, Zamawiający dopuszcza oferowanie materiałów lub rozwiązań równoważnych opisywanym gwarantujących uzyskanie parametrów nie gorszych od założonych w opisie przedmiotu zamówienia. Podane w opisie przedmiotu zamówienia nazwy własne nie mają na celu naruszenia art. 16 i 99 ust. 4 ustawy Pzp, a mają jedynie za zadanie sprecyzowanie oczekiwań jakościowych, technicznych i technologicznych Zamawiającego. W przypadku materiałów, których znaki towarowe podano w opisie przedmiotu zamówienia poprzez równoważność, Zamawiający rozumie zastosowanie takich materiałów, których parametry techniczne, jakościowe i technologiczne nie będą gorsze od materiałów jakie zostały przyjęte      w rozwiązaniach i zostaną zaakceptowane przez Zamawiającego, przy czym przyjmuje się, że wszelkie materiały i urządzenia określone w dokumentacji projektowej pochodzące od konkretnych producentów, określają minimalne parametry techniczne, jakościowe i użytkowe, jakim muszą odpowiadać materiały/urządzenia oferowane, aby spełnić wymagania stawiane przez Zamawiającego oraz zużycie energii przez poszczególne oferowane urządzenia równoważne nie może być wyższe niż założone w dokumentacji projektowej. Ciężar udowodnienia, że materiał lub urządzenie jest równoważne w stosunku do wymogu określonego przez Zamawiającego spoczywa na Wykonawcy. Wykonawca zobowiązany jest wykazać, iż dany materiał/ urządzenie proponowane, jako równoważne nie jest prototypem                  tj. jest sprawdzone w działaniu w zastosowaniach podobnej natury i w warunkach przynajmniej takich, jak w planowanych robotach, pracuje na innych zrealizowanych obiektach. Zamawiający zastrzega sobie prawo do weryfikacji dokumentów potwierdzających równoważność łącznie z wizytą na obiekcie, na którym są one użytkowane.</w:t>
      </w:r>
    </w:p>
    <w:p>
      <w:pPr>
        <w:pStyle w:val="Normal"/>
        <w:jc w:val="both"/>
        <w:rPr/>
      </w:pPr>
      <w:r>
        <w:rPr/>
      </w:r>
    </w:p>
    <w:p>
      <w:pPr>
        <w:pStyle w:val="Normal"/>
        <w:jc w:val="both"/>
        <w:rPr/>
      </w:pPr>
      <w:r>
        <w:rPr/>
        <w:t>6. Wykonawca zobowiązany jest zapewnić personel:</w:t>
      </w:r>
    </w:p>
    <w:p>
      <w:pPr>
        <w:pStyle w:val="Normal"/>
        <w:jc w:val="both"/>
        <w:rPr/>
      </w:pPr>
      <w:r>
        <w:rPr/>
        <w:t>1) Kierownik budowy;</w:t>
      </w:r>
    </w:p>
    <w:p>
      <w:pPr>
        <w:pStyle w:val="Normal"/>
        <w:jc w:val="both"/>
        <w:rPr/>
      </w:pPr>
      <w:r>
        <w:rPr/>
        <w:t>2) Kierownik robót sanitarnych o specjalności instalacyjnej w zakresie sieci, instalacji                           i urządzeń: wodociągowych i kanalizacyjnych;</w:t>
      </w:r>
    </w:p>
    <w:p>
      <w:pPr>
        <w:pStyle w:val="Normal"/>
        <w:jc w:val="both"/>
        <w:rPr/>
      </w:pPr>
      <w:r>
        <w:rPr/>
        <w:t xml:space="preserve">3) Kierownik robót sanitarnych o specjalności instalacyjnej w zakresie sieci, instalacji </w:t>
        <w:br/>
        <w:t>i urządzeń: wentylacyjnych, gazowych;</w:t>
      </w:r>
    </w:p>
    <w:p>
      <w:pPr>
        <w:pStyle w:val="Normal"/>
        <w:ind w:left="-19"/>
        <w:jc w:val="both"/>
        <w:rPr/>
      </w:pPr>
      <w:r>
        <w:rPr/>
        <w:t>4) Kierownik robót elektrycznych.</w:t>
      </w:r>
    </w:p>
    <w:p>
      <w:pPr>
        <w:pStyle w:val="Normal"/>
        <w:ind w:left="-19"/>
        <w:jc w:val="both"/>
        <w:rPr/>
      </w:pPr>
      <w:r>
        <w:rPr/>
      </w:r>
    </w:p>
    <w:p>
      <w:pPr>
        <w:pStyle w:val="Normal"/>
        <w:jc w:val="both"/>
        <w:rPr>
          <w:strike/>
          <w:color w:val="C9211E"/>
        </w:rPr>
      </w:pPr>
      <w:r>
        <w:rPr/>
        <w:t>7. Wspólny Słownik Zamówień CPV:</w:t>
      </w:r>
    </w:p>
    <w:p>
      <w:pPr>
        <w:pStyle w:val="Normal"/>
        <w:jc w:val="both"/>
        <w:rPr>
          <w:strike/>
          <w:color w:val="C9211E"/>
        </w:rPr>
      </w:pPr>
      <w:r>
        <w:rPr>
          <w:strike/>
          <w:color w:val="C9211E"/>
        </w:rPr>
      </w:r>
    </w:p>
    <w:p>
      <w:pPr>
        <w:pStyle w:val="Normal"/>
        <w:rPr/>
      </w:pPr>
      <w:r>
        <w:rPr/>
        <w:t>45100000-8 Przygotowanie terenu pod budowę</w:t>
      </w:r>
    </w:p>
    <w:p>
      <w:pPr>
        <w:pStyle w:val="Normal"/>
        <w:rPr/>
      </w:pPr>
      <w:r>
        <w:rPr/>
        <w:t>45111200-0 Roboty w zakresie przygotowania terenu pod budowę i roboty ziemne</w:t>
      </w:r>
    </w:p>
    <w:p>
      <w:pPr>
        <w:pStyle w:val="Normal"/>
        <w:rPr/>
      </w:pPr>
      <w:r>
        <w:rPr/>
        <w:t>45111240-2 Roboty w zakresie odwodnienia gruntu</w:t>
      </w:r>
    </w:p>
    <w:p>
      <w:pPr>
        <w:pStyle w:val="Normal"/>
        <w:rPr/>
      </w:pPr>
      <w:r>
        <w:rPr/>
        <w:t>45262500-6 Roboty murarskie i murowe</w:t>
      </w:r>
    </w:p>
    <w:p>
      <w:pPr>
        <w:pStyle w:val="Normal"/>
        <w:rPr/>
      </w:pPr>
      <w:r>
        <w:rPr/>
        <w:t>45261210-9 Wykonywanie pokryć dachowych</w:t>
      </w:r>
    </w:p>
    <w:p>
      <w:pPr>
        <w:pStyle w:val="Normal"/>
        <w:rPr/>
      </w:pPr>
      <w:r>
        <w:rPr/>
        <w:t>45262410-8 Wznoszenie konstrukcji budynków</w:t>
      </w:r>
    </w:p>
    <w:p>
      <w:pPr>
        <w:pStyle w:val="Normal"/>
        <w:rPr/>
      </w:pPr>
      <w:r>
        <w:rPr/>
        <w:t xml:space="preserve">45320000-6 Roboty izolacyjne </w:t>
      </w:r>
    </w:p>
    <w:p>
      <w:pPr>
        <w:pStyle w:val="Normal"/>
        <w:rPr/>
      </w:pPr>
      <w:r>
        <w:rPr/>
        <w:t>45321000-3 Izolacja cieplna</w:t>
      </w:r>
    </w:p>
    <w:p>
      <w:pPr>
        <w:pStyle w:val="Normal"/>
        <w:rPr/>
      </w:pPr>
      <w:r>
        <w:rPr/>
        <w:t>45421000-4 Roboty w zakresie stolarki budowlanej</w:t>
      </w:r>
    </w:p>
    <w:p>
      <w:pPr>
        <w:pStyle w:val="Normal"/>
        <w:rPr/>
      </w:pPr>
      <w:r>
        <w:rPr/>
        <w:t>45432100-5 Kładzenie i wykładanie podłóg</w:t>
      </w:r>
    </w:p>
    <w:p>
      <w:pPr>
        <w:pStyle w:val="Normal"/>
        <w:rPr/>
      </w:pPr>
      <w:r>
        <w:rPr/>
        <w:t>45400000-1 Roboty wykończeniowe w zakresie obiektów budowlanych</w:t>
      </w:r>
    </w:p>
    <w:p>
      <w:pPr>
        <w:pStyle w:val="Normal"/>
        <w:rPr/>
      </w:pPr>
      <w:r>
        <w:rPr/>
        <w:t>45442100-8 Roboty malarskie</w:t>
      </w:r>
    </w:p>
    <w:p>
      <w:pPr>
        <w:pStyle w:val="Normal"/>
        <w:rPr/>
      </w:pPr>
      <w:r>
        <w:rPr/>
        <w:t>45262100-2 Roboty przy wznoszeniu rusztowań</w:t>
      </w:r>
    </w:p>
    <w:p>
      <w:pPr>
        <w:pStyle w:val="Normal"/>
        <w:rPr/>
      </w:pPr>
      <w:r>
        <w:rPr/>
        <w:t>45233200-1 Roboty w zakresie różnych nawierzchni</w:t>
      </w:r>
    </w:p>
    <w:p>
      <w:pPr>
        <w:pStyle w:val="Normal"/>
        <w:rPr/>
      </w:pPr>
      <w:r>
        <w:rPr/>
        <w:t>45233222-1 Roboty w zakresie układania chodników i asfaltowania</w:t>
      </w:r>
    </w:p>
    <w:p>
      <w:pPr>
        <w:pStyle w:val="Normal"/>
        <w:rPr/>
      </w:pPr>
      <w:r>
        <w:rPr/>
        <w:t>45422000-1 Roboty ciesielskie</w:t>
      </w:r>
    </w:p>
    <w:p>
      <w:pPr>
        <w:pStyle w:val="Normal"/>
        <w:rPr/>
      </w:pPr>
      <w:r>
        <w:rPr/>
        <w:t>45300000-0  Roboty instalacyjne w budynkach</w:t>
      </w:r>
    </w:p>
    <w:p>
      <w:pPr>
        <w:pStyle w:val="Normal"/>
        <w:rPr/>
      </w:pPr>
      <w:r>
        <w:rPr/>
        <w:t>45310000-3 Roboty instalacyjne elektryczne</w:t>
      </w:r>
    </w:p>
    <w:p>
      <w:pPr>
        <w:pStyle w:val="Normal"/>
        <w:rPr/>
      </w:pPr>
      <w:r>
        <w:rPr/>
        <w:t>45311100-1Roboty w zakresie okablowania elektrycznego</w:t>
      </w:r>
    </w:p>
    <w:p>
      <w:pPr>
        <w:pStyle w:val="Normal"/>
        <w:rPr/>
      </w:pPr>
      <w:r>
        <w:rPr/>
        <w:t>45315700-5 Instalowanie stacji rozdzielczych</w:t>
      </w:r>
    </w:p>
    <w:p>
      <w:pPr>
        <w:pStyle w:val="Normal"/>
        <w:rPr/>
      </w:pPr>
      <w:r>
        <w:rPr/>
        <w:t>45231300-8 Roboty budowlane w zakresie budowy wodociągów i rurociągów do odprowadzania ścieków</w:t>
      </w:r>
    </w:p>
    <w:p>
      <w:pPr>
        <w:pStyle w:val="Normal"/>
        <w:rPr/>
      </w:pPr>
      <w:r>
        <w:rPr/>
        <w:t>45232400-6 Roboty budowlane w zakresie kanałów ściekowych</w:t>
      </w:r>
    </w:p>
    <w:p>
      <w:pPr>
        <w:pStyle w:val="Normal"/>
        <w:rPr/>
      </w:pPr>
      <w:r>
        <w:rPr/>
        <w:t>45332200-5   Roboty instalacyjne hydrauliczne</w:t>
      </w:r>
    </w:p>
    <w:p>
      <w:pPr>
        <w:pStyle w:val="Normal"/>
        <w:rPr>
          <w:strike/>
          <w:color w:val="C9211E"/>
        </w:rPr>
      </w:pPr>
      <w:r>
        <w:rPr/>
        <w:t xml:space="preserve">45331100-7 </w:t>
      </w:r>
      <w:r>
        <w:rPr>
          <w:rFonts w:eastAsia="Times New Roman"/>
          <w:lang w:eastAsia="pl-PL" w:bidi="ar-SA"/>
        </w:rPr>
        <w:t xml:space="preserve">Instalowanie centralnego ogrzewania </w:t>
      </w:r>
    </w:p>
    <w:p>
      <w:pPr>
        <w:pStyle w:val="Normal"/>
        <w:jc w:val="both"/>
        <w:rPr>
          <w:strike/>
          <w:color w:val="C9211E"/>
        </w:rPr>
      </w:pPr>
      <w:r>
        <w:rPr>
          <w:strike/>
          <w:color w:val="C9211E"/>
        </w:rPr>
      </w:r>
    </w:p>
    <w:p>
      <w:pPr>
        <w:pStyle w:val="Normal"/>
        <w:jc w:val="both"/>
        <w:rPr>
          <w:bCs/>
        </w:rPr>
      </w:pPr>
      <w:r>
        <w:rPr/>
        <w:t>8. Zamawiający nie dopuszcza składania ofert częściowych.</w:t>
      </w:r>
    </w:p>
    <w:p>
      <w:pPr>
        <w:pStyle w:val="NoSpacing"/>
        <w:spacing w:lineRule="auto" w:line="276"/>
        <w:jc w:val="both"/>
        <w:rPr>
          <w:bCs/>
        </w:rPr>
      </w:pPr>
      <w:r>
        <w:rPr>
          <w:rFonts w:cs="Arial" w:ascii="Arial" w:hAnsi="Arial"/>
          <w:bCs/>
        </w:rPr>
        <w:t>Stosownie do treści art. 91 ust. 2 Pzp Zamawiający wskazuje, że nie dokonał podziału zamówienia na części, ponieważ zamówienie, udzielane w całości, jest dostosowane do potrzeb małych i średnich przedsiębiorstw w rozumieniu załącznika I do rozporządzenia Komisji (UE) nr 651/2014 z dnia 17 czerwca 2014 r.</w:t>
      </w:r>
    </w:p>
    <w:p>
      <w:pPr>
        <w:pStyle w:val="Normal"/>
        <w:tabs>
          <w:tab w:val="clear" w:pos="720"/>
          <w:tab w:val="left" w:pos="1843" w:leader="none"/>
        </w:tabs>
        <w:spacing w:before="0" w:after="120"/>
        <w:jc w:val="both"/>
        <w:rPr/>
      </w:pPr>
      <w:r>
        <w:rPr>
          <w:bCs/>
        </w:rPr>
        <w:t xml:space="preserve">Ponadto zamówienie dotyczy zakresu o zasięgu, który sprawia, iż wykonanie go w ramach jednej części i przez jednego wykonawcę będzie stanowić najbardziej efektywny z punktu widzenia technicznego i formalnego sposób realizacji zamówienia. </w:t>
      </w:r>
      <w:r>
        <w:rPr>
          <w:rFonts w:cs="Calibri"/>
          <w:bCs/>
        </w:rPr>
        <w:t xml:space="preserve">Ponadto </w:t>
      </w:r>
      <w:r>
        <w:rPr>
          <w:bCs/>
        </w:rPr>
        <w:t xml:space="preserve">Zamówienie jest niepodzielne na części, ponieważ ze względów technicznych, organizacyjnych i ekono-micznych tworzy nierozerwalną całość. Podział na części groziłoby poniesieniem nadmiernych kosztów wykonania zamówienia oraz generowaniem nadmiernych trudności technicznych np. związanych z potrzebą skoordynowania działań różnych wykonawców realizujących poszczególne zakresy robót, co zagrażałoby właściwemu wykonaniu zamówienia. </w:t>
      </w:r>
    </w:p>
    <w:p>
      <w:pPr>
        <w:pStyle w:val="Normal"/>
        <w:tabs>
          <w:tab w:val="clear" w:pos="720"/>
          <w:tab w:val="left" w:pos="225" w:leader="none"/>
        </w:tabs>
        <w:jc w:val="both"/>
        <w:rPr/>
      </w:pPr>
      <w:r>
        <w:rPr/>
        <w:t>9. Zamawiający nie dopuszcza składania ofert wariantowych oraz w postaci katalogów elektronicznych.</w:t>
      </w:r>
    </w:p>
    <w:p>
      <w:pPr>
        <w:pStyle w:val="Normal"/>
        <w:ind w:hanging="227" w:left="227"/>
        <w:jc w:val="both"/>
        <w:rPr>
          <w:iCs/>
          <w:color w:val="000000"/>
        </w:rPr>
      </w:pPr>
      <w:bookmarkStart w:id="4" w:name="mip69414218"/>
      <w:bookmarkEnd w:id="4"/>
      <w:r>
        <w:rPr/>
        <w:t>10. Zamawiający nie przewiduje udzielenia zamówień, o których mowa w art. 214 ust. 1 pkt 7 pzp.</w:t>
      </w:r>
    </w:p>
    <w:p>
      <w:pPr>
        <w:pStyle w:val="Normal"/>
        <w:tabs>
          <w:tab w:val="clear" w:pos="720"/>
          <w:tab w:val="left" w:pos="0" w:leader="none"/>
        </w:tabs>
        <w:spacing w:lineRule="auto" w:line="240"/>
        <w:jc w:val="both"/>
        <w:rPr>
          <w:color w:val="000000"/>
        </w:rPr>
      </w:pPr>
      <w:r>
        <w:rPr>
          <w:iCs/>
          <w:color w:val="000000"/>
        </w:rPr>
        <w:t xml:space="preserve">11. </w:t>
      </w:r>
      <w:r>
        <w:rPr>
          <w:color w:val="000000"/>
        </w:rPr>
        <w:t xml:space="preserve">Informacja o przedmiotowych środkach dowodowych. </w:t>
      </w:r>
    </w:p>
    <w:p>
      <w:pPr>
        <w:pStyle w:val="Normal"/>
        <w:tabs>
          <w:tab w:val="clear" w:pos="720"/>
          <w:tab w:val="left" w:pos="0" w:leader="none"/>
        </w:tabs>
        <w:spacing w:lineRule="auto" w:line="240"/>
        <w:jc w:val="both"/>
        <w:rPr>
          <w:color w:val="000000"/>
        </w:rPr>
      </w:pPr>
      <w:r>
        <w:rPr>
          <w:color w:val="000000"/>
        </w:rPr>
        <w:t xml:space="preserve">Zamawiający nie stawia wymogu złożenia wraz z ofertą przedmiotowych środków dowodowych. </w:t>
      </w:r>
    </w:p>
    <w:p>
      <w:pPr>
        <w:pStyle w:val="Normal"/>
        <w:tabs>
          <w:tab w:val="clear" w:pos="720"/>
          <w:tab w:val="left" w:pos="0" w:leader="none"/>
        </w:tabs>
        <w:spacing w:lineRule="auto" w:line="240"/>
        <w:jc w:val="both"/>
        <w:rPr>
          <w:color w:val="000000"/>
        </w:rPr>
      </w:pPr>
      <w:r>
        <w:rPr>
          <w:color w:val="000000"/>
        </w:rPr>
      </w:r>
    </w:p>
    <w:p>
      <w:pPr>
        <w:pStyle w:val="Heading2"/>
        <w:rPr>
          <w:rFonts w:hint="eastAsia"/>
        </w:rPr>
      </w:pPr>
      <w:bookmarkStart w:id="5" w:name="_s0i9odf430x7"/>
      <w:bookmarkEnd w:id="5"/>
      <w:r>
        <w:rPr/>
        <w:t>V. Wizja lokalna</w:t>
      </w:r>
    </w:p>
    <w:p>
      <w:pPr>
        <w:pStyle w:val="Normal"/>
        <w:numPr>
          <w:ilvl w:val="0"/>
          <w:numId w:val="26"/>
        </w:numPr>
        <w:spacing w:before="240" w:after="40"/>
        <w:jc w:val="both"/>
        <w:rPr/>
      </w:pPr>
      <w:r>
        <w:rPr>
          <w:rStyle w:val="Domylnaczcionkaakapitu1"/>
        </w:rPr>
        <w:t xml:space="preserve">Zamawiający przewiduje przed złożeniem oferty obowiązek przeprowadzenia wizji lokalnej w terenie, o której mowa w art. 131 ust. 2 pzp </w:t>
      </w:r>
      <w:r>
        <w:rPr/>
        <w:t>w celu pozyskania wszelkich danych mogących być przydatnymi do przygotowania oferty oraz realizacji przedmiotu umowy.</w:t>
      </w:r>
    </w:p>
    <w:p>
      <w:pPr>
        <w:pStyle w:val="ListParagraph"/>
        <w:numPr>
          <w:ilvl w:val="0"/>
          <w:numId w:val="26"/>
        </w:numPr>
        <w:spacing w:lineRule="auto" w:line="276"/>
        <w:jc w:val="both"/>
        <w:rPr>
          <w:rFonts w:ascii="Arial" w:hAnsi="Arial"/>
          <w:sz w:val="22"/>
          <w:szCs w:val="22"/>
        </w:rPr>
      </w:pPr>
      <w:r>
        <w:rPr>
          <w:rFonts w:cs="Arial" w:ascii="Arial" w:hAnsi="Arial"/>
          <w:sz w:val="22"/>
          <w:szCs w:val="22"/>
        </w:rPr>
        <w:t xml:space="preserve">W związku z obowiązkowym charakterem wizji lokalnej oferta, która zostanie złożona bez odbycia wizji lokalnej podlega odrzuceniu na podstawie art. 226 ust. 1 pkt 18 pzp. </w:t>
      </w:r>
    </w:p>
    <w:p>
      <w:pPr>
        <w:pStyle w:val="ListParagraph"/>
        <w:numPr>
          <w:ilvl w:val="0"/>
          <w:numId w:val="26"/>
        </w:numPr>
        <w:spacing w:lineRule="auto" w:line="276"/>
        <w:ind w:hanging="357" w:left="357"/>
        <w:jc w:val="both"/>
        <w:rPr/>
      </w:pPr>
      <w:r>
        <w:rPr>
          <w:rFonts w:cs="Arial" w:ascii="Arial" w:hAnsi="Arial"/>
          <w:sz w:val="22"/>
          <w:szCs w:val="22"/>
        </w:rPr>
        <w:t>Wizja lokalna odbędzie się w terminie</w:t>
      </w:r>
      <w:r>
        <w:rPr>
          <w:rFonts w:cs="Arial" w:ascii="Arial" w:hAnsi="Arial"/>
          <w:color w:val="FF0000"/>
          <w:sz w:val="22"/>
          <w:szCs w:val="22"/>
        </w:rPr>
        <w:t xml:space="preserve"> </w:t>
      </w:r>
      <w:r>
        <w:rPr>
          <w:rFonts w:cs="Arial" w:ascii="Arial" w:hAnsi="Arial"/>
          <w:color w:val="auto"/>
          <w:sz w:val="22"/>
          <w:szCs w:val="22"/>
        </w:rPr>
        <w:t>19.05.2026 r. w godz.: 11:00-12:00. Zamawiający wyznacza także dodatkowy termin wizji lokalnej w dniu 21.05.2026 r. w godz. 11:00-12:00.</w:t>
      </w:r>
    </w:p>
    <w:p>
      <w:pPr>
        <w:pStyle w:val="ListParagraph"/>
        <w:numPr>
          <w:ilvl w:val="0"/>
          <w:numId w:val="26"/>
        </w:numPr>
        <w:spacing w:lineRule="auto" w:line="276"/>
        <w:jc w:val="both"/>
        <w:rPr/>
      </w:pPr>
      <w:r>
        <w:rPr>
          <w:rFonts w:cs="Arial" w:ascii="Arial" w:hAnsi="Arial"/>
          <w:sz w:val="22"/>
          <w:szCs w:val="22"/>
        </w:rPr>
        <w:t xml:space="preserve">Chęć udziału w wizji lokalnej należy zgłaszać najpóźniej w poprzednim dniu roboczym przed planowanym terminem na adres mailowy: </w:t>
      </w:r>
      <w:hyperlink r:id="rId4">
        <w:r>
          <w:rPr>
            <w:rStyle w:val="Style1"/>
            <w:rFonts w:cs="Calibri Light" w:ascii="Arial" w:hAnsi="Arial"/>
            <w:color w:val="000080"/>
            <w:sz w:val="22"/>
            <w:szCs w:val="22"/>
            <w:u w:val="single"/>
            <w:lang w:val="de-DE"/>
          </w:rPr>
          <w:t>dominika.pejska@zgmskierniewice.com.pl</w:t>
        </w:r>
      </w:hyperlink>
      <w:r>
        <w:rPr>
          <w:rFonts w:cs="Calibri Light" w:ascii="Arial" w:hAnsi="Arial"/>
          <w:sz w:val="22"/>
          <w:szCs w:val="22"/>
          <w:lang w:val="de-DE"/>
        </w:rPr>
        <w:t xml:space="preserve">                         l</w:t>
      </w:r>
      <w:r>
        <w:rPr>
          <w:rFonts w:cs="Arial" w:ascii="Arial" w:hAnsi="Arial"/>
          <w:sz w:val="22"/>
          <w:szCs w:val="22"/>
        </w:rPr>
        <w:t>ub telefonicznie pod nr (</w:t>
      </w:r>
      <w:r>
        <w:rPr>
          <w:rFonts w:cs="Calibri Light" w:ascii="Arial" w:hAnsi="Arial"/>
          <w:sz w:val="22"/>
          <w:szCs w:val="22"/>
        </w:rPr>
        <w:t>46) 833 26 53 wew. 22.</w:t>
      </w:r>
    </w:p>
    <w:p>
      <w:pPr>
        <w:pStyle w:val="ListParagraph"/>
        <w:numPr>
          <w:ilvl w:val="0"/>
          <w:numId w:val="26"/>
        </w:numPr>
        <w:spacing w:lineRule="auto" w:line="276"/>
        <w:jc w:val="both"/>
        <w:rPr>
          <w:rFonts w:ascii="Arial" w:hAnsi="Arial"/>
          <w:sz w:val="22"/>
          <w:szCs w:val="22"/>
        </w:rPr>
      </w:pPr>
      <w:r>
        <w:rPr>
          <w:rFonts w:cs="Arial" w:ascii="Arial" w:hAnsi="Arial"/>
          <w:sz w:val="22"/>
          <w:szCs w:val="22"/>
        </w:rPr>
        <w:t>Wizja lokalna może odbyć się wyłącznie przy udziale przedstawiciela Zamawiającego.                     W trakcie wizji lokalnej przedstawiciel Wykonawcy dokonuje oględzin terenu budowy samodzielnie przy udziale przedstawiciela Zamawiającego;</w:t>
      </w:r>
    </w:p>
    <w:p>
      <w:pPr>
        <w:pStyle w:val="ListParagraph"/>
        <w:numPr>
          <w:ilvl w:val="0"/>
          <w:numId w:val="26"/>
        </w:numPr>
        <w:spacing w:lineRule="auto" w:line="276"/>
        <w:jc w:val="both"/>
        <w:rPr>
          <w:rFonts w:ascii="Arial" w:hAnsi="Arial"/>
          <w:sz w:val="22"/>
          <w:szCs w:val="22"/>
        </w:rPr>
      </w:pPr>
      <w:r>
        <w:rPr>
          <w:rFonts w:cs="Arial" w:ascii="Arial" w:hAnsi="Arial"/>
          <w:sz w:val="22"/>
          <w:szCs w:val="22"/>
        </w:rPr>
        <w:t>Zamawiający informuje, że nie przewiduje zebrania Wykonawców w celu wyjaśnienia wątpliwości dotyczących treści SWZ, a w trakcie wizji lokalnej nie będzie udzielał odpowiedzi na pytania dotyczące treści SWZ.</w:t>
      </w:r>
    </w:p>
    <w:p>
      <w:pPr>
        <w:pStyle w:val="ListParagraph"/>
        <w:numPr>
          <w:ilvl w:val="0"/>
          <w:numId w:val="26"/>
        </w:numPr>
        <w:spacing w:lineRule="auto" w:line="276"/>
        <w:jc w:val="both"/>
        <w:rPr>
          <w:rFonts w:ascii="Arial" w:hAnsi="Arial"/>
          <w:sz w:val="22"/>
          <w:szCs w:val="22"/>
        </w:rPr>
      </w:pPr>
      <w:r>
        <w:rPr>
          <w:rFonts w:cs="Arial" w:ascii="Arial" w:hAnsi="Arial"/>
          <w:sz w:val="22"/>
          <w:szCs w:val="22"/>
        </w:rPr>
        <w:t xml:space="preserve">Wzór potwierdzenia dokonania wizji lokalnej stanowi załącznik nr 1 do SWZ. Potwierdzenie będzie podpisane przez osoby reprezentujące Wykonawcę oraz Zamawiającego. </w:t>
      </w:r>
    </w:p>
    <w:p>
      <w:pPr>
        <w:pStyle w:val="ListParagraph"/>
        <w:numPr>
          <w:ilvl w:val="0"/>
          <w:numId w:val="26"/>
        </w:numPr>
        <w:spacing w:lineRule="auto" w:line="276"/>
        <w:jc w:val="both"/>
        <w:rPr/>
      </w:pPr>
      <w:r>
        <w:rPr>
          <w:rStyle w:val="Domylnaczcionkaakapitu1"/>
          <w:rFonts w:cs="Arial" w:ascii="Arial" w:hAnsi="Arial"/>
          <w:sz w:val="22"/>
          <w:szCs w:val="22"/>
        </w:rPr>
        <w:t xml:space="preserve">Koszty Wykonawcy związane z udziałem w wizji lokalnej poniesie Wykonawca. </w:t>
      </w:r>
    </w:p>
    <w:p>
      <w:pPr>
        <w:pStyle w:val="Normal"/>
        <w:tabs>
          <w:tab w:val="clear" w:pos="720"/>
          <w:tab w:val="left" w:pos="0" w:leader="none"/>
        </w:tabs>
        <w:spacing w:before="0" w:after="120"/>
        <w:rPr/>
      </w:pPr>
      <w:r>
        <w:rPr/>
      </w:r>
    </w:p>
    <w:p>
      <w:pPr>
        <w:pStyle w:val="Heading2"/>
        <w:tabs>
          <w:tab w:val="clear" w:pos="720"/>
          <w:tab w:val="left" w:pos="0" w:leader="none"/>
        </w:tabs>
        <w:spacing w:before="0" w:after="120"/>
        <w:rPr>
          <w:rFonts w:hint="eastAsia"/>
          <w:sz w:val="30"/>
          <w:szCs w:val="30"/>
        </w:rPr>
      </w:pPr>
      <w:r>
        <w:rPr>
          <w:sz w:val="30"/>
          <w:szCs w:val="30"/>
        </w:rPr>
        <w:t>VI. Podwykonawstwo</w:t>
      </w:r>
    </w:p>
    <w:p>
      <w:pPr>
        <w:pStyle w:val="Normal"/>
        <w:numPr>
          <w:ilvl w:val="0"/>
          <w:numId w:val="6"/>
        </w:numPr>
        <w:jc w:val="both"/>
        <w:rPr/>
      </w:pPr>
      <w:r>
        <w:rPr/>
        <w:t>Wykonawca może powierzyć wykonanie części zamówienia podwykonawcy (podwykonawcom).</w:t>
      </w:r>
    </w:p>
    <w:p>
      <w:pPr>
        <w:pStyle w:val="Normal"/>
        <w:numPr>
          <w:ilvl w:val="0"/>
          <w:numId w:val="6"/>
        </w:numPr>
        <w:jc w:val="both"/>
        <w:rPr/>
      </w:pPr>
      <w:r>
        <w:rPr/>
        <w:t xml:space="preserve">Zamawiający </w:t>
      </w:r>
      <w:r>
        <w:rPr>
          <w:rStyle w:val="Domylnaczcionkaakapitu1"/>
          <w:b/>
        </w:rPr>
        <w:t>nie zastrzega</w:t>
      </w:r>
      <w:r>
        <w:rPr/>
        <w:t xml:space="preserve"> obowiązku osobistego wykonania przez Wykonawcę kluczowych części zamówienia.</w:t>
      </w:r>
    </w:p>
    <w:p>
      <w:pPr>
        <w:pStyle w:val="Normal"/>
        <w:numPr>
          <w:ilvl w:val="0"/>
          <w:numId w:val="6"/>
        </w:numPr>
        <w:jc w:val="both"/>
        <w:rPr/>
      </w:pPr>
      <w:r>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pPr>
        <w:pStyle w:val="Normal"/>
        <w:ind w:left="453"/>
        <w:jc w:val="both"/>
        <w:rPr/>
      </w:pPr>
      <w:r>
        <w:rPr/>
      </w:r>
    </w:p>
    <w:p>
      <w:pPr>
        <w:pStyle w:val="Heading2"/>
        <w:numPr>
          <w:ilvl w:val="1"/>
          <w:numId w:val="1"/>
        </w:numPr>
        <w:tabs>
          <w:tab w:val="clear" w:pos="720"/>
          <w:tab w:val="left" w:pos="0" w:leader="none"/>
        </w:tabs>
        <w:spacing w:before="0" w:after="0"/>
        <w:rPr>
          <w:rFonts w:hint="eastAsia"/>
        </w:rPr>
      </w:pPr>
      <w:bookmarkStart w:id="6" w:name="_6katmqtjrys4"/>
      <w:bookmarkEnd w:id="6"/>
      <w:r>
        <w:rPr>
          <w:sz w:val="30"/>
          <w:szCs w:val="30"/>
        </w:rPr>
        <w:t>VII. Termin wykonania zamówienia</w:t>
      </w:r>
    </w:p>
    <w:p>
      <w:pPr>
        <w:pStyle w:val="Normal"/>
        <w:tabs>
          <w:tab w:val="clear" w:pos="720"/>
          <w:tab w:val="left" w:pos="0" w:leader="none"/>
        </w:tabs>
        <w:rPr/>
      </w:pPr>
      <w:r>
        <w:rPr/>
      </w:r>
    </w:p>
    <w:p>
      <w:pPr>
        <w:pStyle w:val="Normal"/>
        <w:numPr>
          <w:ilvl w:val="0"/>
          <w:numId w:val="18"/>
        </w:numPr>
        <w:jc w:val="both"/>
        <w:rPr/>
      </w:pPr>
      <w:r>
        <w:rPr/>
        <w:t xml:space="preserve">Termin realizacji zamówienia wynosi dla całości zamówienia: do </w:t>
      </w:r>
      <w:r>
        <w:rPr>
          <w:b/>
          <w:bCs/>
        </w:rPr>
        <w:t xml:space="preserve">21 miesięcy </w:t>
      </w:r>
      <w:r>
        <w:rPr/>
        <w:t>od dnia zawarcia umowy</w:t>
      </w:r>
      <w:r>
        <w:rPr>
          <w:rStyle w:val="Domylnaczcionkaakapitu1"/>
        </w:rPr>
        <w:t>.</w:t>
      </w:r>
    </w:p>
    <w:p>
      <w:pPr>
        <w:pStyle w:val="Normal"/>
        <w:numPr>
          <w:ilvl w:val="0"/>
          <w:numId w:val="18"/>
        </w:numPr>
        <w:jc w:val="both"/>
        <w:rPr>
          <w:sz w:val="30"/>
          <w:szCs w:val="30"/>
        </w:rPr>
      </w:pPr>
      <w:r>
        <w:rPr/>
        <w:t xml:space="preserve">Szczegółowe zagadnienia dotyczące terminu realizacji umowy uregulowane są we wzorze umowy stanowiącej </w:t>
      </w:r>
      <w:r>
        <w:rPr>
          <w:rStyle w:val="Domylnaczcionkaakapitu1"/>
          <w:b/>
        </w:rPr>
        <w:t>załącznik nr 4 do SWZ</w:t>
      </w:r>
      <w:r>
        <w:rPr/>
        <w:t>.</w:t>
      </w:r>
    </w:p>
    <w:p>
      <w:pPr>
        <w:pStyle w:val="Heading2"/>
        <w:numPr>
          <w:ilvl w:val="1"/>
          <w:numId w:val="1"/>
        </w:numPr>
        <w:tabs>
          <w:tab w:val="clear" w:pos="720"/>
          <w:tab w:val="left" w:pos="0" w:leader="none"/>
        </w:tabs>
        <w:spacing w:before="0" w:after="120"/>
        <w:rPr>
          <w:rFonts w:hint="eastAsia"/>
          <w:sz w:val="30"/>
          <w:szCs w:val="30"/>
        </w:rPr>
      </w:pPr>
      <w:r>
        <w:rPr>
          <w:rFonts w:hint="eastAsia"/>
          <w:sz w:val="30"/>
          <w:szCs w:val="30"/>
        </w:rPr>
      </w:r>
    </w:p>
    <w:p>
      <w:pPr>
        <w:pStyle w:val="Heading2"/>
        <w:numPr>
          <w:ilvl w:val="1"/>
          <w:numId w:val="1"/>
        </w:numPr>
        <w:tabs>
          <w:tab w:val="clear" w:pos="720"/>
          <w:tab w:val="left" w:pos="0" w:leader="none"/>
        </w:tabs>
        <w:spacing w:before="0" w:after="120"/>
        <w:rPr>
          <w:rFonts w:hint="eastAsia"/>
          <w:sz w:val="30"/>
          <w:szCs w:val="30"/>
        </w:rPr>
      </w:pPr>
      <w:bookmarkStart w:id="7" w:name="_nz5qrlch0jbr"/>
      <w:bookmarkEnd w:id="7"/>
      <w:r>
        <w:rPr>
          <w:sz w:val="30"/>
          <w:szCs w:val="30"/>
        </w:rPr>
        <w:t>VIII. Warunki udziału w postępowaniu</w:t>
      </w:r>
    </w:p>
    <w:p>
      <w:pPr>
        <w:pStyle w:val="Normal"/>
        <w:tabs>
          <w:tab w:val="clear" w:pos="720"/>
          <w:tab w:val="left" w:pos="690" w:leader="none"/>
        </w:tabs>
        <w:ind w:right="20"/>
        <w:jc w:val="both"/>
        <w:rPr/>
      </w:pPr>
      <w:r>
        <w:rPr/>
      </w:r>
    </w:p>
    <w:p>
      <w:pPr>
        <w:pStyle w:val="Normal"/>
        <w:tabs>
          <w:tab w:val="clear" w:pos="720"/>
          <w:tab w:val="left" w:pos="690" w:leader="none"/>
        </w:tabs>
        <w:ind w:right="20"/>
        <w:jc w:val="both"/>
        <w:rPr/>
      </w:pPr>
      <w:r>
        <w:rPr/>
        <w:t xml:space="preserve">1. O udzielenie zamówienia mogą ubiegać się Wykonawcy, którzy nie podlegają </w:t>
        <w:tab/>
        <w:t xml:space="preserve">wykluczeniu na zasadach określonych w Rozdziale IX SWZ, oraz spełniają określone </w:t>
        <w:tab/>
        <w:t>przez Zamawiającego warunki</w:t>
      </w:r>
      <w:r>
        <w:rPr>
          <w:rStyle w:val="Domylnaczcionkaakapitu1"/>
          <w:b/>
          <w:shd w:fill="FFFFFF" w:val="clear"/>
        </w:rPr>
        <w:t xml:space="preserve"> </w:t>
      </w:r>
      <w:r>
        <w:rPr>
          <w:rStyle w:val="Domylnaczcionkaakapitu1"/>
          <w:shd w:fill="FFFFFF" w:val="clear"/>
        </w:rPr>
        <w:t>udziału w postępowaniu.</w:t>
      </w:r>
    </w:p>
    <w:p>
      <w:pPr>
        <w:pStyle w:val="Normal"/>
        <w:tabs>
          <w:tab w:val="clear" w:pos="720"/>
          <w:tab w:val="left" w:pos="668" w:leader="none"/>
        </w:tabs>
        <w:ind w:right="20"/>
        <w:jc w:val="both"/>
        <w:rPr>
          <w:rStyle w:val="Domylnaczcionkaakapitu1"/>
          <w:b/>
        </w:rPr>
      </w:pPr>
      <w:r>
        <w:rPr/>
        <w:t xml:space="preserve">2. O udzielenie zamówienia mogą ubiegać się Wykonawcy, którzy spełniają warunki </w:t>
        <w:tab/>
        <w:t>dotyczące:</w:t>
      </w:r>
    </w:p>
    <w:p>
      <w:pPr>
        <w:pStyle w:val="Normal"/>
        <w:numPr>
          <w:ilvl w:val="0"/>
          <w:numId w:val="7"/>
        </w:numPr>
        <w:ind w:hanging="426" w:left="852" w:right="20"/>
        <w:jc w:val="both"/>
        <w:rPr/>
      </w:pPr>
      <w:r>
        <w:rPr>
          <w:rStyle w:val="Domylnaczcionkaakapitu1"/>
          <w:b/>
        </w:rPr>
        <w:t>zdolności do występowania w obrocie gospodarczym:</w:t>
      </w:r>
    </w:p>
    <w:p>
      <w:pPr>
        <w:pStyle w:val="Normal"/>
        <w:ind w:left="868" w:right="20"/>
        <w:jc w:val="both"/>
        <w:rPr>
          <w:b/>
        </w:rPr>
      </w:pPr>
      <w:r>
        <w:rPr/>
        <w:t>Zamawiający nie precyzuje w tym zakresie żadnych wymagań, których spełnianie Wykonawca zobowiązany jest wykazać w sposób szczególny.</w:t>
      </w:r>
    </w:p>
    <w:p>
      <w:pPr>
        <w:pStyle w:val="Normal"/>
        <w:numPr>
          <w:ilvl w:val="0"/>
          <w:numId w:val="7"/>
        </w:numPr>
        <w:ind w:hanging="426" w:left="852" w:right="20"/>
        <w:jc w:val="both"/>
        <w:rPr/>
      </w:pPr>
      <w:r>
        <w:rPr>
          <w:b/>
        </w:rPr>
        <w:t>uprawnień do prowadzenia określonej działalności gospodarczej lub zawodowej, o ile wynika to z odrębnych przepisów:</w:t>
      </w:r>
    </w:p>
    <w:p>
      <w:pPr>
        <w:pStyle w:val="Normal"/>
        <w:ind w:left="868" w:right="20"/>
        <w:jc w:val="both"/>
        <w:rPr>
          <w:b/>
        </w:rPr>
      </w:pPr>
      <w:r>
        <w:rPr/>
        <w:t>Zamawiający nie precyzuje w tym zakresie żadnych wymagań, których spełnianie Wykonawca zobowiązany jest wykazać w sposób szczególny.</w:t>
      </w:r>
    </w:p>
    <w:p>
      <w:pPr>
        <w:pStyle w:val="Normal"/>
        <w:ind w:left="868" w:right="20"/>
        <w:jc w:val="both"/>
        <w:rPr>
          <w:b/>
        </w:rPr>
      </w:pPr>
      <w:r>
        <w:rPr>
          <w:b/>
        </w:rPr>
      </w:r>
    </w:p>
    <w:p>
      <w:pPr>
        <w:pStyle w:val="Normal"/>
        <w:ind w:left="868" w:right="20"/>
        <w:jc w:val="both"/>
        <w:rPr>
          <w:b/>
        </w:rPr>
      </w:pPr>
      <w:r>
        <w:rPr>
          <w:b/>
        </w:rPr>
      </w:r>
    </w:p>
    <w:p>
      <w:pPr>
        <w:pStyle w:val="Normal"/>
        <w:numPr>
          <w:ilvl w:val="0"/>
          <w:numId w:val="7"/>
        </w:numPr>
        <w:ind w:hanging="426" w:left="852" w:right="20"/>
        <w:jc w:val="both"/>
        <w:rPr/>
      </w:pPr>
      <w:r>
        <w:rPr>
          <w:b/>
        </w:rPr>
        <w:t>sytuacji ekonomicznej lub finansowej:</w:t>
      </w:r>
    </w:p>
    <w:p>
      <w:pPr>
        <w:pStyle w:val="ListParagraph"/>
        <w:spacing w:lineRule="auto" w:line="276"/>
        <w:ind w:left="0"/>
        <w:jc w:val="both"/>
        <w:rPr>
          <w:rFonts w:ascii="Arial" w:hAnsi="Arial" w:cs="Arial"/>
        </w:rPr>
      </w:pPr>
      <w:r>
        <w:rPr>
          <w:rStyle w:val="Domylnaczcionkaakapitu1"/>
        </w:rPr>
        <w:tab/>
      </w:r>
      <w:r>
        <w:rPr>
          <w:rStyle w:val="Domylnaczcionkaakapitu1"/>
          <w:rFonts w:cs="Arial" w:ascii="Arial" w:hAnsi="Arial"/>
          <w:sz w:val="22"/>
        </w:rPr>
        <w:t xml:space="preserve">  Wykonawca spełni warunek udziału w postępowaniu dotyczący sytuacji ekonomicznej </w:t>
        <w:tab/>
        <w:t xml:space="preserve">  lub finansowej, jeżeli wykaże, że posiada środki finansowe lub zdolność kredytową nie </w:t>
        <w:tab/>
        <w:t xml:space="preserve">  mniejszą niż </w:t>
      </w:r>
      <w:r>
        <w:rPr>
          <w:rStyle w:val="Domylnaczcionkaakapitu1"/>
          <w:rFonts w:cs="Arial" w:ascii="Arial" w:hAnsi="Arial"/>
          <w:b/>
          <w:bCs/>
          <w:color w:val="auto"/>
          <w:sz w:val="22"/>
        </w:rPr>
        <w:t>5.000.000,00 zł</w:t>
      </w:r>
      <w:r>
        <w:rPr>
          <w:rStyle w:val="Domylnaczcionkaakapitu1"/>
          <w:rFonts w:cs="Arial" w:ascii="Arial" w:hAnsi="Arial"/>
          <w:color w:val="auto"/>
          <w:sz w:val="22"/>
        </w:rPr>
        <w:t xml:space="preserve"> (słow</w:t>
      </w:r>
      <w:r>
        <w:rPr>
          <w:rStyle w:val="Domylnaczcionkaakapitu1"/>
          <w:rFonts w:cs="Arial" w:ascii="Arial" w:hAnsi="Arial"/>
          <w:sz w:val="22"/>
        </w:rPr>
        <w:t xml:space="preserve">nie: pięć milionów złotych). </w:t>
      </w:r>
    </w:p>
    <w:p>
      <w:pPr>
        <w:pStyle w:val="Normal"/>
        <w:numPr>
          <w:ilvl w:val="0"/>
          <w:numId w:val="7"/>
        </w:numPr>
        <w:ind w:hanging="426" w:left="852" w:right="20"/>
        <w:jc w:val="both"/>
        <w:rPr>
          <w:rStyle w:val="Domylnaczcionkaakapitu1"/>
          <w:b/>
        </w:rPr>
      </w:pPr>
      <w:r>
        <w:rPr>
          <w:rStyle w:val="Domylnaczcionkaakapitu1"/>
          <w:b/>
        </w:rPr>
        <w:t xml:space="preserve">zdolności technicznej lub zawodowej </w:t>
      </w:r>
    </w:p>
    <w:p>
      <w:pPr>
        <w:pStyle w:val="Normal"/>
        <w:ind w:right="20"/>
        <w:jc w:val="both"/>
        <w:rPr/>
      </w:pPr>
      <w:r>
        <w:rPr>
          <w:rStyle w:val="Domylnaczcionkaakapitu1"/>
          <w:u w:val="single"/>
        </w:rPr>
        <w:t>a) w zakresie doświadczenia:</w:t>
      </w:r>
    </w:p>
    <w:p>
      <w:pPr>
        <w:pStyle w:val="BodyText"/>
        <w:rPr/>
      </w:pPr>
      <w:r>
        <w:rPr>
          <w:rStyle w:val="Domylnaczcionkaakapitu6"/>
          <w:rFonts w:eastAsia="Nimbus Roman No9 L;Times New Ro"/>
        </w:rPr>
        <w:t>Zamawiający uzna warunek za spełniony, jeżeli Wykonawca wykaże wykonanie, nie wcześniej niż w okresie ostatnich pięciu lat przed upływem terminu składania ofert, co najmniej dwóch robót budowlanych polegających na budowie budynku mieszkalnego wielorodzinnego o kubaturze co najmniej 3500 m</w:t>
      </w:r>
      <w:r>
        <w:rPr>
          <w:rStyle w:val="Domylnaczcionkaakapitu6"/>
          <w:rFonts w:eastAsia="Nimbus Roman No9 L;Times New Ro"/>
          <w:vertAlign w:val="superscript"/>
        </w:rPr>
        <w:t>3</w:t>
      </w:r>
      <w:r>
        <w:rPr>
          <w:rStyle w:val="Domylnaczcionkaakapitu6"/>
          <w:rFonts w:eastAsia="Nimbus Roman No9 L;Times New Ro"/>
        </w:rPr>
        <w:t xml:space="preserve"> i wartości co najmniej </w:t>
      </w:r>
      <w:r>
        <w:rPr>
          <w:rStyle w:val="Domylnaczcionkaakapitu6"/>
          <w:rFonts w:eastAsia="Nimbus Roman No9 L;Times New Ro"/>
          <w:b/>
          <w:bCs/>
        </w:rPr>
        <w:t xml:space="preserve">8.000.000,00 zł </w:t>
      </w:r>
      <w:r>
        <w:rPr>
          <w:rStyle w:val="Domylnaczcionkaakapitu6"/>
          <w:rFonts w:eastAsia="Nimbus Roman No9 L;Times New Ro"/>
        </w:rPr>
        <w:t xml:space="preserve">brutto każda (słownie: osiem milionów złotych brutto) </w:t>
      </w:r>
      <w:r>
        <w:rPr>
          <w:rStyle w:val="Domylnaczcionkaakapitu6"/>
          <w:rFonts w:eastAsia="Nimbus Roman No9 L"/>
        </w:rPr>
        <w:t xml:space="preserve">wraz z uzyskaniem pozwolenia na użytkowanie oraz wyposażeniem każdego lokalu mieszkalnego w co najmniej: zlewozmywak, </w:t>
      </w:r>
      <w:r>
        <w:rPr>
          <w:rStyle w:val="Domylnaczcionkaakapitu6"/>
          <w:rFonts w:eastAsia="Nimbus Roman No9 L;Times New Ro"/>
        </w:rPr>
        <w:t>czteropaleniskową kuchenkę gazową lub równoważną użytkowo kuchenkę elektryczną</w:t>
      </w:r>
      <w:r>
        <w:rPr>
          <w:rStyle w:val="Domylnaczcionkaakapitu6"/>
          <w:rFonts w:eastAsia="Nimbus Roman No9 L"/>
        </w:rPr>
        <w:t>, kabinę prysznicową z brodzikiem lub wannę, umywalkę, muszlę WC, płytki na ścianach i podłogach oraz panele podłogowe, drzwi wewnętrzne wraz z ościeżnicami.</w:t>
      </w:r>
      <w:bookmarkStart w:id="8" w:name="_GoBack_kopia_1"/>
      <w:bookmarkEnd w:id="8"/>
    </w:p>
    <w:p>
      <w:pPr>
        <w:pStyle w:val="Normal"/>
        <w:jc w:val="both"/>
        <w:rPr/>
      </w:pPr>
      <w:r>
        <w:rPr>
          <w:u w:val="single"/>
        </w:rPr>
        <w:t xml:space="preserve">b) w zakresie potencjału osobowego </w:t>
      </w:r>
      <w:r>
        <w:rPr/>
        <w:t xml:space="preserve"> - Zamawiający uzna ww. warunek za spełniony, jeżeli Wykonawca wykaże dysponowanie osobami, skierowanymi przez Wykonawcę do realizacji zamówienia publicznego, w szczególności odpowiedzialnymi za kierowanie robotami budowlanymi wraz z informacjami na temat ich kwalifikacji zawodowych, uprawnień, doświadczenia i wykształcenia niezbędnych do wykonania zamówienia publicznego, a także zakresu wykonywanych przez te osoby czynności oraz informacją o podstawie do dysponowania tymi osobami. Zamawiający żąda potwierdzenia, że wykonawca dysponuje lub będzie dysponował co najmniej jedną osobą sprawującą funkcję:</w:t>
      </w:r>
    </w:p>
    <w:p>
      <w:pPr>
        <w:pStyle w:val="Normal"/>
        <w:jc w:val="both"/>
        <w:rPr/>
      </w:pPr>
      <w:r>
        <w:rPr/>
        <w:t xml:space="preserve"> </w:t>
      </w:r>
      <w:r>
        <w:rPr/>
        <w:t>Kierownika Budowy (KB) posiadającego wymagane prawem uprawnienia do sprawowania samodzielnych funkcji technicznych w budownictwie (do kierowania budową lub innymi robotami budowlanymi) w specjalności ogólnobudowlanej lub konstrukcyjno-budowlanej oraz posiadającego minimum 5-letnie doświadczenie zawodowe w pełnieniu funkcji kierownika budowy lub kierownika robót zdobyte na minimum dwóch robotach budowlanych polegających na budowie, budynku mieszkalnego wielorodzinnego lub budynku użyteczności publicznej. Przez minimalne doświadczenie zawodowe rozumie się pełne lata od daty uzyskania uprawnień.</w:t>
      </w:r>
    </w:p>
    <w:p>
      <w:pPr>
        <w:pStyle w:val="Normal"/>
        <w:jc w:val="both"/>
        <w:rPr/>
      </w:pPr>
      <w:r>
        <w:rPr/>
        <w:t xml:space="preserve"> </w:t>
      </w:r>
      <w:r>
        <w:rPr/>
        <w:t>Kierownika Robót (KRel) o specjalności instalacyjnej w zakresie sieci, instalacji i urządzeń elektrycznych i elektroenergetycznych.</w:t>
      </w:r>
    </w:p>
    <w:p>
      <w:pPr>
        <w:pStyle w:val="Normal"/>
        <w:jc w:val="both"/>
        <w:rPr/>
      </w:pPr>
      <w:r>
        <w:rPr/>
        <w:t xml:space="preserve"> </w:t>
      </w:r>
      <w:r>
        <w:rPr/>
        <w:t>Kierownik Robót (KRwod.-kan.) o specjalności instalacyjnej w zakresie sieci, instalacji                           i urządzeń: wodociągowych i kanalizacyjnych,</w:t>
      </w:r>
    </w:p>
    <w:p>
      <w:pPr>
        <w:pStyle w:val="Normal"/>
        <w:jc w:val="both"/>
        <w:rPr/>
      </w:pPr>
      <w:r>
        <w:rPr/>
        <w:t xml:space="preserve"> </w:t>
      </w:r>
      <w:r>
        <w:rPr/>
        <w:t>Kierownik Robót (KRwent.gaz.) o specjalności instalacyjnej w zakresie sieci, instalacji                           i urządzeń: wentylacyjnych, gazowych,</w:t>
      </w:r>
    </w:p>
    <w:p>
      <w:pPr>
        <w:pStyle w:val="Normal"/>
        <w:jc w:val="both"/>
        <w:rPr>
          <w:color w:val="auto"/>
        </w:rPr>
      </w:pPr>
      <w:r>
        <w:rPr>
          <w:color w:val="auto"/>
        </w:rPr>
        <w:t>Wymagana jest przynależność wyżej wymienionych osób do właściwych oddziałów izby samorządu zawodowego.</w:t>
      </w:r>
    </w:p>
    <w:p>
      <w:pPr>
        <w:pStyle w:val="Normal"/>
        <w:jc w:val="both"/>
        <w:rPr>
          <w:rFonts w:eastAsia="Nimbus Roman No9 L;Times New Ro"/>
        </w:rPr>
      </w:pPr>
      <w:r>
        <w:rPr/>
        <w:t>Zamawiający dokona oceny spełnienia warunku w oparciu o uzupełniony przez W</w:t>
      </w:r>
      <w:r>
        <w:rPr>
          <w:rFonts w:eastAsia="Nimbus Roman No9 L;Times New Ro"/>
        </w:rPr>
        <w:t>ykonawcę  wykaz osób – stanowiący załącznik nr 8 do SWZ.</w:t>
      </w:r>
    </w:p>
    <w:p>
      <w:pPr>
        <w:pStyle w:val="ListParagraph"/>
        <w:spacing w:lineRule="auto" w:line="276"/>
        <w:ind w:left="868" w:right="20"/>
        <w:jc w:val="both"/>
        <w:rPr>
          <w:rFonts w:ascii="Arial" w:hAnsi="Arial" w:eastAsia="Nimbus Roman No9 L;Times New Ro" w:cs="Arial"/>
          <w:sz w:val="22"/>
          <w:szCs w:val="22"/>
        </w:rPr>
      </w:pPr>
      <w:r>
        <w:rPr>
          <w:rFonts w:eastAsia="Nimbus Roman No9 L;Times New Ro" w:cs="Arial" w:ascii="Arial" w:hAnsi="Arial"/>
          <w:sz w:val="22"/>
          <w:szCs w:val="22"/>
        </w:rPr>
      </w:r>
    </w:p>
    <w:p>
      <w:pPr>
        <w:pStyle w:val="Normal"/>
        <w:tabs>
          <w:tab w:val="clear" w:pos="720"/>
          <w:tab w:val="left" w:pos="690" w:leader="none"/>
        </w:tabs>
        <w:ind w:hanging="284" w:left="284" w:right="20"/>
        <w:jc w:val="both"/>
        <w:rPr>
          <w:rFonts w:eastAsia="Calibri"/>
          <w:sz w:val="30"/>
          <w:szCs w:val="30"/>
          <w:lang w:eastAsia="en-US"/>
        </w:rPr>
      </w:pPr>
      <w:r>
        <w:rPr>
          <w:rFonts w:eastAsia="Calibri"/>
          <w:lang w:eastAsia="en-US"/>
        </w:rPr>
        <w:t>3.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pPr>
        <w:pStyle w:val="Normal"/>
        <w:tabs>
          <w:tab w:val="clear" w:pos="720"/>
          <w:tab w:val="left" w:pos="690" w:leader="none"/>
        </w:tabs>
        <w:ind w:hanging="284" w:left="284" w:right="20"/>
        <w:jc w:val="both"/>
        <w:rPr>
          <w:rFonts w:eastAsia="Calibri"/>
          <w:sz w:val="30"/>
          <w:szCs w:val="30"/>
          <w:lang w:eastAsia="en-US"/>
        </w:rPr>
      </w:pPr>
      <w:r>
        <w:rPr>
          <w:rFonts w:eastAsia="Calibri"/>
          <w:sz w:val="30"/>
          <w:szCs w:val="30"/>
          <w:lang w:eastAsia="en-US"/>
        </w:rPr>
      </w:r>
    </w:p>
    <w:p>
      <w:pPr>
        <w:pStyle w:val="Heading2"/>
        <w:numPr>
          <w:ilvl w:val="1"/>
          <w:numId w:val="1"/>
        </w:numPr>
        <w:tabs>
          <w:tab w:val="clear" w:pos="720"/>
          <w:tab w:val="left" w:pos="0" w:leader="none"/>
        </w:tabs>
        <w:spacing w:before="0" w:after="120"/>
        <w:rPr>
          <w:rFonts w:hint="eastAsia"/>
        </w:rPr>
      </w:pPr>
      <w:r>
        <w:rPr>
          <w:sz w:val="30"/>
          <w:szCs w:val="30"/>
        </w:rPr>
        <w:t>IX. Podstawy wykluczenia z postępowania</w:t>
      </w:r>
    </w:p>
    <w:p>
      <w:pPr>
        <w:pStyle w:val="Normal"/>
        <w:tabs>
          <w:tab w:val="clear" w:pos="720"/>
          <w:tab w:val="left" w:pos="1223" w:leader="none"/>
        </w:tabs>
        <w:ind w:hanging="284" w:left="284"/>
        <w:jc w:val="both"/>
        <w:rPr/>
      </w:pPr>
      <w:r>
        <w:rPr/>
        <w:t>1. Z postępowania o udzielenie zamówienia wyklucza się Wykonawców, w stosunku do których zachodzi którakolwiek z okoliczności wskazanych w art. 108 ust. 1 PZP, tj.:</w:t>
      </w:r>
    </w:p>
    <w:p>
      <w:pPr>
        <w:pStyle w:val="Normal"/>
        <w:numPr>
          <w:ilvl w:val="0"/>
          <w:numId w:val="8"/>
        </w:numPr>
        <w:ind w:hanging="340" w:left="794"/>
        <w:jc w:val="both"/>
        <w:rPr/>
      </w:pPr>
      <w:r>
        <w:rPr/>
        <w:t>będącego osobą fizyczną, którego prawomocnie skazano za przestępstwo:</w:t>
      </w:r>
    </w:p>
    <w:p>
      <w:pPr>
        <w:pStyle w:val="Normal"/>
        <w:ind w:hanging="425" w:left="1134"/>
        <w:jc w:val="both"/>
        <w:rPr/>
      </w:pPr>
      <w:r>
        <w:rPr/>
        <w:t xml:space="preserve">a) </w:t>
        <w:tab/>
        <w:t>udziału w zorganizowanej grupie przestępczej albo związku mającym na celu popełnienie przestępstwa lub przestępstwa skarbowego, o którym mowa w art. 258 Kodeksu karnego;</w:t>
      </w:r>
    </w:p>
    <w:p>
      <w:pPr>
        <w:pStyle w:val="Normal"/>
        <w:ind w:hanging="425" w:left="1134"/>
        <w:jc w:val="both"/>
        <w:rPr/>
      </w:pPr>
      <w:r>
        <w:rPr/>
        <w:t xml:space="preserve">b) </w:t>
        <w:tab/>
        <w:t>handlu ludźmi, o którym mowa w art. 189a Kodeksu karnego,</w:t>
      </w:r>
    </w:p>
    <w:p>
      <w:pPr>
        <w:pStyle w:val="Normal"/>
        <w:ind w:hanging="425" w:left="1134"/>
        <w:jc w:val="both"/>
        <w:rPr/>
      </w:pPr>
      <w:r>
        <w:rPr/>
        <w:t xml:space="preserve">c) </w:t>
        <w:tab/>
      </w:r>
      <w:r>
        <w:rPr>
          <w:color w:val="FF0000"/>
        </w:rPr>
        <w:t xml:space="preserve"> </w:t>
      </w:r>
      <w:r>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pPr>
        <w:pStyle w:val="Normal"/>
        <w:ind w:hanging="425" w:left="1134"/>
        <w:jc w:val="both"/>
        <w:rPr/>
      </w:pPr>
      <w:r>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pPr>
        <w:pStyle w:val="Normal"/>
        <w:ind w:hanging="425" w:left="1134"/>
        <w:jc w:val="both"/>
        <w:rPr/>
      </w:pPr>
      <w:r>
        <w:rPr/>
        <w:t>e)</w:t>
        <w:tab/>
        <w:t>o charakterze terrorystycznym, o którym mowa w art. 115 § 20 Kodeksu karnego, lub mające na celu popełnienie tego przestępstwa,</w:t>
      </w:r>
    </w:p>
    <w:p>
      <w:pPr>
        <w:pStyle w:val="Normal"/>
        <w:ind w:hanging="425" w:left="1134"/>
        <w:jc w:val="both"/>
        <w:rPr/>
      </w:pPr>
      <w:r>
        <w:rPr/>
        <w:t xml:space="preserve">f) </w:t>
        <w:tab/>
        <w:t>powierzenia wykonania pracy małoletniemu cudzoziemcowi, o którym mowa w art. 9 ust. 2 ustawy z dnia 15 czerwca 2012 r. o skutkach powierzania wykonywania pracy cudzoziemcom przebywającym wbrew przepisom na terytorium Rzeczypospolitej Polskiej (Dz.U. z 2021 r. poz. 1745 ),</w:t>
      </w:r>
    </w:p>
    <w:p>
      <w:pPr>
        <w:pStyle w:val="Normal"/>
        <w:ind w:hanging="425" w:left="1134"/>
        <w:jc w:val="both"/>
        <w:rPr/>
      </w:pPr>
      <w:r>
        <w:rPr/>
        <w:t xml:space="preserve">g) </w:t>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pPr>
        <w:pStyle w:val="Normal"/>
        <w:ind w:hanging="425" w:left="1134"/>
        <w:jc w:val="both"/>
        <w:rPr/>
      </w:pPr>
      <w:r>
        <w:rPr/>
        <w:t xml:space="preserve">h) </w:t>
        <w:tab/>
        <w:t>o którym mowa w art. 9 ust. 1 i 3 lub art. 10 ustawy z dnia 15 czerwca 2012 r.         o skutkach powierzania wykonywania pracy cudzoziemcom przebywającym wbrew przepisom na terytorium Rzeczypospolitej Polskiej,</w:t>
      </w:r>
    </w:p>
    <w:p>
      <w:pPr>
        <w:pStyle w:val="Normal"/>
        <w:ind w:hanging="425" w:left="1134"/>
        <w:jc w:val="both"/>
        <w:rPr/>
      </w:pPr>
      <w:r>
        <w:rPr/>
        <w:t xml:space="preserve"> </w:t>
      </w:r>
      <w:r>
        <w:rPr/>
        <w:tab/>
        <w:t>- lub za odpowiedni czyn zabroniony określony w przepisach prawa obcego;</w:t>
      </w:r>
    </w:p>
    <w:p>
      <w:pPr>
        <w:pStyle w:val="Normal"/>
        <w:numPr>
          <w:ilvl w:val="0"/>
          <w:numId w:val="8"/>
        </w:numPr>
        <w:ind w:hanging="340" w:left="794"/>
        <w:jc w:val="both"/>
        <w:rPr/>
      </w:pPr>
      <w:r>
        <w:rPr/>
        <w:t xml:space="preserve"> </w:t>
      </w:r>
      <w:r>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pPr>
        <w:pStyle w:val="Normal"/>
        <w:numPr>
          <w:ilvl w:val="0"/>
          <w:numId w:val="8"/>
        </w:numPr>
        <w:ind w:hanging="340" w:left="794"/>
        <w:jc w:val="both"/>
        <w:rPr/>
      </w:pPr>
      <w:r>
        <w:rPr/>
        <w:t xml:space="preserve"> </w:t>
      </w:r>
      <w:r>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pPr>
        <w:pStyle w:val="Normal"/>
        <w:numPr>
          <w:ilvl w:val="0"/>
          <w:numId w:val="8"/>
        </w:numPr>
        <w:ind w:hanging="340" w:left="794"/>
        <w:jc w:val="both"/>
        <w:rPr/>
      </w:pPr>
      <w:r>
        <w:rPr/>
        <w:t xml:space="preserve"> </w:t>
      </w:r>
      <w:r>
        <w:rPr/>
        <w:t>wobec którego prawomocnie orzeczono zakaz ubiegania się o zamówienia publiczne;</w:t>
      </w:r>
    </w:p>
    <w:p>
      <w:pPr>
        <w:pStyle w:val="Normal"/>
        <w:numPr>
          <w:ilvl w:val="0"/>
          <w:numId w:val="8"/>
        </w:numPr>
        <w:ind w:hanging="340" w:left="794"/>
        <w:jc w:val="both"/>
        <w:rPr/>
      </w:pPr>
      <w:r>
        <w:rPr/>
        <w:t xml:space="preserve"> </w:t>
      </w:r>
      <w:r>
        <w:rPr/>
        <w:t xml:space="preserve">jeżeli zamawiający może stwierdzić, na podstawie wiarygodnych przesłanek, że wykonawca zawarł z innymi wykonawcami porozumienie mające na celu zakłócenie konkurencji, w szczególności jeżeli należąc do tej samej grupy kapitałowej </w:t>
        <w:tab/>
        <w:t xml:space="preserve">        w rozumieniu ustawy z dnia 16 lutego 2007 r. o ochronie konkurencji i konsumentów, złożyli odrębne oferty, oferty częściowe lub wnioski o dopuszczenie do udziału</w:t>
        <w:tab/>
        <w:t xml:space="preserve">         w postępowaniu, chyba że wykażą, że przygotowali te oferty lub wnioski niezależnie od siebie;</w:t>
      </w:r>
    </w:p>
    <w:p>
      <w:pPr>
        <w:pStyle w:val="Normal"/>
        <w:numPr>
          <w:ilvl w:val="0"/>
          <w:numId w:val="8"/>
        </w:numPr>
        <w:ind w:hanging="340" w:left="794"/>
        <w:jc w:val="both"/>
        <w:rPr/>
      </w:pPr>
      <w:r>
        <w:rPr/>
        <w:t xml:space="preserve"> </w:t>
      </w:r>
      <w:r>
        <w:rPr/>
        <w:t>jeżeli, w przypadkach, o których mowa w art. 85 ust. 1,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o udzielenie zamówienia.</w:t>
      </w:r>
    </w:p>
    <w:p>
      <w:pPr>
        <w:pStyle w:val="Normal"/>
        <w:tabs>
          <w:tab w:val="clear" w:pos="720"/>
          <w:tab w:val="left" w:pos="1223" w:leader="none"/>
        </w:tabs>
        <w:spacing w:before="240" w:after="0"/>
        <w:jc w:val="both"/>
        <w:rPr/>
      </w:pPr>
      <w:r>
        <w:rPr/>
        <w:t>2. Na podstawie art. 7 ust. 1 ustawy z dnia 13 kwietnia 2022 r., o szczególnych rozwiązaniach w zakresie przeciwdziałania wspieraniu agresji na Ukrainę oraz służących ochronie bezpieczeństwa narodowego wyklucza się:</w:t>
      </w:r>
    </w:p>
    <w:p>
      <w:pPr>
        <w:pStyle w:val="Normal"/>
        <w:suppressAutoHyphens w:val="false"/>
        <w:jc w:val="both"/>
        <w:textAlignment w:val="auto"/>
        <w:rPr>
          <w:rFonts w:eastAsia="Times New Roman"/>
          <w:b/>
          <w:bCs/>
          <w:lang w:eastAsia="pl-PL" w:bidi="ar-SA"/>
        </w:rPr>
      </w:pPr>
      <w:r>
        <w:rPr/>
        <w:t xml:space="preserve">- </w:t>
      </w:r>
      <w:r>
        <w:rPr>
          <w:rFonts w:eastAsia="Times New Roman"/>
          <w:lang w:eastAsia="pl-PL" w:bidi="ar-SA"/>
        </w:rPr>
        <w:t>wykonawcę wymienionego w wykazach określonych w rozporządzeniu 765/2006 i rozporządzeniu 269/2014 albo wpisanego na listę na podstawie decyzji w sprawie wpisu na listę rozstrzygającej o zastosowaniu środka, o którym mowa w art. 1 pkt 3 ustawy;</w:t>
      </w:r>
    </w:p>
    <w:p>
      <w:pPr>
        <w:pStyle w:val="Normal"/>
        <w:suppressAutoHyphens w:val="false"/>
        <w:jc w:val="both"/>
        <w:textAlignment w:val="auto"/>
        <w:rPr>
          <w:rFonts w:eastAsia="Times New Roman"/>
          <w:b/>
          <w:bCs/>
          <w:lang w:eastAsia="pl-PL" w:bidi="ar-SA"/>
        </w:rPr>
      </w:pPr>
      <w:r>
        <w:rPr>
          <w:rFonts w:eastAsia="Times New Roman"/>
          <w:b/>
          <w:bCs/>
          <w:lang w:eastAsia="pl-PL" w:bidi="ar-SA"/>
        </w:rPr>
        <w:t>–</w:t>
      </w:r>
      <w:r>
        <w:rPr>
          <w:b/>
          <w:bCs/>
          <w:lang w:eastAsia="pl-PL" w:bidi="ar-SA"/>
        </w:rPr>
        <w:t xml:space="preserve"> </w:t>
      </w:r>
      <w:r>
        <w:rPr>
          <w:rFonts w:eastAsia="Times New Roman"/>
          <w:lang w:eastAsia="pl-PL" w:bidi="ar-SA"/>
        </w:rPr>
        <w:t>wykonawcę, którego beneficjentem rzeczywistym w rozumieniu ustawy z dnia 1 marca 2018 r. o przeciwdziałaniu praniu pieniędzy oraz finansowaniu terroryzmu (Dz.U.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pPr>
        <w:pStyle w:val="Normal"/>
        <w:suppressAutoHyphens w:val="false"/>
        <w:jc w:val="both"/>
        <w:textAlignment w:val="auto"/>
        <w:rPr>
          <w:rFonts w:eastAsia="Times New Roman"/>
          <w:i/>
          <w:iCs/>
          <w:kern w:val="2"/>
        </w:rPr>
      </w:pPr>
      <w:r>
        <w:rPr>
          <w:rFonts w:eastAsia="Times New Roman"/>
          <w:b/>
          <w:bCs/>
          <w:lang w:eastAsia="pl-PL" w:bidi="ar-SA"/>
        </w:rPr>
        <w:t>–</w:t>
      </w:r>
      <w:r>
        <w:rPr>
          <w:b/>
          <w:bCs/>
          <w:lang w:eastAsia="pl-PL" w:bidi="ar-SA"/>
        </w:rPr>
        <w:t xml:space="preserve"> </w:t>
      </w:r>
      <w:r>
        <w:rPr>
          <w:rFonts w:eastAsia="Times New Roman"/>
          <w:lang w:eastAsia="pl-PL" w:bidi="ar-SA"/>
        </w:rPr>
        <w:t>wykonawcę, którego jednostką dominującą w rozumieniu art. 3 ust. 1 pkt 37 ustawy z dnia 29 września 1994 r. o rachunkowości (Dz.U.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pPr>
        <w:pStyle w:val="Normal"/>
        <w:spacing w:lineRule="auto" w:line="240" w:before="60" w:after="60"/>
        <w:jc w:val="both"/>
        <w:rPr>
          <w:rFonts w:eastAsia="Times New Roman"/>
          <w:i/>
          <w:iCs/>
          <w:kern w:val="2"/>
        </w:rPr>
      </w:pPr>
      <w:r>
        <w:rPr>
          <w:rFonts w:eastAsia="Times New Roman"/>
          <w:i/>
          <w:iCs/>
          <w:kern w:val="2"/>
        </w:rPr>
        <w:t xml:space="preserve">UWAGA! </w:t>
      </w:r>
    </w:p>
    <w:p>
      <w:pPr>
        <w:pStyle w:val="Normal"/>
        <w:spacing w:lineRule="auto" w:line="240" w:before="60" w:after="60"/>
        <w:jc w:val="both"/>
        <w:rPr>
          <w:rFonts w:eastAsia="NSimSun"/>
          <w:kern w:val="2"/>
          <w:lang w:eastAsia="en-US"/>
        </w:rPr>
      </w:pPr>
      <w:r>
        <w:rPr>
          <w:rFonts w:eastAsia="Times New Roman"/>
          <w:i/>
          <w:iCs/>
          <w:kern w:val="2"/>
        </w:rPr>
        <w:t>W celu potwierdzenia braku istnienia okoliczności, o których mowa w rozdziale IX pkt. 2. SWZ, Zamawiający zastrzega możliwość samodzielnego badania ogólnodostępnych rejestrów, w tym Centralnej Ewidencji i Informacji o Działalności Gospodarczej, Krajowego Rejestru Sądowego oraz Centralnego Rejestru Beneficjentów Rzeczywistych. W uzasadnionych przypadkach Zamawiający będzie żądał innych koniecznych dokumentów i oświadczeń, w szczególności poświadczonego przez wykonawcę za zgodność z oryginałem wyciągu z księgi udziałów (art. 188 Kodeksu Spółek Handlowych) lub rejestru akcji (art. 328</w:t>
      </w:r>
      <w:r>
        <w:rPr>
          <w:rFonts w:eastAsia="Times New Roman"/>
          <w:i/>
          <w:iCs/>
          <w:kern w:val="2"/>
          <w:vertAlign w:val="superscript"/>
        </w:rPr>
        <w:t>1</w:t>
      </w:r>
      <w:r>
        <w:rPr>
          <w:rFonts w:eastAsia="Times New Roman"/>
          <w:i/>
          <w:iCs/>
          <w:kern w:val="2"/>
        </w:rPr>
        <w:t xml:space="preserve"> Kodeksu Spółek Handlowych).  W przypadku Wykonawcy zagranicznego, w razie potrzeby, Zamawiający wezwie Wykonawcę do złożenia dokumentów z odpowiedniego rejestru, takiego jak rejestr sądowy, albo,                          w przypadku braku takiego rejestru, inny równoważny dokument wydany przez właściwy organ sądowy lub administracyjny kraju, w którym Wykonawca ma siedzibę lub miejsce zamieszkania, wraz z tłumaczeniem na język polski.</w:t>
      </w:r>
    </w:p>
    <w:p>
      <w:pPr>
        <w:pStyle w:val="Normal"/>
        <w:tabs>
          <w:tab w:val="clear" w:pos="720"/>
          <w:tab w:val="left" w:pos="275" w:leader="none"/>
        </w:tabs>
        <w:ind w:left="-57"/>
        <w:jc w:val="both"/>
        <w:rPr>
          <w:rFonts w:eastAsia="NSimSun"/>
          <w:kern w:val="2"/>
        </w:rPr>
      </w:pPr>
      <w:r>
        <w:rPr>
          <w:rFonts w:eastAsia="NSimSun"/>
          <w:kern w:val="2"/>
          <w:lang w:eastAsia="en-US"/>
        </w:rPr>
        <w:t>3. Wykluczenie następuje na okres trwania okoliczności określonych w art. 7 ust. 1 ustawy,                 o której mowa w Rozdziale IX pkt. 2.</w:t>
      </w:r>
    </w:p>
    <w:p>
      <w:pPr>
        <w:pStyle w:val="Normal"/>
        <w:tabs>
          <w:tab w:val="clear" w:pos="720"/>
          <w:tab w:val="left" w:pos="275" w:leader="none"/>
        </w:tabs>
        <w:ind w:left="-57"/>
        <w:jc w:val="both"/>
        <w:rPr>
          <w:rFonts w:eastAsia="NSimSun"/>
          <w:kern w:val="2"/>
        </w:rPr>
      </w:pPr>
      <w:r>
        <w:rPr>
          <w:rFonts w:eastAsia="NSimSun"/>
          <w:kern w:val="2"/>
        </w:rPr>
        <w:t>4</w:t>
      </w:r>
      <w:r>
        <w:rPr>
          <w:rFonts w:eastAsia="NSimSun"/>
          <w:b/>
          <w:bCs/>
          <w:kern w:val="2"/>
        </w:rPr>
        <w:t>.</w:t>
      </w:r>
      <w:r>
        <w:rPr>
          <w:rFonts w:eastAsia="NSimSun"/>
          <w:kern w:val="2"/>
        </w:rPr>
        <w:t xml:space="preserve"> </w:t>
      </w:r>
      <w:r>
        <w:rPr>
          <w:rFonts w:eastAsia="NSimSun"/>
          <w:kern w:val="2"/>
          <w:lang w:eastAsia="en-US"/>
        </w:rPr>
        <w:t>W przypadku wykonawcy wykluczonego na podstawie art. 7 ust. 1 ustawy o której mowa                  w Rozdziale IX pkt. 2, zamawiający odrzuca ofertę takiego wykonawcy.</w:t>
      </w:r>
    </w:p>
    <w:p>
      <w:pPr>
        <w:pStyle w:val="Normal"/>
        <w:tabs>
          <w:tab w:val="clear" w:pos="720"/>
          <w:tab w:val="left" w:pos="275" w:leader="none"/>
        </w:tabs>
        <w:ind w:left="-57"/>
        <w:jc w:val="both"/>
        <w:rPr>
          <w:rFonts w:eastAsia="NSimSun"/>
          <w:kern w:val="2"/>
        </w:rPr>
      </w:pPr>
      <w:r>
        <w:rPr>
          <w:rFonts w:eastAsia="NSimSun"/>
          <w:kern w:val="2"/>
        </w:rPr>
        <w:t>5</w:t>
      </w:r>
      <w:r>
        <w:rPr>
          <w:rFonts w:eastAsia="NSimSun"/>
          <w:b/>
          <w:bCs/>
          <w:kern w:val="2"/>
        </w:rPr>
        <w:t>.</w:t>
      </w:r>
      <w:r>
        <w:rPr>
          <w:rFonts w:eastAsia="NSimSun"/>
          <w:kern w:val="2"/>
          <w:lang w:eastAsia="en-US"/>
        </w:rPr>
        <w:t xml:space="preserve"> Przez ubieganie się o udzielenie zamówienia publicznego rozumie się złożenie oferty. </w:t>
      </w:r>
    </w:p>
    <w:p>
      <w:pPr>
        <w:pStyle w:val="Normal"/>
        <w:tabs>
          <w:tab w:val="clear" w:pos="720"/>
          <w:tab w:val="left" w:pos="275" w:leader="none"/>
        </w:tabs>
        <w:ind w:left="-57"/>
        <w:jc w:val="both"/>
        <w:rPr>
          <w:rFonts w:eastAsia="NSimSun"/>
          <w:kern w:val="2"/>
        </w:rPr>
      </w:pPr>
      <w:r>
        <w:rPr>
          <w:rFonts w:eastAsia="NSimSun"/>
          <w:kern w:val="2"/>
        </w:rPr>
        <w:t>6</w:t>
      </w:r>
      <w:r>
        <w:rPr>
          <w:rFonts w:eastAsia="NSimSun"/>
          <w:b/>
          <w:bCs/>
          <w:kern w:val="2"/>
        </w:rPr>
        <w:t>.</w:t>
      </w:r>
      <w:r>
        <w:rPr>
          <w:rFonts w:eastAsia="NSimSun"/>
          <w:kern w:val="2"/>
          <w:lang w:eastAsia="en-US"/>
        </w:rPr>
        <w:t xml:space="preserve"> Osoba lub podmiot podlegające wykluczeniu na podstawie art. 7 ust. 1 ustawy, o której mowa w Rozdziale IX pkt. 2, które w okresie tego wykluczenia ubiegają się o udzielenie zamówienia publicznego lub biorą udział w postępowaniu o udzielenie zamówienia publicznego, podlegają karze pieniężnej. </w:t>
      </w:r>
    </w:p>
    <w:p>
      <w:pPr>
        <w:pStyle w:val="Normal"/>
        <w:tabs>
          <w:tab w:val="clear" w:pos="720"/>
          <w:tab w:val="left" w:pos="275" w:leader="none"/>
        </w:tabs>
        <w:ind w:left="-57"/>
        <w:jc w:val="both"/>
        <w:rPr/>
      </w:pPr>
      <w:r>
        <w:rPr>
          <w:rFonts w:eastAsia="NSimSun"/>
          <w:kern w:val="2"/>
        </w:rPr>
        <w:t>7</w:t>
      </w:r>
      <w:r>
        <w:rPr>
          <w:rFonts w:eastAsia="NSimSun"/>
          <w:b/>
          <w:bCs/>
          <w:kern w:val="2"/>
        </w:rPr>
        <w:t>.</w:t>
      </w:r>
      <w:r>
        <w:rPr>
          <w:rFonts w:eastAsia="NSimSun"/>
          <w:kern w:val="2"/>
          <w:lang w:eastAsia="en-US"/>
        </w:rPr>
        <w:t xml:space="preserve"> Karę pieniężną, o której mowa powyżej, nakłada Prezes Urzędu Zamówień Publicznych,                 w drodze decyzji, w wysokości do 20 000 000 zł.</w:t>
      </w:r>
    </w:p>
    <w:p>
      <w:pPr>
        <w:pStyle w:val="Normal"/>
        <w:tabs>
          <w:tab w:val="clear" w:pos="720"/>
          <w:tab w:val="left" w:pos="1223" w:leader="none"/>
        </w:tabs>
        <w:ind w:hanging="284" w:left="284"/>
        <w:jc w:val="both"/>
        <w:rPr/>
      </w:pPr>
      <w:r>
        <w:rPr/>
        <w:t>8. Zamawiający nie przewiduje podstaw wykluczenia wskazanych w art. 109 ust. 1 ustawy Pzp.</w:t>
      </w:r>
    </w:p>
    <w:p>
      <w:pPr>
        <w:pStyle w:val="Normal"/>
        <w:tabs>
          <w:tab w:val="clear" w:pos="720"/>
          <w:tab w:val="left" w:pos="1223" w:leader="none"/>
        </w:tabs>
        <w:ind w:hanging="284" w:left="284"/>
        <w:jc w:val="both"/>
        <w:rPr>
          <w:rFonts w:eastAsia="Times New Roman"/>
          <w:color w:val="000000"/>
          <w:lang w:eastAsia="pl-PL" w:bidi="ar-SA"/>
        </w:rPr>
      </w:pPr>
      <w:r>
        <w:rPr/>
        <w:t>9. Wykluczenie Wykonawcy następuje zgodnie z art. 111 PZP.</w:t>
      </w:r>
    </w:p>
    <w:p>
      <w:pPr>
        <w:pStyle w:val="Normal"/>
        <w:tabs>
          <w:tab w:val="clear" w:pos="720"/>
          <w:tab w:val="left" w:pos="1234" w:leader="none"/>
        </w:tabs>
        <w:jc w:val="both"/>
        <w:rPr>
          <w:sz w:val="30"/>
          <w:szCs w:val="30"/>
        </w:rPr>
      </w:pPr>
      <w:r>
        <w:rPr>
          <w:rFonts w:eastAsia="Times New Roman"/>
          <w:color w:val="000000"/>
          <w:lang w:eastAsia="pl-PL" w:bidi="ar-SA"/>
        </w:rPr>
        <w:t>10.Wykonawca może zostać wykluczony przez Zamawiającego na każdym etapie  postępowania o udzielenie zamówienia zgodnie z art. 110 ust. 1 ustawy PZP.</w:t>
      </w:r>
    </w:p>
    <w:p>
      <w:pPr>
        <w:pStyle w:val="Heading2"/>
        <w:numPr>
          <w:ilvl w:val="1"/>
          <w:numId w:val="1"/>
        </w:numPr>
        <w:tabs>
          <w:tab w:val="clear" w:pos="720"/>
          <w:tab w:val="left" w:pos="0" w:leader="none"/>
        </w:tabs>
        <w:spacing w:before="0" w:after="0"/>
        <w:jc w:val="both"/>
        <w:rPr>
          <w:rFonts w:hint="eastAsia"/>
          <w:sz w:val="30"/>
          <w:szCs w:val="30"/>
        </w:rPr>
      </w:pPr>
      <w:r>
        <w:rPr>
          <w:rFonts w:hint="eastAsia"/>
          <w:sz w:val="30"/>
          <w:szCs w:val="30"/>
        </w:rPr>
      </w:r>
    </w:p>
    <w:p>
      <w:pPr>
        <w:pStyle w:val="Heading2"/>
        <w:numPr>
          <w:ilvl w:val="1"/>
          <w:numId w:val="1"/>
        </w:numPr>
        <w:tabs>
          <w:tab w:val="clear" w:pos="720"/>
          <w:tab w:val="left" w:pos="0" w:leader="none"/>
        </w:tabs>
        <w:spacing w:before="0" w:after="0"/>
        <w:jc w:val="both"/>
        <w:rPr>
          <w:rFonts w:hint="eastAsia"/>
        </w:rPr>
      </w:pPr>
      <w:r>
        <w:rPr>
          <w:sz w:val="30"/>
          <w:szCs w:val="30"/>
        </w:rPr>
        <w:t>X. Podmiotowe środki dowodowe. Oświadczenia i dokumenty, jakie zobowiązani są dostarczyć Wykonawcy w celu potwierdzenia spełniania warunków udziału w postępowaniu oraz wykazania braku podstaw wykluczenia</w:t>
      </w:r>
    </w:p>
    <w:p>
      <w:pPr>
        <w:pStyle w:val="Normal"/>
        <w:numPr>
          <w:ilvl w:val="0"/>
          <w:numId w:val="9"/>
        </w:numPr>
        <w:spacing w:before="240" w:after="0"/>
        <w:ind w:hanging="284" w:left="284"/>
        <w:jc w:val="both"/>
        <w:rPr/>
      </w:pPr>
      <w:r>
        <w:rPr/>
        <w:t>Do oferty Wykonawca zobowiązany jest dołączyć aktualne na dzień składania ofert:</w:t>
      </w:r>
    </w:p>
    <w:p>
      <w:pPr>
        <w:pStyle w:val="Normal"/>
        <w:spacing w:before="240" w:after="0"/>
        <w:jc w:val="both"/>
        <w:rPr>
          <w:rStyle w:val="Domylnaczcionkaakapitu1"/>
          <w:bCs/>
        </w:rPr>
      </w:pPr>
      <w:r>
        <w:rPr/>
        <w:t xml:space="preserve">a) oświadczenie o braku podstaw wykluczenia z postępowania – zgodnie z </w:t>
      </w:r>
      <w:r>
        <w:rPr>
          <w:rStyle w:val="Domylnaczcionkaakapitu1"/>
        </w:rPr>
        <w:t>Załącznikiem nr 2 do SWZ oraz oświadczenie o spełnianiu warunków udziału w postępowaniu zgodnie                          z Załącznikiem nr 3 do SWZ.</w:t>
      </w:r>
    </w:p>
    <w:p>
      <w:pPr>
        <w:pStyle w:val="Normal"/>
        <w:spacing w:before="240" w:after="0"/>
        <w:jc w:val="both"/>
        <w:rPr/>
      </w:pPr>
      <w:r>
        <w:rPr>
          <w:rStyle w:val="Domylnaczcionkaakapitu1"/>
          <w:bCs/>
        </w:rPr>
        <w:t>b)</w:t>
      </w:r>
      <w:r>
        <w:rPr>
          <w:rStyle w:val="Domylnaczcionkaakapitu1"/>
          <w:b/>
        </w:rPr>
        <w:t xml:space="preserve"> </w:t>
      </w:r>
      <w:r>
        <w:rPr/>
        <w:t>odpis lub informację z Krajowego Rejestru Sądowego, Centralnej Ewidencji i Informacji                       o Działalności Gospodarczej lub innego właściwego rejestru, w celu potwierdzenia, że osoba działająca w imieniu Wykonawcy jest umocowana do jego reprezentowania.</w:t>
      </w:r>
    </w:p>
    <w:p>
      <w:pPr>
        <w:pStyle w:val="Normal"/>
        <w:spacing w:before="240" w:after="0"/>
        <w:jc w:val="both"/>
        <w:rPr/>
      </w:pPr>
      <w:r>
        <w:rPr/>
        <w:t>c) Wykonawca nie jest zobowiązany do złożenia dokumentów, o których mowa w pkt. X.1, b) jeżeli Zamawiający może je uzyskać za pomocą bezpłatnych i ogólnodostępnych baz danych, o ile Wykonawca wskaże Zamawiającemu, wraz ze składaną ofertą, dane umożliwiające dostęp do tych dokumentów.</w:t>
      </w:r>
    </w:p>
    <w:p>
      <w:pPr>
        <w:pStyle w:val="Normal"/>
        <w:spacing w:before="240" w:after="0"/>
        <w:jc w:val="both"/>
        <w:rPr>
          <w:bCs/>
          <w:lang w:eastAsia="pl-PL"/>
        </w:rPr>
      </w:pPr>
      <w:r>
        <w:rPr/>
        <w:t xml:space="preserve">d) </w:t>
      </w:r>
      <w:r>
        <w:rPr>
          <w:rStyle w:val="Domylnaczcionkaakapitu1"/>
          <w:lang w:eastAsia="pl-PL"/>
        </w:rPr>
        <w:t>zobowi</w:t>
      </w:r>
      <w:r>
        <w:rPr>
          <w:lang w:eastAsia="pl-PL"/>
        </w:rPr>
        <w:t>ązanie</w:t>
      </w:r>
      <w:r>
        <w:rPr>
          <w:bCs/>
          <w:lang w:eastAsia="pl-PL"/>
        </w:rPr>
        <w:t xml:space="preserve"> podmiotu udostępniającego zasoby do oddania Wykonawcy do dyspozycji niezbędnych zasobów na potrzeby realizacji danego zamówienia lub inny podmiotowy środek dowodowy </w:t>
      </w:r>
      <w:r>
        <w:rPr>
          <w:b/>
          <w:lang w:eastAsia="pl-PL"/>
        </w:rPr>
        <w:t>zgodnie z załącznikiem nr 10 do SWZ.</w:t>
      </w:r>
    </w:p>
    <w:p>
      <w:pPr>
        <w:pStyle w:val="Normal"/>
        <w:tabs>
          <w:tab w:val="clear" w:pos="720"/>
          <w:tab w:val="left" w:pos="284" w:leader="none"/>
          <w:tab w:val="left" w:pos="1134" w:leader="none"/>
        </w:tabs>
        <w:suppressAutoHyphens w:val="false"/>
        <w:jc w:val="both"/>
        <w:textAlignment w:val="auto"/>
        <w:rPr>
          <w:bCs/>
          <w:lang w:eastAsia="pl-PL"/>
        </w:rPr>
      </w:pPr>
      <w:r>
        <w:rPr>
          <w:bCs/>
          <w:lang w:eastAsia="pl-PL"/>
        </w:rPr>
        <w:t>Wykonawca, który polega na zdolnościach lub sytuacji podmiotów udostępniających zasoby, poza dokumentem wskazanym powyżej, zobowiązany jest złożyć wraz z ofertą:</w:t>
      </w:r>
    </w:p>
    <w:p>
      <w:pPr>
        <w:pStyle w:val="Normal"/>
        <w:tabs>
          <w:tab w:val="clear" w:pos="720"/>
          <w:tab w:val="left" w:pos="284" w:leader="none"/>
          <w:tab w:val="left" w:pos="1134" w:leader="none"/>
        </w:tabs>
        <w:suppressAutoHyphens w:val="false"/>
        <w:jc w:val="both"/>
        <w:textAlignment w:val="auto"/>
        <w:rPr>
          <w:rStyle w:val="Domylnaczcionkaakapitu1"/>
        </w:rPr>
      </w:pPr>
      <w:r>
        <w:rPr>
          <w:bCs/>
          <w:lang w:eastAsia="pl-PL"/>
        </w:rPr>
        <w:t xml:space="preserve">- oświadczenie podmiotu udostępniającego zasoby, potwierdzające brak podstaw wykluczenia tego podmiotu oraz spełnianie warunków udziału w postępowaniu, w zakresie, w jakim Wykonawca powołuje się na jego zasoby, o treści zgodnej ze wzorem stanowiącym  </w:t>
      </w:r>
      <w:r>
        <w:rPr>
          <w:b/>
          <w:lang w:eastAsia="pl-PL"/>
        </w:rPr>
        <w:t>załącznik nr 12 do SWZ</w:t>
      </w:r>
      <w:r>
        <w:rPr>
          <w:bCs/>
          <w:lang w:eastAsia="pl-PL"/>
        </w:rPr>
        <w:t xml:space="preserve">, </w:t>
      </w:r>
    </w:p>
    <w:p>
      <w:pPr>
        <w:pStyle w:val="Normal"/>
        <w:tabs>
          <w:tab w:val="clear" w:pos="720"/>
          <w:tab w:val="left" w:pos="0" w:leader="none"/>
        </w:tabs>
        <w:spacing w:before="240" w:after="0"/>
        <w:jc w:val="both"/>
        <w:rPr>
          <w:rStyle w:val="Domylnaczcionkaakapitu1"/>
        </w:rPr>
      </w:pPr>
      <w:r>
        <w:rPr>
          <w:rStyle w:val="Domylnaczcionkaakapitu1"/>
        </w:rPr>
        <w:t>1a. Do oferty Wykonawca załącza również:</w:t>
      </w:r>
    </w:p>
    <w:p>
      <w:pPr>
        <w:pStyle w:val="Normal"/>
        <w:tabs>
          <w:tab w:val="clear" w:pos="720"/>
          <w:tab w:val="left" w:pos="0" w:leader="none"/>
        </w:tabs>
        <w:spacing w:before="240" w:after="0"/>
        <w:jc w:val="both"/>
        <w:rPr>
          <w:rStyle w:val="Domylnaczcionkaakapitu1"/>
        </w:rPr>
      </w:pPr>
      <w:r>
        <w:rPr>
          <w:rStyle w:val="Domylnaczcionkaakapitu1"/>
        </w:rPr>
        <w:t>a) potwierdzenie odbycia wizji lokalnej zgodnie z załącznikiem nr 1 do SWZ,</w:t>
      </w:r>
    </w:p>
    <w:p>
      <w:pPr>
        <w:pStyle w:val="Normal"/>
        <w:tabs>
          <w:tab w:val="clear" w:pos="720"/>
          <w:tab w:val="left" w:pos="0" w:leader="none"/>
        </w:tabs>
        <w:spacing w:before="240" w:after="0"/>
        <w:jc w:val="both"/>
        <w:rPr>
          <w:b/>
        </w:rPr>
      </w:pPr>
      <w:r>
        <w:rPr>
          <w:rStyle w:val="Domylnaczcionkaakapitu1"/>
          <w:rFonts w:cs="Tahoma" w:ascii="Tahoma" w:hAnsi="Tahoma"/>
        </w:rPr>
        <w:t xml:space="preserve">b) </w:t>
      </w:r>
      <w:r>
        <w:rPr/>
        <w:t>pełnomocnictwo (jeżeli dotyczy):</w:t>
      </w:r>
    </w:p>
    <w:p>
      <w:pPr>
        <w:pStyle w:val="Normal"/>
        <w:spacing w:before="240" w:after="0"/>
        <w:jc w:val="both"/>
        <w:rPr/>
      </w:pPr>
      <w:r>
        <w:rPr>
          <w:b/>
        </w:rPr>
        <w:t>-</w:t>
      </w:r>
      <w:r>
        <w:rPr/>
        <w:t xml:space="preserve">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pPr>
        <w:pStyle w:val="Normal"/>
        <w:spacing w:before="240" w:after="0"/>
        <w:jc w:val="both"/>
        <w:rPr/>
      </w:pPr>
      <w:r>
        <w:rPr/>
        <w:t>- 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w:t>
      </w:r>
    </w:p>
    <w:p>
      <w:pPr>
        <w:pStyle w:val="Normal"/>
        <w:spacing w:before="240" w:after="0"/>
        <w:jc w:val="both"/>
        <w:rPr/>
      </w:pPr>
      <w:r>
        <w:rPr/>
        <w:t>- dołączone do oferty pełnomocnictwo powinno zawierać w szczególności wskazanie:</w:t>
      </w:r>
    </w:p>
    <w:p>
      <w:pPr>
        <w:pStyle w:val="ListParagraph"/>
        <w:numPr>
          <w:ilvl w:val="0"/>
          <w:numId w:val="21"/>
        </w:numPr>
        <w:spacing w:before="0" w:after="240"/>
        <w:contextualSpacing/>
        <w:rPr>
          <w:rFonts w:ascii="Arial" w:hAnsi="Arial" w:cs="Arial"/>
          <w:sz w:val="22"/>
          <w:szCs w:val="22"/>
        </w:rPr>
      </w:pPr>
      <w:r>
        <w:rPr>
          <w:rFonts w:cs="Arial" w:ascii="Arial" w:hAnsi="Arial"/>
          <w:sz w:val="22"/>
          <w:szCs w:val="22"/>
        </w:rPr>
        <w:t>postępowania o zamówienie publiczne, którego dotyczy,</w:t>
      </w:r>
    </w:p>
    <w:p>
      <w:pPr>
        <w:pStyle w:val="ListParagraph"/>
        <w:numPr>
          <w:ilvl w:val="0"/>
          <w:numId w:val="21"/>
        </w:numPr>
        <w:spacing w:before="320" w:after="240"/>
        <w:contextualSpacing/>
        <w:rPr>
          <w:rFonts w:ascii="Arial" w:hAnsi="Arial" w:cs="Arial"/>
          <w:sz w:val="22"/>
          <w:szCs w:val="22"/>
        </w:rPr>
      </w:pPr>
      <w:r>
        <w:rPr>
          <w:rFonts w:cs="Arial" w:ascii="Arial" w:hAnsi="Arial"/>
          <w:sz w:val="22"/>
          <w:szCs w:val="22"/>
        </w:rPr>
        <w:t>wszystkich wykonawców ubiegających się wspólnie o udzielenie zamówienia wymienionych z nazwy z określeniem adresu siedziby,</w:t>
      </w:r>
    </w:p>
    <w:p>
      <w:pPr>
        <w:pStyle w:val="ListParagraph"/>
        <w:numPr>
          <w:ilvl w:val="0"/>
          <w:numId w:val="21"/>
        </w:numPr>
        <w:spacing w:before="320" w:after="240"/>
        <w:contextualSpacing/>
        <w:rPr>
          <w:rFonts w:ascii="Arial" w:hAnsi="Arial" w:cs="Arial"/>
          <w:sz w:val="22"/>
          <w:szCs w:val="22"/>
        </w:rPr>
      </w:pPr>
      <w:r>
        <w:rPr>
          <w:rFonts w:cs="Arial" w:ascii="Arial" w:hAnsi="Arial"/>
          <w:sz w:val="22"/>
          <w:szCs w:val="22"/>
        </w:rPr>
        <w:t>ustanowionego pełnomocnika oraz zakresu jego umocowania.</w:t>
      </w:r>
    </w:p>
    <w:p>
      <w:pPr>
        <w:pStyle w:val="ListParagraph"/>
        <w:spacing w:before="320" w:after="240"/>
        <w:ind w:left="0"/>
        <w:contextualSpacing/>
        <w:rPr>
          <w:rFonts w:ascii="Arial" w:hAnsi="Arial" w:cs="Arial"/>
          <w:sz w:val="22"/>
          <w:szCs w:val="22"/>
        </w:rPr>
      </w:pPr>
      <w:r>
        <w:rPr>
          <w:rFonts w:cs="Arial" w:ascii="Arial" w:hAnsi="Arial"/>
          <w:sz w:val="22"/>
          <w:szCs w:val="22"/>
        </w:rPr>
        <w:t>-   wymagana forma:</w:t>
      </w:r>
    </w:p>
    <w:p>
      <w:pPr>
        <w:pStyle w:val="ListParagraph"/>
        <w:numPr>
          <w:ilvl w:val="0"/>
          <w:numId w:val="22"/>
        </w:numPr>
        <w:spacing w:before="320" w:after="240"/>
        <w:contextualSpacing/>
        <w:rPr>
          <w:rStyle w:val="Domylnaczcionkaakapitu1"/>
          <w:rFonts w:ascii="Arial" w:hAnsi="Arial" w:cs="Arial"/>
          <w:sz w:val="22"/>
          <w:szCs w:val="22"/>
        </w:rPr>
      </w:pPr>
      <w:r>
        <w:rPr>
          <w:rFonts w:cs="Arial" w:ascii="Arial" w:hAnsi="Arial"/>
          <w:sz w:val="22"/>
          <w:szCs w:val="22"/>
        </w:rPr>
        <w:t xml:space="preserve">pełnomocnictwo powinno zostać złożone w formie elektronicznej lub w postaci elektronicznej opatrzonej podpisem zaufanym, lub podpisem osobistym. </w:t>
      </w:r>
    </w:p>
    <w:p>
      <w:pPr>
        <w:pStyle w:val="ListParagraph"/>
        <w:numPr>
          <w:ilvl w:val="0"/>
          <w:numId w:val="22"/>
        </w:numPr>
        <w:spacing w:before="320" w:after="240"/>
        <w:contextualSpacing/>
        <w:rPr>
          <w:rFonts w:ascii="Arial" w:hAnsi="Arial" w:cs="Arial"/>
          <w:sz w:val="22"/>
          <w:szCs w:val="22"/>
        </w:rPr>
      </w:pPr>
      <w:r>
        <w:rPr>
          <w:rStyle w:val="Domylnaczcionkaakapitu1"/>
          <w:rFonts w:cs="Arial" w:ascii="Arial" w:hAnsi="Arial"/>
          <w:sz w:val="22"/>
          <w:szCs w:val="22"/>
        </w:rPr>
        <w:t>dopuszcza się również przedłożenie elektronicznej kopii dokumentu poświadczonej za zgodność z oryginałem przez notariusza, tj. podpisanej kwalifikowanym podpisem elektronicznym osoby posiadającej uprawnienia notariusza.</w:t>
      </w:r>
    </w:p>
    <w:p>
      <w:pPr>
        <w:pStyle w:val="Normal"/>
        <w:numPr>
          <w:ilvl w:val="0"/>
          <w:numId w:val="9"/>
        </w:numPr>
        <w:ind w:hanging="284" w:left="284"/>
        <w:jc w:val="both"/>
        <w:rPr>
          <w:u w:val="single"/>
        </w:rPr>
      </w:pPr>
      <w:r>
        <w:rPr/>
        <w:t>Informacje zawarte w oświadczeniach, o którym mowa w pkt 1, stanowią wstępne potwierdzenie, że Wykonawca nie podlega wykluczeniu</w:t>
      </w:r>
      <w:r>
        <w:rPr>
          <w:rStyle w:val="Domylnaczcionkaakapitu1"/>
        </w:rPr>
        <w:t xml:space="preserve"> oraz spełnia warunki udziału.</w:t>
      </w:r>
    </w:p>
    <w:p>
      <w:pPr>
        <w:pStyle w:val="Normal"/>
        <w:numPr>
          <w:ilvl w:val="0"/>
          <w:numId w:val="9"/>
        </w:numPr>
        <w:ind w:hanging="284" w:left="284"/>
        <w:jc w:val="both"/>
        <w:rPr/>
      </w:pPr>
      <w:r>
        <w:rPr>
          <w:u w:val="single"/>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pPr>
        <w:pStyle w:val="Normal"/>
        <w:numPr>
          <w:ilvl w:val="0"/>
          <w:numId w:val="9"/>
        </w:numPr>
        <w:ind w:hanging="284" w:left="284"/>
        <w:jc w:val="both"/>
        <w:rPr>
          <w:b/>
          <w:bCs/>
          <w:color w:val="000000"/>
        </w:rPr>
      </w:pPr>
      <w:r>
        <w:rPr/>
        <w:t>Podmiotowe środki dowodowe wymagane od Wykonawcy, którego oferta została najwyżej oceniona, obejmują:</w:t>
      </w:r>
    </w:p>
    <w:p>
      <w:pPr>
        <w:pStyle w:val="pkt"/>
        <w:spacing w:before="0" w:after="0"/>
        <w:ind w:hanging="0" w:left="283"/>
        <w:rPr>
          <w:b/>
          <w:bCs/>
          <w:color w:val="000000"/>
          <w:szCs w:val="22"/>
        </w:rPr>
      </w:pPr>
      <w:r>
        <w:rPr>
          <w:b/>
          <w:bCs/>
          <w:color w:val="000000"/>
          <w:szCs w:val="22"/>
        </w:rPr>
        <w:t>- na potwierdzenie braku podstaw wykluczenia</w:t>
      </w:r>
    </w:p>
    <w:p>
      <w:pPr>
        <w:pStyle w:val="Normal"/>
        <w:ind w:left="284"/>
        <w:jc w:val="both"/>
        <w:rPr/>
      </w:pPr>
      <w:r>
        <w:rPr/>
        <w:t xml:space="preserve">Oświadczenie wykonawcy, w zakresie art. 108 ust. 1 pkt 5 ustawy, o braku przynależności do tej samej grupy kapitałowej, w rozumieniu ustawy z dnia 16 lutego 2007 r. o ochronie konkurencji i konsumentów (t. j. Dz. U. z 2025 r. poz. 1714) z innym Wykonawca, który złożył odrębną ofertę, ofertę częściową lub wniosek o dopuszczenie do udziału </w:t>
        <w:br/>
        <w:t xml:space="preserve">w postępowaniu, albo oświadczenia o przynależności do tej samej grupy kapitałowej wraz </w:t>
        <w:br/>
        <w:t xml:space="preserve">z dokumentami lub informacjami potwierdzającymi przygotowanie oferty, </w:t>
      </w:r>
      <w:r>
        <w:rPr>
          <w:color w:val="000000"/>
        </w:rPr>
        <w:t>lu</w:t>
      </w:r>
      <w:r>
        <w:rPr/>
        <w:t xml:space="preserve">b wniosku </w:t>
        <w:br/>
        <w:t xml:space="preserve">o dopuszczenie do udziału w postępowaniu niezależnie od innego wykonawcy należącego do tej samej grupy kapitałowej </w:t>
      </w:r>
      <w:r>
        <w:rPr>
          <w:color w:val="158466"/>
        </w:rPr>
        <w:t xml:space="preserve">– </w:t>
      </w:r>
      <w:r>
        <w:rPr>
          <w:rStyle w:val="Domylnaczcionkaakapitu1"/>
          <w:b/>
          <w:color w:val="000000"/>
        </w:rPr>
        <w:t>Załącznik nr 5 do SWZ</w:t>
      </w:r>
      <w:r>
        <w:rPr>
          <w:color w:val="000000"/>
        </w:rPr>
        <w:t>;</w:t>
      </w:r>
    </w:p>
    <w:p>
      <w:pPr>
        <w:pStyle w:val="Normal"/>
        <w:ind w:left="284"/>
        <w:jc w:val="both"/>
        <w:rPr>
          <w:b/>
          <w:bCs/>
          <w:color w:val="000000"/>
        </w:rPr>
      </w:pPr>
      <w:r>
        <w:rPr/>
        <w:t>W przypadku wspólnego ubiegania się o zamówienie przez Wykonawców (dotyczy również wspólników spółki cywilnej) oświadczenie o przynależności lub braku przynależności do tej samej grupy kapitałowej, składa każdy z Wykonawców wspólnie ubiegających się                         o zamówienie.</w:t>
      </w:r>
    </w:p>
    <w:p>
      <w:pPr>
        <w:pStyle w:val="WW-ListParagraph"/>
        <w:ind w:left="426"/>
        <w:jc w:val="both"/>
        <w:rPr>
          <w:b/>
          <w:bCs/>
          <w:color w:val="000000"/>
        </w:rPr>
      </w:pPr>
      <w:r>
        <w:rPr>
          <w:b/>
          <w:bCs/>
          <w:color w:val="000000"/>
        </w:rPr>
        <w:t>- na potwierdzenie spełniania warunków udziału w postępowaniu</w:t>
      </w:r>
    </w:p>
    <w:p>
      <w:pPr>
        <w:pStyle w:val="Normal"/>
        <w:ind w:left="283"/>
        <w:jc w:val="both"/>
        <w:rPr>
          <w:rStyle w:val="Domylnaczcionkaakapitu6"/>
          <w:rFonts w:eastAsia="Nimbus Roman No9 L;Times New Ro"/>
          <w:b/>
          <w:bCs/>
        </w:rPr>
      </w:pPr>
      <w:r>
        <w:rPr/>
        <w:t xml:space="preserve">a) </w:t>
      </w:r>
      <w:r>
        <w:rPr>
          <w:b/>
          <w:bCs/>
        </w:rPr>
        <w:t>wykaz robót budowlanych</w:t>
      </w:r>
      <w:r>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Pr>
          <w:rStyle w:val="Domylnaczcionkaakapitu6"/>
          <w:rFonts w:eastAsia="Nimbus Roman No9 L;Times New Ro"/>
          <w:b/>
          <w:bCs/>
        </w:rPr>
        <w:t>wg załącz</w:t>
      </w:r>
      <w:r>
        <w:rPr>
          <w:rStyle w:val="Domylnaczcionkaakapitu6"/>
          <w:rFonts w:eastAsia="Nimbus Roman No9 L;Times New Ro"/>
          <w:b/>
        </w:rPr>
        <w:t>nika nr 9</w:t>
      </w:r>
      <w:r>
        <w:rPr>
          <w:rStyle w:val="Domylnaczcionkaakapitu6"/>
          <w:rFonts w:eastAsia="Nimbus Roman No9 L;Times New Ro"/>
          <w:b/>
          <w:bCs/>
        </w:rPr>
        <w:t xml:space="preserve"> do SWZ).</w:t>
      </w:r>
    </w:p>
    <w:p>
      <w:pPr>
        <w:pStyle w:val="Normal"/>
        <w:ind w:left="284"/>
        <w:jc w:val="both"/>
        <w:rPr/>
      </w:pPr>
      <w:r>
        <w:rPr>
          <w:rStyle w:val="Domylnaczcionkaakapitu6"/>
          <w:rFonts w:eastAsia="Nimbus Roman No9 L;Times New Ro"/>
          <w:b/>
          <w:bCs/>
        </w:rPr>
        <w:t xml:space="preserve">b) </w:t>
      </w:r>
      <w:r>
        <w:rPr>
          <w:b/>
          <w:bCs/>
        </w:rPr>
        <w:t>wykaz osób</w:t>
      </w:r>
      <w:r>
        <w:rPr/>
        <w:t>, skierowanych przez wykonawcę do realizacji zamówienia publicznego wraz z informacjami na temat ich kwalifikacji zawodowych, uprawnień, doświadczenia                                 i wykształcenia niezbędnych do wykonania zamówienia publicznego, a także zakresu wykonywanych przez nie czynności (</w:t>
      </w:r>
      <w:r>
        <w:rPr>
          <w:b/>
          <w:bCs/>
        </w:rPr>
        <w:t>wg załącznika nr 8 do SWZ).</w:t>
      </w:r>
    </w:p>
    <w:p>
      <w:pPr>
        <w:pStyle w:val="Normal"/>
        <w:ind w:left="284"/>
        <w:jc w:val="both"/>
        <w:rPr>
          <w:b/>
          <w:bCs/>
        </w:rPr>
      </w:pPr>
      <w:r>
        <w:rPr>
          <w:b/>
          <w:bCs/>
        </w:rPr>
        <w:t xml:space="preserve">c) </w:t>
      </w:r>
      <w:r>
        <w:rPr>
          <w:rFonts w:cs="Times New Roman"/>
          <w:b/>
          <w:bCs/>
        </w:rPr>
        <w:t>informację banku</w:t>
      </w:r>
      <w:r>
        <w:rPr>
          <w:rFonts w:cs="Times New Roman"/>
        </w:rPr>
        <w:t xml:space="preserve"> lub spółdzielczej kasy oszczędnościowo-kredytowej potwierdzającej wysokość </w:t>
      </w:r>
      <w:r>
        <w:rPr/>
        <w:t>posiadanych środków finansowych lub zdolność kredytową Wykonawcy,                         w okresie nie wcześniejszym niż 3 miesiące przed jej złożeniem.</w:t>
      </w:r>
    </w:p>
    <w:p>
      <w:pPr>
        <w:pStyle w:val="Normal"/>
        <w:numPr>
          <w:ilvl w:val="0"/>
          <w:numId w:val="9"/>
        </w:numPr>
        <w:ind w:hanging="284" w:left="284"/>
        <w:jc w:val="both"/>
        <w:rPr/>
      </w:pPr>
      <w:r>
        <w:rPr/>
        <w:t>Zamawiający nie wzywa do złożenia podmiotowych środków dowodowych, jeżeli:</w:t>
      </w:r>
    </w:p>
    <w:p>
      <w:pPr>
        <w:pStyle w:val="Normal"/>
        <w:ind w:hanging="434" w:left="882"/>
        <w:jc w:val="both"/>
        <w:rPr/>
      </w:pPr>
      <w:r>
        <w:rPr/>
        <w:t>1)</w:t>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pPr>
        <w:pStyle w:val="Normal"/>
        <w:ind w:hanging="434" w:left="882"/>
        <w:jc w:val="both"/>
        <w:rPr/>
      </w:pPr>
      <w:r>
        <w:rPr/>
        <w:t>2)</w:t>
        <w:tab/>
        <w:t>podmiotowym środkiem dowodowym jest oświadczenie, którego treść odpowiada zakresowi oświadczenia, o którym mowa w art. 125 ust. 1 PZP.</w:t>
      </w:r>
    </w:p>
    <w:p>
      <w:pPr>
        <w:pStyle w:val="Normal"/>
        <w:numPr>
          <w:ilvl w:val="0"/>
          <w:numId w:val="9"/>
        </w:numPr>
        <w:ind w:hanging="284" w:left="284"/>
        <w:jc w:val="both"/>
        <w:rPr/>
      </w:pPr>
      <w:r>
        <w:rPr/>
        <w:t xml:space="preserve">Wykonawca nie jest zobowiązany do złożenia podmiotowych środków dowodowych, które zamawiający posiada, jeżeli Wykonawca wskaże te środki oraz potwierdzi ich prawidłowość i aktualność. </w:t>
      </w:r>
    </w:p>
    <w:p>
      <w:pPr>
        <w:pStyle w:val="Normal"/>
        <w:numPr>
          <w:ilvl w:val="0"/>
          <w:numId w:val="9"/>
        </w:numPr>
        <w:ind w:hanging="284" w:left="284"/>
        <w:jc w:val="both"/>
        <w:rPr/>
      </w:pPr>
      <w:r>
        <w:rPr/>
        <w:t xml:space="preserve">W zakresie nieuregulowanym ustawą PZP lub niniejszą SWZ do oświadczeń i dokumentów składanych przez Wykonawcę w postępowaniu zastosowanie mają w szczególności przepisy rozporządzenia Ministra Rozwoju Pracy i Technologii z dnia 23 grudnia 2020r.                      w sprawie podmiotowych środków dowodowych oraz innych dokumentów lub oświadczeń, jakich może żądać zamawiający od wykonawcy oraz rozporządzenia Prezesa Rady Ministrów z dnia 30 grudnia 2020 r. w sprawie sposobu </w:t>
        <w:tab/>
        <w:t>sporządzania i przekazywania informacji oraz wymagań technicznych dla dokumentów elektronicznych oraz środków komunikacji elektronicznej w postępowaniu o udzielenie zamówienia publicznego lub konkursie.</w:t>
      </w:r>
    </w:p>
    <w:p>
      <w:pPr>
        <w:pStyle w:val="Normal"/>
        <w:numPr>
          <w:ilvl w:val="0"/>
          <w:numId w:val="9"/>
        </w:numPr>
        <w:tabs>
          <w:tab w:val="clear" w:pos="720"/>
          <w:tab w:val="left" w:pos="284" w:leader="none"/>
        </w:tabs>
        <w:ind w:hanging="0" w:left="0"/>
        <w:jc w:val="both"/>
        <w:rPr/>
      </w:pPr>
      <w:r>
        <w:rPr/>
        <w:t xml:space="preserve">Wykonawca nie podlega wykluczeniu w okolicznościach określonych w art. 108 ust. 1 </w:t>
        <w:tab/>
        <w:t>pkt 1, 2 i 5 ustawy Pzp, jeżeli udowodni Zamawiającemu, że spełnił łącznie następujące przesłanki:</w:t>
      </w:r>
    </w:p>
    <w:p>
      <w:pPr>
        <w:pStyle w:val="Normal"/>
        <w:tabs>
          <w:tab w:val="clear" w:pos="720"/>
          <w:tab w:val="left" w:pos="923" w:leader="none"/>
          <w:tab w:val="left" w:pos="1934" w:leader="none"/>
        </w:tabs>
        <w:ind w:left="794"/>
        <w:jc w:val="both"/>
        <w:rPr/>
      </w:pPr>
      <w:r>
        <w:rPr/>
        <w:t xml:space="preserve">1) naprawił lub zobowiązał się do naprawienia szkody wyrządzonej przestępstwem, </w:t>
        <w:tab/>
        <w:t xml:space="preserve">wykroczeniem lub swoim nieprawidłowym postępowaniem, w tym poprzez </w:t>
        <w:tab/>
        <w:t>zadośćuczynienie pieniężne;</w:t>
      </w:r>
    </w:p>
    <w:p>
      <w:pPr>
        <w:pStyle w:val="Normal"/>
        <w:tabs>
          <w:tab w:val="clear" w:pos="720"/>
          <w:tab w:val="left" w:pos="965" w:leader="none"/>
          <w:tab w:val="left" w:pos="1934" w:leader="none"/>
        </w:tabs>
        <w:ind w:left="794"/>
        <w:jc w:val="both"/>
        <w:rPr/>
      </w:pPr>
      <w:r>
        <w:rPr/>
        <w:t xml:space="preserve">2) wyczerpująco wyjaśnił fakty i okoliczności związane z przestępstwem, </w:t>
        <w:tab/>
        <w:t xml:space="preserve">wykroczeniem lub swoim nieprawidłowym postępowaniem oraz spowodowanymi </w:t>
        <w:tab/>
        <w:t xml:space="preserve">przez nie szkodami, aktywnie współpracując odpowiednio z właściwymi </w:t>
        <w:tab/>
        <w:t>organami, w tym organami ścigania, lub Zamawiającym,</w:t>
      </w:r>
    </w:p>
    <w:p>
      <w:pPr>
        <w:pStyle w:val="Normal"/>
        <w:tabs>
          <w:tab w:val="clear" w:pos="720"/>
          <w:tab w:val="left" w:pos="955" w:leader="none"/>
          <w:tab w:val="left" w:pos="1934" w:leader="none"/>
        </w:tabs>
        <w:ind w:left="794"/>
        <w:jc w:val="both"/>
        <w:rPr/>
      </w:pPr>
      <w:r>
        <w:rPr/>
        <w:t xml:space="preserve">3) podjął konkretne środki techniczne, organizacyjne i kadrowe, odpowiednie dla </w:t>
        <w:tab/>
        <w:t xml:space="preserve">zapobiegania dalszym przestępstwom, wykroczeniom lub nieprawidłowemu </w:t>
        <w:tab/>
        <w:t>postępowaniu, w szczególności:</w:t>
      </w:r>
    </w:p>
    <w:p>
      <w:pPr>
        <w:pStyle w:val="Normal"/>
        <w:ind w:firstLine="283" w:left="1247"/>
        <w:jc w:val="both"/>
        <w:rPr/>
      </w:pPr>
      <w:r>
        <w:rPr/>
        <w:t xml:space="preserve">a) zerwał wszelkie powiązania z osobami lub podmiotami odpowiedzialnymi </w:t>
        <w:tab/>
        <w:t xml:space="preserve">      za nieprawidłowe postępowanie Wykonawcy,</w:t>
      </w:r>
    </w:p>
    <w:p>
      <w:pPr>
        <w:pStyle w:val="Normal"/>
        <w:ind w:firstLine="283" w:left="1247"/>
        <w:jc w:val="both"/>
        <w:rPr/>
      </w:pPr>
      <w:r>
        <w:rPr/>
        <w:t>b) zreorganizował personel,</w:t>
      </w:r>
    </w:p>
    <w:p>
      <w:pPr>
        <w:pStyle w:val="Normal"/>
        <w:ind w:firstLine="283" w:left="1247"/>
        <w:jc w:val="both"/>
        <w:rPr/>
      </w:pPr>
      <w:r>
        <w:rPr/>
        <w:t>c) wdrożył system sprawozdawczości i kontroli,</w:t>
      </w:r>
    </w:p>
    <w:p>
      <w:pPr>
        <w:pStyle w:val="Normal"/>
        <w:ind w:firstLine="283" w:left="1247"/>
        <w:jc w:val="both"/>
        <w:rPr/>
      </w:pPr>
      <w:r>
        <w:rPr/>
        <w:t xml:space="preserve">d) utworzył struktury audytu wewnętrznego do monitorowania przestrzegania    </w:t>
        <w:tab/>
        <w:t xml:space="preserve">      przepisów, wewnętrznych regulacji lub standardów,</w:t>
      </w:r>
    </w:p>
    <w:p>
      <w:pPr>
        <w:pStyle w:val="Normal"/>
        <w:ind w:firstLine="283" w:left="1247"/>
        <w:jc w:val="both"/>
        <w:rPr/>
      </w:pPr>
      <w:r>
        <w:rPr/>
        <w:t xml:space="preserve">e) wprowadził wewnętrzne regulacje dotyczące odpowiedzialności i </w:t>
        <w:tab/>
        <w:tab/>
        <w:t xml:space="preserve">   odszkodowań za nieprzestrzeganie przepisów, wewnętrznych regulacji lub </w:t>
        <w:tab/>
        <w:t xml:space="preserve">     standardów. </w:t>
      </w:r>
    </w:p>
    <w:p>
      <w:pPr>
        <w:pStyle w:val="Normal"/>
        <w:jc w:val="both"/>
        <w:rPr/>
      </w:pPr>
      <w:r>
        <w:rPr/>
        <w:t>Zamawiający oceni, czy podjęte przez Wykonawcę czynności, o których mowa w pkt. X.8 SWZ, są wystarczające do wykazania jego rzetelności, uwzględniając jego wagę i szczególne okoliczności czynu Wykonawcy. Jeżeli podjęte przez Wykonawcę czynności, o których mowa w pkt. X.8 SWZ, nie są wystarczające do wykazania jego rzetelności, Zamawiający wyklucza Wykonawcę.</w:t>
      </w:r>
    </w:p>
    <w:p>
      <w:pPr>
        <w:pStyle w:val="Heading2"/>
        <w:numPr>
          <w:ilvl w:val="1"/>
          <w:numId w:val="1"/>
        </w:numPr>
        <w:tabs>
          <w:tab w:val="clear" w:pos="720"/>
          <w:tab w:val="left" w:pos="0" w:leader="none"/>
        </w:tabs>
        <w:rPr>
          <w:rFonts w:hint="eastAsia"/>
        </w:rPr>
      </w:pPr>
      <w:bookmarkStart w:id="9" w:name="_gb4nrns0uw97"/>
      <w:bookmarkEnd w:id="9"/>
      <w:r>
        <w:rPr/>
        <w:t>XI. Poleganie na zasobach innych podmiotów</w:t>
      </w:r>
    </w:p>
    <w:p>
      <w:pPr>
        <w:pStyle w:val="Normal"/>
        <w:numPr>
          <w:ilvl w:val="0"/>
          <w:numId w:val="23"/>
        </w:numPr>
        <w:ind w:hanging="284" w:left="284"/>
        <w:jc w:val="both"/>
        <w:rPr/>
      </w:pPr>
      <w:r>
        <w:rPr/>
        <w:t>Wykonawca może w celu potwierdzenia spełniania warunków udziału polegać na zdolnościach technicznych lub zawodowych podmiotów udostępniających zasoby, niezależnie od charakteru prawnego łączących go z nimi stosunków prawnych.</w:t>
      </w:r>
    </w:p>
    <w:p>
      <w:pPr>
        <w:pStyle w:val="Normal"/>
        <w:numPr>
          <w:ilvl w:val="0"/>
          <w:numId w:val="23"/>
        </w:numPr>
        <w:ind w:hanging="284" w:left="284"/>
        <w:jc w:val="both"/>
        <w:rPr/>
      </w:pPr>
      <w:r>
        <w:rPr/>
        <w:t>W odniesieniu do warunków dotyczących doświadczenia, wykonawcy mogą polegać na zdolnościach podmiotów udostępniających zasoby, jeśli podmioty te wykonają świadczenie do realizacji którego te zdolności są wymagane.</w:t>
      </w:r>
    </w:p>
    <w:p>
      <w:pPr>
        <w:pStyle w:val="Normal"/>
        <w:numPr>
          <w:ilvl w:val="0"/>
          <w:numId w:val="23"/>
        </w:numPr>
        <w:ind w:hanging="284" w:left="284"/>
        <w:jc w:val="both"/>
        <w:rPr/>
      </w:pPr>
      <w:r>
        <w:rPr/>
        <w:t xml:space="preserve">Wykonawca, który polega na zdolnościach lub sytuacji podmiotów udostępniających zasoby, </w:t>
      </w:r>
      <w:r>
        <w:rPr>
          <w:b/>
          <w:u w:val="single"/>
        </w:rPr>
        <w:t>składa, wraz z ofertą</w:t>
      </w:r>
      <w:r>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Pr>
          <w:rStyle w:val="Domylnaczcionkaakapitu6"/>
        </w:rPr>
        <w:t xml:space="preserve">Wzór oświadczenia stanowi </w:t>
      </w:r>
      <w:r>
        <w:rPr>
          <w:rStyle w:val="Domylnaczcionkaakapitu6"/>
          <w:b/>
        </w:rPr>
        <w:t>Załącznik nr 10 do SWZ.</w:t>
      </w:r>
    </w:p>
    <w:p>
      <w:pPr>
        <w:pStyle w:val="Normal"/>
        <w:numPr>
          <w:ilvl w:val="0"/>
          <w:numId w:val="23"/>
        </w:numPr>
        <w:ind w:hanging="284" w:left="284"/>
        <w:jc w:val="both"/>
        <w:rPr/>
      </w:pPr>
      <w:r>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pPr>
        <w:pStyle w:val="Normal"/>
        <w:numPr>
          <w:ilvl w:val="0"/>
          <w:numId w:val="23"/>
        </w:numPr>
        <w:ind w:hanging="284" w:left="284"/>
        <w:jc w:val="both"/>
        <w:rPr/>
      </w:pPr>
      <w:r>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pPr>
        <w:pStyle w:val="Normal"/>
        <w:numPr>
          <w:ilvl w:val="0"/>
          <w:numId w:val="23"/>
        </w:numPr>
        <w:ind w:hanging="284" w:left="284"/>
        <w:jc w:val="both"/>
        <w:rPr/>
      </w:pPr>
      <w:r>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pPr>
        <w:pStyle w:val="Normal"/>
        <w:numPr>
          <w:ilvl w:val="0"/>
          <w:numId w:val="23"/>
        </w:numPr>
        <w:ind w:hanging="284" w:left="284"/>
        <w:jc w:val="both"/>
        <w:rPr/>
      </w:pPr>
      <w:r>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pPr>
        <w:pStyle w:val="Heading2"/>
        <w:numPr>
          <w:ilvl w:val="1"/>
          <w:numId w:val="1"/>
        </w:numPr>
        <w:tabs>
          <w:tab w:val="clear" w:pos="720"/>
          <w:tab w:val="left" w:pos="0" w:leader="none"/>
        </w:tabs>
        <w:spacing w:before="0" w:after="0"/>
        <w:rPr>
          <w:rFonts w:hint="eastAsia"/>
        </w:rPr>
      </w:pPr>
      <w:r>
        <w:rPr>
          <w:rFonts w:hint="eastAsia"/>
        </w:rPr>
      </w:r>
    </w:p>
    <w:p>
      <w:pPr>
        <w:pStyle w:val="Heading2"/>
        <w:numPr>
          <w:ilvl w:val="1"/>
          <w:numId w:val="1"/>
        </w:numPr>
        <w:tabs>
          <w:tab w:val="clear" w:pos="720"/>
          <w:tab w:val="left" w:pos="0" w:leader="none"/>
        </w:tabs>
        <w:spacing w:before="0" w:after="0"/>
        <w:jc w:val="both"/>
        <w:rPr>
          <w:rFonts w:hint="eastAsia"/>
        </w:rPr>
      </w:pPr>
      <w:bookmarkStart w:id="10" w:name="_lodptpqf2xh0"/>
      <w:bookmarkEnd w:id="10"/>
      <w:r>
        <w:rPr/>
        <w:t>XII. Informacja dla Wykonawców wspólnie ubiegających się                     o udzielenie zamówienia</w:t>
      </w:r>
    </w:p>
    <w:p>
      <w:pPr>
        <w:pStyle w:val="Normal"/>
        <w:tabs>
          <w:tab w:val="clear" w:pos="720"/>
          <w:tab w:val="left" w:pos="0" w:leader="none"/>
        </w:tabs>
        <w:jc w:val="both"/>
        <w:rPr/>
      </w:pPr>
      <w:r>
        <w:rPr/>
      </w:r>
    </w:p>
    <w:p>
      <w:pPr>
        <w:pStyle w:val="Normal"/>
        <w:numPr>
          <w:ilvl w:val="0"/>
          <w:numId w:val="25"/>
        </w:numPr>
        <w:jc w:val="both"/>
        <w:rPr/>
      </w:pPr>
      <w:r>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pPr>
        <w:pStyle w:val="Normal"/>
        <w:numPr>
          <w:ilvl w:val="0"/>
          <w:numId w:val="25"/>
        </w:numPr>
        <w:jc w:val="both"/>
        <w:rPr/>
      </w:pPr>
      <w:r>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pPr>
        <w:pStyle w:val="Normal"/>
        <w:numPr>
          <w:ilvl w:val="0"/>
          <w:numId w:val="25"/>
        </w:numPr>
        <w:jc w:val="both"/>
        <w:rPr/>
      </w:pPr>
      <w:r>
        <w:rPr/>
        <w:t>Wykonawcy wspólnie ubiegający się o udzielenie zamówienia dołączają do oferty oświadczenie, z którego wynika, które roboty budowlane wykonają poszczególni wykonawcy zgodnie z załącznikiem nr 11 do SWZ.</w:t>
      </w:r>
    </w:p>
    <w:p>
      <w:pPr>
        <w:pStyle w:val="Normal"/>
        <w:numPr>
          <w:ilvl w:val="0"/>
          <w:numId w:val="25"/>
        </w:numPr>
        <w:jc w:val="both"/>
        <w:rPr/>
      </w:pPr>
      <w:r>
        <w:rPr/>
        <w:t>Oświadczenia i dokumenty potwierdzające brak podstaw do wykluczenia                                  z postępowania składa każdy z Wykonawców wspólnie ubiegających się o zamówienie.</w:t>
      </w:r>
    </w:p>
    <w:p>
      <w:pPr>
        <w:pStyle w:val="Heading2"/>
        <w:numPr>
          <w:ilvl w:val="1"/>
          <w:numId w:val="1"/>
        </w:numPr>
        <w:tabs>
          <w:tab w:val="clear" w:pos="720"/>
          <w:tab w:val="left" w:pos="0" w:leader="none"/>
        </w:tabs>
        <w:spacing w:before="0" w:after="0"/>
        <w:rPr>
          <w:rFonts w:hint="eastAsia"/>
        </w:rPr>
      </w:pPr>
      <w:r>
        <w:rPr>
          <w:rFonts w:hint="eastAsia"/>
        </w:rPr>
      </w:r>
    </w:p>
    <w:p>
      <w:pPr>
        <w:pStyle w:val="Normal"/>
        <w:tabs>
          <w:tab w:val="clear" w:pos="720"/>
          <w:tab w:val="left" w:pos="0" w:leader="none"/>
        </w:tabs>
        <w:rPr/>
      </w:pPr>
      <w:r>
        <w:rPr/>
      </w:r>
    </w:p>
    <w:p>
      <w:pPr>
        <w:pStyle w:val="Normal"/>
        <w:tabs>
          <w:tab w:val="clear" w:pos="720"/>
          <w:tab w:val="left" w:pos="0" w:leader="none"/>
        </w:tabs>
        <w:rPr/>
      </w:pPr>
      <w:r>
        <w:rPr/>
      </w:r>
    </w:p>
    <w:p>
      <w:pPr>
        <w:pStyle w:val="Normal"/>
        <w:tabs>
          <w:tab w:val="clear" w:pos="720"/>
          <w:tab w:val="left" w:pos="0" w:leader="none"/>
        </w:tabs>
        <w:rPr/>
      </w:pPr>
      <w:r>
        <w:rPr/>
      </w:r>
    </w:p>
    <w:p>
      <w:pPr>
        <w:pStyle w:val="Normal"/>
        <w:tabs>
          <w:tab w:val="clear" w:pos="720"/>
          <w:tab w:val="left" w:pos="0" w:leader="none"/>
        </w:tabs>
        <w:rPr/>
      </w:pPr>
      <w:r>
        <w:rPr/>
      </w:r>
    </w:p>
    <w:p>
      <w:pPr>
        <w:pStyle w:val="Normal"/>
        <w:tabs>
          <w:tab w:val="clear" w:pos="720"/>
          <w:tab w:val="left" w:pos="0" w:leader="none"/>
        </w:tabs>
        <w:rPr/>
      </w:pPr>
      <w:r>
        <w:rPr/>
      </w:r>
    </w:p>
    <w:p>
      <w:pPr>
        <w:pStyle w:val="Heading2"/>
        <w:numPr>
          <w:ilvl w:val="1"/>
          <w:numId w:val="1"/>
        </w:numPr>
        <w:tabs>
          <w:tab w:val="clear" w:pos="720"/>
          <w:tab w:val="left" w:pos="0" w:leader="none"/>
        </w:tabs>
        <w:spacing w:before="0" w:after="0"/>
        <w:jc w:val="center"/>
        <w:rPr>
          <w:rFonts w:hint="eastAsia"/>
        </w:rPr>
      </w:pPr>
      <w:bookmarkStart w:id="11" w:name="_tp7vefgpgfgi"/>
      <w:bookmarkEnd w:id="11"/>
      <w:r>
        <w:rPr/>
        <w:t xml:space="preserve">XIII. Informacje o sposobie porozumiewania się zamawiającego  z Wykonawcami oraz przekazywania oświadczeń </w:t>
      </w:r>
    </w:p>
    <w:p>
      <w:pPr>
        <w:pStyle w:val="Heading2"/>
        <w:numPr>
          <w:ilvl w:val="1"/>
          <w:numId w:val="1"/>
        </w:numPr>
        <w:tabs>
          <w:tab w:val="clear" w:pos="720"/>
          <w:tab w:val="left" w:pos="0" w:leader="none"/>
        </w:tabs>
        <w:spacing w:before="0" w:after="0"/>
        <w:jc w:val="center"/>
        <w:rPr>
          <w:rFonts w:hint="eastAsia"/>
        </w:rPr>
      </w:pPr>
      <w:r>
        <w:rPr/>
        <w:t>lub dokumentów</w:t>
      </w:r>
    </w:p>
    <w:p>
      <w:pPr>
        <w:pStyle w:val="Normal"/>
        <w:ind w:hanging="284" w:left="284"/>
        <w:jc w:val="both"/>
        <w:rPr/>
      </w:pPr>
      <w:r>
        <w:rPr/>
      </w:r>
    </w:p>
    <w:p>
      <w:pPr>
        <w:pStyle w:val="Normal"/>
        <w:jc w:val="both"/>
        <w:rPr/>
      </w:pPr>
      <w:r>
        <w:rPr/>
        <w:t xml:space="preserve">1. W postępowaniu o udzielenie zamówienia publicznego komunikacja między Zamawiającym a Wykonawcami odbywa się przy użyciu Platformy e-Zamówienia, która jest dostępna pod adresem </w:t>
      </w:r>
      <w:hyperlink r:id="rId5">
        <w:r>
          <w:rPr>
            <w:rStyle w:val="Style1"/>
            <w:color w:val="000080"/>
            <w:u w:val="single"/>
          </w:rPr>
          <w:t>https://ezamowienia.gov.pl</w:t>
        </w:r>
      </w:hyperlink>
      <w:r>
        <w:rPr/>
        <w:t>.</w:t>
      </w:r>
    </w:p>
    <w:p>
      <w:pPr>
        <w:pStyle w:val="Normal"/>
        <w:jc w:val="both"/>
        <w:rPr/>
      </w:pPr>
      <w:r>
        <w:rPr/>
        <w:t>2. Korzystanie z Platformy e-Zamówienia jest bezpłatne.</w:t>
      </w:r>
    </w:p>
    <w:p>
      <w:pPr>
        <w:pStyle w:val="Normal"/>
        <w:jc w:val="both"/>
        <w:rPr>
          <w:lang w:val="de-DE"/>
        </w:rPr>
      </w:pPr>
      <w:r>
        <w:rPr/>
        <w:t>3. Zamawiający wyznacza następujące osoby do kontaktu z Wykonawcami:</w:t>
      </w:r>
    </w:p>
    <w:p>
      <w:pPr>
        <w:pStyle w:val="Normal"/>
        <w:jc w:val="both"/>
        <w:rPr/>
      </w:pPr>
      <w:r>
        <w:rPr>
          <w:lang w:val="de-DE"/>
        </w:rPr>
        <w:t xml:space="preserve">Dominika Pejska, e-mail: </w:t>
      </w:r>
      <w:hyperlink r:id="rId6">
        <w:r>
          <w:rPr>
            <w:rStyle w:val="Style1"/>
            <w:color w:val="000080"/>
            <w:u w:val="single"/>
            <w:lang w:val="de-DE"/>
          </w:rPr>
          <w:t>dominika.pejska@zgmskierniewice.com.pl</w:t>
        </w:r>
      </w:hyperlink>
      <w:r>
        <w:rPr>
          <w:lang w:val="de-DE"/>
        </w:rPr>
        <w:t xml:space="preserve">, tel. </w:t>
      </w:r>
      <w:r>
        <w:rPr/>
        <w:t xml:space="preserve">46 833 26 53 wew. 22 </w:t>
      </w:r>
    </w:p>
    <w:p>
      <w:pPr>
        <w:pStyle w:val="Normal"/>
        <w:jc w:val="both"/>
        <w:rPr>
          <w:sz w:val="20"/>
          <w:szCs w:val="20"/>
        </w:rPr>
      </w:pPr>
      <w:r>
        <w:rPr/>
        <w:t>4. Adres strony internetowej prowadzonego postępowania (link prowadzący bezpośrednio do widoku postępowania na Platformie e-Zamówienia):</w:t>
      </w:r>
    </w:p>
    <w:p>
      <w:pPr>
        <w:pStyle w:val="Normal"/>
        <w:jc w:val="both"/>
        <w:rPr>
          <w:sz w:val="20"/>
          <w:szCs w:val="20"/>
        </w:rPr>
      </w:pPr>
      <w:r>
        <w:rPr>
          <w:sz w:val="20"/>
          <w:szCs w:val="20"/>
        </w:rPr>
        <w:t>https://ezamowienia.gov.pl/mp-client/search/list/ocds-148610-d0b9eada-012f-42ca-8037-0edbf8c61eb3</w:t>
      </w:r>
    </w:p>
    <w:p>
      <w:pPr>
        <w:pStyle w:val="Normal"/>
        <w:rPr/>
      </w:pPr>
      <w:r>
        <w:rPr/>
        <w:t>Postępowanie można wyszukać również ze strony głównej Platformy e-Zamówienia (przycisk „Przeglądaj postępowania/konkursy”).</w:t>
      </w:r>
    </w:p>
    <w:p>
      <w:pPr>
        <w:pStyle w:val="Normal"/>
        <w:rPr>
          <w:rFonts w:eastAsia="Times New Roman"/>
          <w:bCs/>
          <w:sz w:val="20"/>
          <w:szCs w:val="20"/>
          <w:lang w:eastAsia="pl-PL" w:bidi="ar-SA"/>
        </w:rPr>
      </w:pPr>
      <w:r>
        <w:rPr/>
        <w:t>5. Identyfikator (ID) postępowania na Platformie e-Zamówienia:</w:t>
      </w:r>
    </w:p>
    <w:p>
      <w:pPr>
        <w:pStyle w:val="Normal"/>
        <w:rPr>
          <w:strike w:val="false"/>
          <w:dstrike w:val="false"/>
          <w:color w:val="auto"/>
          <w:sz w:val="22"/>
          <w:szCs w:val="22"/>
        </w:rPr>
      </w:pPr>
      <w:r>
        <w:rPr>
          <w:rFonts w:eastAsia="Times New Roman"/>
          <w:bCs/>
          <w:strike w:val="false"/>
          <w:dstrike w:val="false"/>
          <w:color w:val="auto"/>
          <w:sz w:val="22"/>
          <w:szCs w:val="22"/>
          <w:lang w:eastAsia="pl-PL" w:bidi="ar-SA"/>
        </w:rPr>
        <w:t>ocds-148610-d0b9eada-012f-42ca-8037-0edbf8c61eb3</w:t>
      </w:r>
    </w:p>
    <w:p>
      <w:pPr>
        <w:pStyle w:val="Normal"/>
        <w:tabs>
          <w:tab w:val="clear" w:pos="720"/>
          <w:tab w:val="left" w:pos="0" w:leader="none"/>
        </w:tabs>
        <w:jc w:val="both"/>
        <w:rPr/>
      </w:pPr>
      <w:r>
        <w:rPr/>
        <w:t xml:space="preserve">6.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Pr>
          <w:i/>
        </w:rPr>
        <w:t xml:space="preserve">Regulamin Platformy e-Zamówienia, </w:t>
      </w:r>
      <w:r>
        <w:rPr/>
        <w:t>dostępny na stronie internetowej https://ezamowienia.gov.pl oraz informacje zamieszczone w zakładce „Centrum Pomocy”.</w:t>
      </w:r>
    </w:p>
    <w:p>
      <w:pPr>
        <w:pStyle w:val="Normal"/>
        <w:tabs>
          <w:tab w:val="clear" w:pos="720"/>
          <w:tab w:val="left" w:pos="0" w:leader="none"/>
        </w:tabs>
        <w:jc w:val="both"/>
        <w:rPr/>
      </w:pPr>
      <w:r>
        <w:rPr/>
        <w:t>7. Przeglądanie i pobieranie publicznej treści dokumentacji postępowania nie wymaga posiadania konta na Platformie e-Zamówienia ani logowania.</w:t>
      </w:r>
    </w:p>
    <w:p>
      <w:pPr>
        <w:pStyle w:val="Normal"/>
        <w:tabs>
          <w:tab w:val="clear" w:pos="720"/>
          <w:tab w:val="left" w:pos="0" w:leader="none"/>
        </w:tabs>
        <w:jc w:val="both"/>
        <w:rPr/>
      </w:pPr>
      <w:r>
        <w:rPr/>
        <w:t>8.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pPr>
        <w:pStyle w:val="Normal"/>
        <w:tabs>
          <w:tab w:val="clear" w:pos="720"/>
          <w:tab w:val="left" w:pos="0" w:leader="none"/>
        </w:tabs>
        <w:jc w:val="both"/>
        <w:rPr/>
      </w:pPr>
      <w:r>
        <w:rPr/>
        <w:t xml:space="preserve">9.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pPr>
        <w:pStyle w:val="Normal"/>
        <w:jc w:val="both"/>
        <w:rPr/>
      </w:pPr>
      <w:r>
        <w:rPr/>
        <w:t xml:space="preserve">W przypadku formatów, o których mowa w art. 66 ust. 1 ustawy Pzp, ww. regulacje nie będą miały bezpośredniego zastosowania. </w:t>
      </w:r>
    </w:p>
    <w:p>
      <w:pPr>
        <w:pStyle w:val="Normal"/>
        <w:jc w:val="both"/>
        <w:rPr/>
      </w:pPr>
      <w:r>
        <w:rPr/>
        <w:t>10. Informacje, oświadczenia lub dokumenty, inne niż wymienione w § 2 ust. 1 rozporządzenia Prezesa Rady Ministrów w sprawie wymagań dla dokumentów elektronicznych, przekazywane w postępowaniu sporządza się w postaci elektronicznej:  a. w formatach danych określonych                  w przepisach rozporządzenia Rady Ministrów w sprawie Krajowych Ram Interoperacyjności                    (i przekazuje się jako załącznik), lub b. jako tekst wpisany bezpośrednio do wiadomości</w:t>
      </w:r>
      <w:r>
        <w:rPr>
          <w:color w:val="127622"/>
        </w:rPr>
        <w:t xml:space="preserve"> </w:t>
      </w:r>
      <w:r>
        <w:rPr/>
        <w:t>przekazywanej przy użyciu środków komunikacji elektronicznej (np. w treści wiadomości e-mail lub w treści „Formularza do komunikacji”).</w:t>
      </w:r>
    </w:p>
    <w:p>
      <w:pPr>
        <w:pStyle w:val="Normal"/>
        <w:jc w:val="both"/>
        <w:rPr/>
      </w:pPr>
      <w:r>
        <w:rPr/>
        <w:t>11. Jeżeli dokumenty elektroniczne, przekazywane przy użyciu środków komunikacji elektronicznej, zawierają informacje stanowiące tajemnicę przedsiębiorstwa w rozumieniu przepisów ustawy z dnia 16 kwietnia 1993 r. o zwalczaniu nieuczciwej konkurencji (t.j. Dz. U.                    z 2026 r. poz. 85) wykonawca, w celu utrzymania w poufności tych informacji, przekazuje je                  w wydzielonym i odpowiednio oznaczonym pliku, wraz z jednoczesnym zaznaczeniem                       w nazwie pliku „Dokument stanowiący tajemnicę przedsiębiorstwa”.</w:t>
      </w:r>
    </w:p>
    <w:p>
      <w:pPr>
        <w:pStyle w:val="Normal"/>
        <w:jc w:val="both"/>
        <w:rPr/>
      </w:pPr>
      <w:r>
        <w:rPr/>
        <w:t>12.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pPr>
        <w:pStyle w:val="Normal"/>
        <w:jc w:val="both"/>
        <w:rPr/>
      </w:pPr>
      <w:r>
        <w:rPr/>
        <w:t>13.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pPr>
        <w:pStyle w:val="Normal"/>
        <w:jc w:val="both"/>
        <w:rPr/>
      </w:pPr>
      <w:r>
        <w:rPr/>
        <w:t>14. Wszystkie wysłane i odebrane w postępowaniu przez wykonawcę wiadomości widoczne są po zalogowaniu w podglądzie postępowania w zakładce „Komunikacja”.</w:t>
      </w:r>
    </w:p>
    <w:p>
      <w:pPr>
        <w:pStyle w:val="Normal"/>
        <w:jc w:val="both"/>
        <w:rPr/>
      </w:pPr>
      <w:r>
        <w:rPr/>
        <w:t>15. Maksymalny rozmiar plików przesyłanych za pośrednictwem „Formularzy do komunikacji” wynosi 150 MB (wielkość ta dotyczy plików przesyłanych jako załączniki do jednego formularza).</w:t>
      </w:r>
    </w:p>
    <w:p>
      <w:pPr>
        <w:pStyle w:val="Normal"/>
        <w:jc w:val="both"/>
        <w:rPr/>
      </w:pPr>
      <w:r>
        <w:rPr/>
        <w:t xml:space="preserve">16. Minimalne wymagania techniczne dotyczące sprzętu używanego w celu korzystania                     z usług Platformy e-Zamówienia oraz informacje dotyczące specyfikacji połączenia określa </w:t>
      </w:r>
      <w:r>
        <w:rPr>
          <w:i/>
        </w:rPr>
        <w:t>Regulamin Platformy e-Zamówienia.</w:t>
      </w:r>
    </w:p>
    <w:p>
      <w:pPr>
        <w:pStyle w:val="Normal"/>
        <w:jc w:val="both"/>
        <w:rPr/>
      </w:pPr>
      <w:r>
        <w:rPr/>
        <w:t>17. 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w:t>
      </w:r>
    </w:p>
    <w:p>
      <w:pPr>
        <w:pStyle w:val="Normal"/>
        <w:jc w:val="both"/>
        <w:rPr/>
      </w:pPr>
      <w:r>
        <w:rPr/>
        <w:t>18. W szczególnie uzasadnionych przypadkach uniemożliwiających komunikację wykonawcy                     i Zamawiającego za pośrednictwem Platformy e-Zamówienia, Zamawiający dopuszcza komunikację za pomocą poczty elektronicznej na adres e-mail:</w:t>
      </w:r>
    </w:p>
    <w:p>
      <w:pPr>
        <w:pStyle w:val="Normal"/>
        <w:jc w:val="both"/>
        <w:rPr/>
      </w:pPr>
      <w:hyperlink r:id="rId7">
        <w:r>
          <w:rPr>
            <w:rStyle w:val="Style1"/>
            <w:color w:val="000000"/>
            <w:u w:val="single"/>
            <w:lang w:val="de-DE"/>
          </w:rPr>
          <w:t>dominika.pejska@zgmskierniewice.com.pl</w:t>
        </w:r>
      </w:hyperlink>
      <w:r>
        <w:rPr>
          <w:lang w:val="de-DE"/>
        </w:rPr>
        <w:t xml:space="preserve"> </w:t>
      </w:r>
      <w:r>
        <w:rPr/>
        <w:t xml:space="preserve">(nie dotyczy składania ofert). </w:t>
      </w:r>
    </w:p>
    <w:p>
      <w:pPr>
        <w:pStyle w:val="Normal"/>
        <w:tabs>
          <w:tab w:val="clear" w:pos="720"/>
          <w:tab w:val="left" w:pos="0" w:leader="none"/>
        </w:tabs>
        <w:rPr>
          <w:sz w:val="30"/>
          <w:szCs w:val="30"/>
        </w:rPr>
      </w:pPr>
      <w:r>
        <w:rPr>
          <w:sz w:val="30"/>
          <w:szCs w:val="30"/>
        </w:rPr>
      </w:r>
    </w:p>
    <w:p>
      <w:pPr>
        <w:pStyle w:val="Heading2"/>
        <w:numPr>
          <w:ilvl w:val="1"/>
          <w:numId w:val="1"/>
        </w:numPr>
        <w:tabs>
          <w:tab w:val="clear" w:pos="720"/>
          <w:tab w:val="left" w:pos="0" w:leader="none"/>
        </w:tabs>
        <w:spacing w:before="0" w:after="0"/>
        <w:rPr>
          <w:rFonts w:hint="eastAsia"/>
          <w:sz w:val="30"/>
          <w:szCs w:val="30"/>
        </w:rPr>
      </w:pPr>
      <w:r>
        <w:rPr>
          <w:sz w:val="30"/>
          <w:szCs w:val="30"/>
        </w:rPr>
        <w:t xml:space="preserve">XIV. </w:t>
      </w:r>
      <w:r>
        <w:rPr>
          <w:color w:val="127622"/>
          <w:sz w:val="30"/>
          <w:szCs w:val="30"/>
        </w:rPr>
        <w:t xml:space="preserve"> </w:t>
      </w:r>
      <w:r>
        <w:rPr/>
        <w:t>Opis sposobu przygotowania i składania oferty</w:t>
      </w:r>
    </w:p>
    <w:p>
      <w:pPr>
        <w:pStyle w:val="Normal"/>
        <w:tabs>
          <w:tab w:val="clear" w:pos="720"/>
          <w:tab w:val="left" w:pos="426" w:leader="none"/>
        </w:tabs>
        <w:ind w:hanging="426" w:left="426"/>
        <w:jc w:val="both"/>
        <w:rPr>
          <w:sz w:val="30"/>
          <w:szCs w:val="30"/>
        </w:rPr>
      </w:pPr>
      <w:r>
        <w:rPr>
          <w:sz w:val="30"/>
          <w:szCs w:val="30"/>
        </w:rPr>
      </w:r>
    </w:p>
    <w:p>
      <w:pPr>
        <w:pStyle w:val="Normal"/>
        <w:tabs>
          <w:tab w:val="clear" w:pos="720"/>
          <w:tab w:val="left" w:pos="0" w:leader="none"/>
        </w:tabs>
        <w:jc w:val="both"/>
        <w:rPr/>
      </w:pPr>
      <w:r>
        <w:rPr/>
        <w:t>1. Wykonawca przygotowuje ofertę przy pomocy interaktywnego „</w:t>
      </w:r>
      <w:r>
        <w:rPr>
          <w:b/>
        </w:rPr>
        <w:t xml:space="preserve">Formularza ofertowego” </w:t>
      </w:r>
      <w:r>
        <w:rPr/>
        <w:t>udostępnionego przez Zamawiającego na Platformie e-Zamówienia i zamieszczonego                             w podglądzie postępowania w zakładce „Informacje podstawowe”.</w:t>
      </w:r>
    </w:p>
    <w:p>
      <w:pPr>
        <w:pStyle w:val="Normal"/>
        <w:tabs>
          <w:tab w:val="clear" w:pos="720"/>
          <w:tab w:val="left" w:pos="0" w:leader="none"/>
        </w:tabs>
        <w:jc w:val="both"/>
        <w:rPr/>
      </w:pPr>
      <w:r>
        <w:rPr/>
        <w:t>2.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pPr>
        <w:pStyle w:val="Normal"/>
        <w:tabs>
          <w:tab w:val="clear" w:pos="720"/>
          <w:tab w:val="left" w:pos="0" w:leader="none"/>
        </w:tabs>
        <w:jc w:val="both"/>
        <w:rPr>
          <w:b/>
        </w:rPr>
      </w:pPr>
      <w:r>
        <w:rPr/>
        <w:t>3. 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w:t>
      </w:r>
    </w:p>
    <w:p>
      <w:pPr>
        <w:pStyle w:val="Normal"/>
        <w:tabs>
          <w:tab w:val="clear" w:pos="720"/>
          <w:tab w:val="left" w:pos="0" w:leader="none"/>
        </w:tabs>
        <w:jc w:val="both"/>
        <w:rPr/>
      </w:pPr>
      <w:r>
        <w:rPr>
          <w:b/>
        </w:rPr>
        <w:t xml:space="preserve">Uwaga! </w:t>
      </w:r>
      <w:r>
        <w:rPr/>
        <w:t xml:space="preserve">Nie należy zmieniać nazwy pliku nadanej przez Platformę e-Zamówienia. Zapisany „Formularz ofertowy” należy zawsze otwierać w programie Adobe Acrobat Reader DC. </w:t>
      </w:r>
    </w:p>
    <w:p>
      <w:pPr>
        <w:pStyle w:val="Normal"/>
        <w:tabs>
          <w:tab w:val="clear" w:pos="720"/>
          <w:tab w:val="left" w:pos="0" w:leader="none"/>
        </w:tabs>
        <w:jc w:val="both"/>
        <w:rPr/>
      </w:pPr>
      <w:r>
        <w:rPr/>
        <w:t>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pPr>
        <w:pStyle w:val="Normal"/>
        <w:tabs>
          <w:tab w:val="clear" w:pos="720"/>
          <w:tab w:val="left" w:pos="0" w:leader="none"/>
        </w:tabs>
        <w:jc w:val="both"/>
        <w:rPr/>
      </w:pPr>
      <w:r>
        <w:rPr/>
        <w:t>5.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pPr>
        <w:pStyle w:val="Normal"/>
        <w:tabs>
          <w:tab w:val="clear" w:pos="720"/>
          <w:tab w:val="left" w:pos="0" w:leader="none"/>
        </w:tabs>
        <w:jc w:val="both"/>
        <w:rPr/>
      </w:pPr>
      <w:r>
        <w:rPr/>
        <w:t>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pPr>
        <w:pStyle w:val="Normal"/>
        <w:tabs>
          <w:tab w:val="clear" w:pos="720"/>
          <w:tab w:val="left" w:pos="0" w:leader="none"/>
        </w:tabs>
        <w:jc w:val="both"/>
        <w:rPr/>
      </w:pPr>
      <w:r>
        <w:rPr/>
        <w:t xml:space="preserve">7. </w:t>
      </w:r>
      <w:r>
        <w:rPr>
          <w:b/>
        </w:rPr>
        <w:t xml:space="preserve">Formularz ofertowy </w:t>
      </w:r>
      <w:r>
        <w:rPr/>
        <w:t>podpisuje się kwalifikowanym podpisem elektronicznym, podpisem zaufanym lub podpisem osobistym.</w:t>
      </w:r>
    </w:p>
    <w:p>
      <w:pPr>
        <w:pStyle w:val="Normal"/>
        <w:tabs>
          <w:tab w:val="clear" w:pos="720"/>
          <w:tab w:val="left" w:pos="0" w:leader="none"/>
        </w:tabs>
        <w:jc w:val="both"/>
        <w:rPr>
          <w:b/>
        </w:rPr>
      </w:pPr>
      <w:r>
        <w:rPr/>
        <w:t xml:space="preserve">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pPr>
        <w:pStyle w:val="Normal"/>
        <w:tabs>
          <w:tab w:val="clear" w:pos="720"/>
          <w:tab w:val="left" w:pos="0" w:leader="none"/>
        </w:tabs>
        <w:jc w:val="both"/>
        <w:rPr/>
      </w:pPr>
      <w:r>
        <w:rPr>
          <w:b/>
        </w:rPr>
        <w:t xml:space="preserve">Pozostałe dokumenty </w:t>
      </w:r>
      <w:r>
        <w:rPr/>
        <w:t xml:space="preserve">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pPr>
        <w:pStyle w:val="Normal"/>
        <w:jc w:val="both"/>
        <w:rPr/>
      </w:pPr>
      <w:r>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pPr>
        <w:pStyle w:val="Normal"/>
        <w:jc w:val="both"/>
        <w:rPr/>
      </w:pPr>
      <w:r>
        <w:rPr/>
        <w:t xml:space="preserve">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pPr>
        <w:pStyle w:val="Normal"/>
        <w:jc w:val="both"/>
        <w:rPr/>
      </w:pPr>
      <w:r>
        <w:rPr/>
        <w:t>9. Oferta może być złożona tylko do upływu terminu składania ofert.</w:t>
      </w:r>
    </w:p>
    <w:p>
      <w:pPr>
        <w:pStyle w:val="Normal"/>
        <w:jc w:val="both"/>
        <w:rPr/>
      </w:pPr>
      <w:r>
        <w:rPr/>
        <w:t>10. Wykonawca może przed upływem terminu składania ofert wycofać ofertę. Wykonawca wycofuje ofertę w zakładce „Oferty/wnioski” używając przycisku „Wycofaj ofertę”.</w:t>
      </w:r>
    </w:p>
    <w:p>
      <w:pPr>
        <w:pStyle w:val="Normal"/>
        <w:jc w:val="both"/>
        <w:rPr>
          <w:sz w:val="30"/>
          <w:szCs w:val="30"/>
        </w:rPr>
      </w:pPr>
      <w:r>
        <w:rPr/>
        <w:t xml:space="preserve">11. Maksymalny łączny rozmiar plików stanowiących ofertę lub składanych wraz z ofertą to 250 MB. </w:t>
      </w:r>
    </w:p>
    <w:p>
      <w:pPr>
        <w:pStyle w:val="Normal"/>
        <w:jc w:val="both"/>
        <w:rPr>
          <w:sz w:val="30"/>
          <w:szCs w:val="30"/>
        </w:rPr>
      </w:pPr>
      <w:r>
        <w:rPr>
          <w:sz w:val="30"/>
          <w:szCs w:val="30"/>
        </w:rPr>
      </w:r>
    </w:p>
    <w:p>
      <w:pPr>
        <w:pStyle w:val="Heading2"/>
        <w:numPr>
          <w:ilvl w:val="1"/>
          <w:numId w:val="1"/>
        </w:numPr>
        <w:tabs>
          <w:tab w:val="clear" w:pos="720"/>
          <w:tab w:val="left" w:pos="0" w:leader="none"/>
        </w:tabs>
        <w:spacing w:before="0" w:after="0"/>
        <w:rPr>
          <w:rFonts w:hint="eastAsia"/>
        </w:rPr>
      </w:pPr>
      <w:bookmarkStart w:id="12" w:name="_c8de4rg6s4kb"/>
      <w:bookmarkEnd w:id="12"/>
      <w:r>
        <w:rPr>
          <w:sz w:val="30"/>
          <w:szCs w:val="30"/>
        </w:rPr>
        <w:t>XV. Sposób obliczania ceny oferty</w:t>
      </w:r>
    </w:p>
    <w:p>
      <w:pPr>
        <w:pStyle w:val="Normal"/>
        <w:numPr>
          <w:ilvl w:val="0"/>
          <w:numId w:val="10"/>
        </w:numPr>
        <w:spacing w:before="240" w:after="0"/>
        <w:ind w:hanging="283" w:left="284"/>
        <w:jc w:val="both"/>
        <w:rPr>
          <w:rFonts w:cs="Calibri"/>
          <w:lang w:eastAsia="pl-PL"/>
        </w:rPr>
      </w:pPr>
      <w:r>
        <w:rPr/>
        <w:t>Wykonawca podaje cenę za realizację przedmiotu zamówienia zgodnie z interaktywnym formularzem ofertowym udostępnionym na platformie e-Zamówienia.</w:t>
      </w:r>
    </w:p>
    <w:p>
      <w:pPr>
        <w:pStyle w:val="Normal"/>
        <w:numPr>
          <w:ilvl w:val="0"/>
          <w:numId w:val="10"/>
        </w:numPr>
        <w:tabs>
          <w:tab w:val="clear" w:pos="720"/>
          <w:tab w:val="left" w:pos="284" w:leader="none"/>
        </w:tabs>
        <w:ind w:hanging="284" w:left="284"/>
        <w:jc w:val="both"/>
        <w:rPr/>
      </w:pPr>
      <w:r>
        <w:rPr>
          <w:rFonts w:cs="Calibri"/>
          <w:lang w:eastAsia="pl-PL"/>
        </w:rPr>
        <w:t xml:space="preserve">Cena ofertowa ma charakter ryczałtowy. </w:t>
      </w:r>
      <w:r>
        <w:rPr/>
        <w:t xml:space="preserve">Cena ofertowa brutto musi uwzględniać wszystkie koszty związane z realizacją przedmiotu zamówienia zgodnie z opisem przedmiotu zamówienia oraz istotnymi postanowieniami umowy określonymi w niniejszej SWZ. </w:t>
      </w:r>
    </w:p>
    <w:p>
      <w:pPr>
        <w:pStyle w:val="Normal"/>
        <w:numPr>
          <w:ilvl w:val="0"/>
          <w:numId w:val="10"/>
        </w:numPr>
        <w:tabs>
          <w:tab w:val="clear" w:pos="720"/>
          <w:tab w:val="left" w:pos="284" w:leader="none"/>
        </w:tabs>
        <w:ind w:hanging="284" w:left="284"/>
        <w:jc w:val="both"/>
        <w:rPr>
          <w:rStyle w:val="Domylnaczcionkaakapitu1"/>
        </w:rPr>
      </w:pPr>
      <w:r>
        <w:rPr/>
        <w:t xml:space="preserve">Stawka podatku VAT w przedmiotowym postępowaniu wynosi: </w:t>
      </w:r>
    </w:p>
    <w:p>
      <w:pPr>
        <w:pStyle w:val="Normal"/>
        <w:tabs>
          <w:tab w:val="clear" w:pos="720"/>
          <w:tab w:val="left" w:pos="284" w:leader="none"/>
        </w:tabs>
        <w:ind w:hanging="284" w:left="284"/>
        <w:jc w:val="both"/>
        <w:rPr>
          <w:rStyle w:val="Domylnaczcionkaakapitu1"/>
        </w:rPr>
      </w:pPr>
      <w:r>
        <w:rPr>
          <w:rStyle w:val="Domylnaczcionkaakapitu1"/>
        </w:rPr>
        <w:t xml:space="preserve">- koszty materiałów i robót budowlanych </w:t>
      </w:r>
      <w:r>
        <w:rPr>
          <w:rStyle w:val="Domylnaczcionkaakapitu1"/>
          <w:color w:val="auto"/>
        </w:rPr>
        <w:t xml:space="preserve">związanych z budynkiem – stawka </w:t>
      </w:r>
      <w:r>
        <w:rPr>
          <w:rStyle w:val="Domylnaczcionkaakapitu1"/>
          <w:b/>
          <w:bCs/>
          <w:color w:val="auto"/>
        </w:rPr>
        <w:t>8 %</w:t>
      </w:r>
      <w:r>
        <w:rPr>
          <w:rStyle w:val="Domylnaczcionkaakapitu1"/>
          <w:color w:val="auto"/>
        </w:rPr>
        <w:t>,</w:t>
      </w:r>
    </w:p>
    <w:p>
      <w:pPr>
        <w:pStyle w:val="Normal"/>
        <w:tabs>
          <w:tab w:val="clear" w:pos="720"/>
          <w:tab w:val="left" w:pos="284" w:leader="none"/>
        </w:tabs>
        <w:ind w:hanging="284" w:left="284"/>
        <w:jc w:val="both"/>
        <w:rPr/>
      </w:pPr>
      <w:r>
        <w:rPr>
          <w:rStyle w:val="Domylnaczcionkaakapitu1"/>
          <w:color w:val="auto"/>
        </w:rPr>
        <w:t xml:space="preserve">- koszty zagospodarowania terenu i pozostałe (tj. m.in. opłaty przyłączeniowe, nadzór </w:t>
        <w:br/>
        <w:t xml:space="preserve">i kierowanie budową, koszty niezbędnych badań i ekspertyz, rozliczenie robót budowlanych, koszty projektowania, koszty wykonania niezbędnego uzbrojenia terenu) – stawka </w:t>
      </w:r>
      <w:r>
        <w:rPr>
          <w:rStyle w:val="Domylnaczcionkaakapitu1"/>
          <w:b/>
          <w:bCs/>
          <w:color w:val="auto"/>
        </w:rPr>
        <w:t>23 %</w:t>
      </w:r>
      <w:r>
        <w:rPr>
          <w:rStyle w:val="Domylnaczcionkaakapitu1"/>
          <w:color w:val="auto"/>
        </w:rPr>
        <w:t>.</w:t>
      </w:r>
    </w:p>
    <w:p>
      <w:pPr>
        <w:pStyle w:val="Normal"/>
        <w:numPr>
          <w:ilvl w:val="0"/>
          <w:numId w:val="10"/>
        </w:numPr>
        <w:tabs>
          <w:tab w:val="clear" w:pos="720"/>
          <w:tab w:val="left" w:pos="284" w:leader="none"/>
        </w:tabs>
        <w:ind w:hanging="284" w:left="284"/>
        <w:jc w:val="both"/>
        <w:rPr/>
      </w:pPr>
      <w:r>
        <w:rPr/>
        <w:t xml:space="preserve">Cena podana na Formularzu Ofertowym jest ceną ostateczną, niepodlegającą negocjacji     i wyczerpującą wszelkie należności Wykonawcy wobec Zamawiającego związane </w:t>
        <w:tab/>
        <w:t xml:space="preserve">         z realizacją przedmiotu zamówienia.</w:t>
      </w:r>
    </w:p>
    <w:p>
      <w:pPr>
        <w:pStyle w:val="Normal"/>
        <w:numPr>
          <w:ilvl w:val="0"/>
          <w:numId w:val="10"/>
        </w:numPr>
        <w:tabs>
          <w:tab w:val="clear" w:pos="720"/>
          <w:tab w:val="left" w:pos="284" w:leader="none"/>
        </w:tabs>
        <w:ind w:hanging="284" w:left="284"/>
        <w:jc w:val="both"/>
        <w:rPr/>
      </w:pPr>
      <w:r>
        <w:rPr/>
        <w:t>Cena oferty powinna być wyrażona w złotych polskich (PLN) z dokładnością do dwóch miejsc po przecinku.</w:t>
      </w:r>
    </w:p>
    <w:p>
      <w:pPr>
        <w:pStyle w:val="Normal"/>
        <w:numPr>
          <w:ilvl w:val="0"/>
          <w:numId w:val="10"/>
        </w:numPr>
        <w:tabs>
          <w:tab w:val="clear" w:pos="720"/>
          <w:tab w:val="left" w:pos="284" w:leader="none"/>
        </w:tabs>
        <w:ind w:hanging="284" w:left="284"/>
        <w:jc w:val="both"/>
        <w:rPr/>
      </w:pPr>
      <w:r>
        <w:rPr/>
        <w:t>Zamawiający nie przewiduje rozliczeń w walucie obcej.</w:t>
      </w:r>
    </w:p>
    <w:p>
      <w:pPr>
        <w:pStyle w:val="Normal"/>
        <w:numPr>
          <w:ilvl w:val="0"/>
          <w:numId w:val="10"/>
        </w:numPr>
        <w:tabs>
          <w:tab w:val="clear" w:pos="720"/>
          <w:tab w:val="left" w:pos="284" w:leader="none"/>
        </w:tabs>
        <w:ind w:hanging="284" w:left="284"/>
        <w:jc w:val="both"/>
        <w:rPr/>
      </w:pPr>
      <w:r>
        <w:rPr/>
        <w:t>Wyliczona cena oferty brutto będzie służyć do porównania złożonych ofert i do rozliczenia  w trakcie realizacji zamówienia.</w:t>
      </w:r>
    </w:p>
    <w:p>
      <w:pPr>
        <w:pStyle w:val="Normal"/>
        <w:numPr>
          <w:ilvl w:val="0"/>
          <w:numId w:val="10"/>
        </w:numPr>
        <w:tabs>
          <w:tab w:val="clear" w:pos="720"/>
          <w:tab w:val="left" w:pos="284" w:leader="none"/>
        </w:tabs>
        <w:ind w:hanging="284" w:left="284"/>
        <w:jc w:val="both"/>
        <w:rPr/>
      </w:pPr>
      <w:r>
        <w:rPr/>
        <w:t>Jeżeli została złożona oferta, której wybór prowadziłby do powstania u zamawiającego obowiązku podatkowego zgodnie z ustawą z dnia 11 marca 2004r. o podatku od towarów                i usług  (t.j. Dz. U. z 2025 r. poz. 775 ze zm.), dla celów zastosowania kryterium ceny lub kosztu zamawiający dolicza do przedstawionej w tej ofercie ceny kwotę podatku od towarów i usług, którą miałby obowiązek rozliczyć.</w:t>
      </w:r>
      <w:r>
        <w:rPr>
          <w:rStyle w:val="Domylnaczcionkaakapitu1"/>
          <w:b/>
        </w:rPr>
        <w:t xml:space="preserve"> </w:t>
      </w:r>
      <w:r>
        <w:rPr/>
        <w:t>W ofercie, o której mowa w ust. 1, Wykonawca ma obowiązek:</w:t>
      </w:r>
    </w:p>
    <w:p>
      <w:pPr>
        <w:pStyle w:val="Normal"/>
        <w:tabs>
          <w:tab w:val="clear" w:pos="720"/>
          <w:tab w:val="left" w:pos="5046" w:leader="none"/>
        </w:tabs>
        <w:ind w:hanging="227" w:left="1191"/>
        <w:jc w:val="both"/>
        <w:rPr/>
      </w:pPr>
      <w:r>
        <w:rPr/>
        <w:t>1)</w:t>
        <w:tab/>
        <w:t>poinformowania zamawiającego, że wybór jego oferty będzie prowadził do powstania u zamawiającego obowiązku podatkowego;</w:t>
      </w:r>
    </w:p>
    <w:p>
      <w:pPr>
        <w:pStyle w:val="Normal"/>
        <w:tabs>
          <w:tab w:val="clear" w:pos="720"/>
          <w:tab w:val="left" w:pos="5046" w:leader="none"/>
        </w:tabs>
        <w:ind w:hanging="227" w:left="1191"/>
        <w:jc w:val="both"/>
        <w:rPr/>
      </w:pPr>
      <w:r>
        <w:rPr/>
        <w:t>2)</w:t>
        <w:tab/>
        <w:t>wskazania nazwy (rodzaju) towaru lub usługi, których dostawa lub świadczenie będą prowadziły do powstania obowiązku podatkowego;</w:t>
      </w:r>
    </w:p>
    <w:p>
      <w:pPr>
        <w:pStyle w:val="Normal"/>
        <w:tabs>
          <w:tab w:val="clear" w:pos="720"/>
          <w:tab w:val="left" w:pos="5046" w:leader="none"/>
        </w:tabs>
        <w:ind w:hanging="227" w:left="1191"/>
        <w:jc w:val="both"/>
        <w:rPr/>
      </w:pPr>
      <w:r>
        <w:rPr/>
        <w:t>3)</w:t>
        <w:tab/>
        <w:t>wskazania wartości towaru lub usługi objętego obowiązkiem podatkowym zamawiającego, bez kwoty podatku;</w:t>
      </w:r>
    </w:p>
    <w:p>
      <w:pPr>
        <w:pStyle w:val="Normal"/>
        <w:tabs>
          <w:tab w:val="clear" w:pos="720"/>
          <w:tab w:val="left" w:pos="5046" w:leader="none"/>
        </w:tabs>
        <w:ind w:hanging="227" w:left="1191"/>
        <w:jc w:val="both"/>
        <w:rPr>
          <w:sz w:val="30"/>
          <w:szCs w:val="30"/>
        </w:rPr>
      </w:pPr>
      <w:r>
        <w:rPr/>
        <w:t>4)</w:t>
        <w:tab/>
        <w:t>wskazania stawki podatku od towarów i usług, która zgodnie z wiedzą wykonawcy, będzie miała zastosowanie.</w:t>
      </w:r>
    </w:p>
    <w:p>
      <w:pPr>
        <w:pStyle w:val="Heading2"/>
        <w:numPr>
          <w:ilvl w:val="1"/>
          <w:numId w:val="1"/>
        </w:numPr>
        <w:tabs>
          <w:tab w:val="clear" w:pos="720"/>
          <w:tab w:val="left" w:pos="0" w:leader="none"/>
        </w:tabs>
        <w:spacing w:lineRule="auto" w:line="276" w:before="0" w:after="0"/>
        <w:rPr>
          <w:rFonts w:hint="eastAsia"/>
          <w:sz w:val="30"/>
          <w:szCs w:val="30"/>
        </w:rPr>
      </w:pPr>
      <w:r>
        <w:rPr>
          <w:rFonts w:hint="eastAsia"/>
          <w:sz w:val="30"/>
          <w:szCs w:val="30"/>
        </w:rPr>
      </w:r>
    </w:p>
    <w:p>
      <w:pPr>
        <w:pStyle w:val="Heading2"/>
        <w:tabs>
          <w:tab w:val="clear" w:pos="720"/>
          <w:tab w:val="left" w:pos="0" w:leader="none"/>
        </w:tabs>
        <w:spacing w:lineRule="auto" w:line="276" w:before="0" w:after="0"/>
        <w:rPr>
          <w:rFonts w:hint="eastAsia"/>
        </w:rPr>
      </w:pPr>
      <w:bookmarkStart w:id="13" w:name="_1wm6hsxsy23e"/>
      <w:bookmarkEnd w:id="13"/>
      <w:r>
        <w:rPr>
          <w:sz w:val="30"/>
          <w:szCs w:val="30"/>
        </w:rPr>
        <w:t xml:space="preserve">XVI. </w:t>
      </w:r>
      <w:r>
        <w:rPr>
          <w:b/>
          <w:bCs/>
          <w:sz w:val="30"/>
          <w:szCs w:val="30"/>
        </w:rPr>
        <w:t>Wymagania dotyczące wadium</w:t>
      </w:r>
    </w:p>
    <w:p>
      <w:pPr>
        <w:pStyle w:val="Normal"/>
        <w:tabs>
          <w:tab w:val="clear" w:pos="720"/>
          <w:tab w:val="left" w:pos="0" w:leader="none"/>
        </w:tabs>
        <w:rPr/>
      </w:pPr>
      <w:r>
        <w:rPr/>
      </w:r>
    </w:p>
    <w:p>
      <w:pPr>
        <w:pStyle w:val="Normal"/>
        <w:ind w:left="453"/>
        <w:jc w:val="both"/>
        <w:rPr/>
      </w:pPr>
      <w:r>
        <w:rPr/>
        <w:t>1. Wykonawca zobowiązany jest do zabezpieczenia swojej oferty wadium w wysokości:</w:t>
      </w:r>
    </w:p>
    <w:p>
      <w:pPr>
        <w:pStyle w:val="Normal"/>
        <w:ind w:left="453"/>
        <w:jc w:val="both"/>
        <w:rPr/>
      </w:pPr>
      <w:r>
        <w:rPr/>
        <w:t>100.000 zł (słownie: sto tysięcy złotych).</w:t>
      </w:r>
    </w:p>
    <w:p>
      <w:pPr>
        <w:pStyle w:val="Normal"/>
        <w:ind w:left="453"/>
        <w:jc w:val="both"/>
        <w:rPr/>
      </w:pPr>
      <w:r>
        <w:rPr/>
        <w:t>2. Wadium wnosi się przed upływem terminu składania ofert.</w:t>
      </w:r>
    </w:p>
    <w:p>
      <w:pPr>
        <w:pStyle w:val="Normal"/>
        <w:ind w:left="453"/>
        <w:jc w:val="both"/>
        <w:rPr/>
      </w:pPr>
      <w:r>
        <w:rPr/>
        <w:t>3. Wadium może być wnoszone w jednej lub kilku następujących formach:</w:t>
      </w:r>
    </w:p>
    <w:p>
      <w:pPr>
        <w:pStyle w:val="Normal"/>
        <w:ind w:left="993"/>
        <w:jc w:val="both"/>
        <w:rPr/>
      </w:pPr>
      <w:r>
        <w:rPr/>
        <w:t>a) pieniądzu;</w:t>
      </w:r>
    </w:p>
    <w:p>
      <w:pPr>
        <w:pStyle w:val="Normal"/>
        <w:ind w:left="993"/>
        <w:jc w:val="both"/>
        <w:rPr/>
      </w:pPr>
      <w:r>
        <w:rPr/>
        <w:t>b) gwarancjach bankowych;</w:t>
      </w:r>
    </w:p>
    <w:p>
      <w:pPr>
        <w:pStyle w:val="Normal"/>
        <w:ind w:left="993"/>
        <w:jc w:val="both"/>
        <w:rPr/>
      </w:pPr>
      <w:r>
        <w:rPr/>
        <w:t>c) gwarancjach ubezpieczeniowych;</w:t>
      </w:r>
    </w:p>
    <w:p>
      <w:pPr>
        <w:pStyle w:val="Normal"/>
        <w:ind w:left="993"/>
        <w:jc w:val="both"/>
        <w:rPr/>
      </w:pPr>
      <w:r>
        <w:rPr/>
        <w:t>d) poręczeniach udzielanych przez podmioty, o których mowa w art. 6b ust. 5 pkt 2 ustawy z dnia 9 listopada 2000 r. o utworzeniu Polskiej Agencji Rozwoju Przedsiębiorczości (t.j. Dz. U. z 2025 r. poz. 98).</w:t>
      </w:r>
    </w:p>
    <w:p>
      <w:pPr>
        <w:pStyle w:val="Normal"/>
        <w:ind w:left="2165"/>
        <w:jc w:val="both"/>
        <w:rPr/>
      </w:pPr>
      <w:r>
        <w:rPr/>
      </w:r>
    </w:p>
    <w:p>
      <w:pPr>
        <w:pStyle w:val="Normal"/>
        <w:ind w:left="453"/>
        <w:jc w:val="both"/>
        <w:rPr/>
      </w:pPr>
      <w:r>
        <w:rPr/>
      </w:r>
    </w:p>
    <w:p>
      <w:pPr>
        <w:pStyle w:val="Normal"/>
        <w:ind w:left="453"/>
        <w:jc w:val="both"/>
        <w:rPr/>
      </w:pPr>
      <w:r>
        <w:rPr/>
      </w:r>
    </w:p>
    <w:p>
      <w:pPr>
        <w:pStyle w:val="Normal"/>
        <w:ind w:left="453"/>
        <w:jc w:val="both"/>
        <w:rPr/>
      </w:pPr>
      <w:r>
        <w:rPr/>
        <w:t>4. Wadium w formie pieniądza należy wnieść przelewem na konto w:</w:t>
      </w:r>
    </w:p>
    <w:p>
      <w:pPr>
        <w:pStyle w:val="Normal"/>
        <w:spacing w:before="0" w:after="140"/>
        <w:ind w:left="720"/>
        <w:rPr/>
      </w:pPr>
      <w:r>
        <w:rPr/>
        <w:t xml:space="preserve">Bank Spółdzielczy w Skierniewicach nr </w:t>
      </w:r>
      <w:r>
        <w:rPr>
          <w:rStyle w:val="Domylnaczcionkaakapitu1"/>
        </w:rPr>
        <w:t>93 9297 0005 0177 5197 2010 0008                           z dopiskiem: wadium –  nr postępowania ZP/1/2026.</w:t>
      </w:r>
    </w:p>
    <w:p>
      <w:pPr>
        <w:pStyle w:val="Normal"/>
        <w:jc w:val="both"/>
        <w:rPr/>
      </w:pPr>
      <w:r>
        <w:rPr>
          <w:rStyle w:val="Domylnaczcionkaakapitu1"/>
          <w:b/>
        </w:rPr>
        <w:t xml:space="preserve">UWAGA: </w:t>
      </w:r>
      <w:r>
        <w:rPr/>
        <w:t>Za termin wniesienia wadium w formie pieniężnej zostanie przyjęty termin uznania rachunku Zamawiającego.</w:t>
      </w:r>
    </w:p>
    <w:p>
      <w:pPr>
        <w:pStyle w:val="Normal"/>
        <w:ind w:left="453"/>
        <w:jc w:val="both"/>
        <w:rPr/>
      </w:pPr>
      <w:r>
        <w:rPr/>
        <w:t xml:space="preserve">5. Wadium wnoszone w formie poręczeń lub gwarancji musi być złożone jako </w:t>
      </w:r>
      <w:r>
        <w:rPr>
          <w:rStyle w:val="Domylnaczcionkaakapitu1"/>
          <w:b/>
        </w:rPr>
        <w:t xml:space="preserve">oryginał </w:t>
      </w:r>
      <w:r>
        <w:rPr/>
        <w:t xml:space="preserve">gwarancji lub poręczenia </w:t>
      </w:r>
      <w:r>
        <w:rPr>
          <w:rStyle w:val="Domylnaczcionkaakapitu1"/>
          <w:b/>
        </w:rPr>
        <w:t xml:space="preserve">w postaci elektronicznej </w:t>
      </w:r>
      <w:r>
        <w:rPr/>
        <w:t>i spełniać co najmniej poniższe wymagania:</w:t>
      </w:r>
    </w:p>
    <w:p>
      <w:pPr>
        <w:pStyle w:val="Normal"/>
        <w:ind w:left="1800"/>
        <w:jc w:val="both"/>
        <w:rPr/>
      </w:pPr>
      <w:r>
        <w:rPr/>
        <w:t>a) musi obejmować odpowiedzialność za wszystkie przypadki powodujące utratę wadium przez Wykonawcę określone w ustawie PZP</w:t>
      </w:r>
    </w:p>
    <w:p>
      <w:pPr>
        <w:pStyle w:val="Normal"/>
        <w:ind w:left="1800"/>
        <w:jc w:val="both"/>
        <w:rPr/>
      </w:pPr>
      <w:r>
        <w:rPr/>
        <w:t>b) z jej treści powinno jednoznacznie wynikać zobowiązanie gwaranta do zapłaty całej kwoty wadium;</w:t>
      </w:r>
    </w:p>
    <w:p>
      <w:pPr>
        <w:pStyle w:val="Normal"/>
        <w:ind w:left="1800"/>
        <w:jc w:val="both"/>
        <w:rPr/>
      </w:pPr>
      <w:r>
        <w:rPr/>
        <w:t>c) powinno być nieodwołalne i bezwarunkowe oraz płatne na pierwsze żądanie;</w:t>
      </w:r>
    </w:p>
    <w:p>
      <w:pPr>
        <w:pStyle w:val="Normal"/>
        <w:ind w:left="1800"/>
        <w:jc w:val="both"/>
        <w:rPr/>
      </w:pPr>
      <w:r>
        <w:rPr/>
        <w:t>d) termin obowiązywania poręczenia lub gwarancji nie może być krótszy niż termin związania ofertą (z zastrzeżeniem iż pierwszym dniem związania ofertą jest dzień składania ofert);</w:t>
      </w:r>
    </w:p>
    <w:p>
      <w:pPr>
        <w:pStyle w:val="Normal"/>
        <w:ind w:left="1800"/>
        <w:jc w:val="both"/>
        <w:rPr/>
      </w:pPr>
      <w:r>
        <w:rPr/>
        <w:t>e) w treści poręczenia lub gwarancji powinna znaleźć się nazwa oraz numer przedmiotowego postępowania;</w:t>
      </w:r>
    </w:p>
    <w:p>
      <w:pPr>
        <w:pStyle w:val="Normal"/>
        <w:ind w:left="1800"/>
        <w:jc w:val="both"/>
        <w:rPr/>
      </w:pPr>
      <w:r>
        <w:rPr/>
        <w:t>f) beneficjentem poręczenia lub gwarancji jest: Zakład Gospodarki Mieszkaniowej Sp. z o.o.</w:t>
      </w:r>
      <w:r>
        <w:rPr>
          <w:rStyle w:val="Domylnaczcionkaakapitu1"/>
        </w:rPr>
        <w:t>,  ul. Rawska 33, 96-100 Skierniewice.</w:t>
      </w:r>
    </w:p>
    <w:p>
      <w:pPr>
        <w:pStyle w:val="Normal"/>
        <w:ind w:left="1800"/>
        <w:jc w:val="both"/>
        <w:rPr/>
      </w:pPr>
      <w:r>
        <w:rPr/>
        <w:t>g) 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pPr>
        <w:pStyle w:val="Normal"/>
        <w:ind w:left="453"/>
        <w:jc w:val="both"/>
        <w:rPr/>
      </w:pPr>
      <w:r>
        <w:rPr/>
        <w:t>6. Oferta wykonawcy, który nie wniesie wadium, wniesie wadium w sposób nieprawidłowy lub nie utrzyma wadium nieprzerwanie do upływu terminu związania ofertą lub złoży wniosek  o zwrot wadium w przypadku, o którym mowa w art. 98 ust. 2 pkt 3 pzp</w:t>
      </w:r>
      <w:r>
        <w:rPr>
          <w:rStyle w:val="Domylnaczcionkaakapitu1"/>
          <w:b/>
        </w:rPr>
        <w:t xml:space="preserve"> zostanie odrzucona</w:t>
      </w:r>
      <w:r>
        <w:rPr/>
        <w:t>.</w:t>
      </w:r>
    </w:p>
    <w:p>
      <w:pPr>
        <w:pStyle w:val="Normal"/>
        <w:tabs>
          <w:tab w:val="clear" w:pos="720"/>
          <w:tab w:val="left" w:pos="0" w:leader="none"/>
        </w:tabs>
        <w:ind w:left="453"/>
        <w:jc w:val="both"/>
        <w:rPr>
          <w:sz w:val="30"/>
          <w:szCs w:val="30"/>
        </w:rPr>
      </w:pPr>
      <w:r>
        <w:rPr/>
        <w:t>7. Zasady zwrotu oraz okoliczności zatrzymania wadium określa art. 98 pzp</w:t>
      </w:r>
    </w:p>
    <w:p>
      <w:pPr>
        <w:pStyle w:val="Heading2"/>
        <w:tabs>
          <w:tab w:val="clear" w:pos="720"/>
          <w:tab w:val="left" w:pos="0" w:leader="none"/>
        </w:tabs>
        <w:spacing w:before="0" w:after="0"/>
        <w:rPr>
          <w:rFonts w:hint="eastAsia"/>
          <w:sz w:val="30"/>
          <w:szCs w:val="30"/>
        </w:rPr>
      </w:pPr>
      <w:r>
        <w:rPr>
          <w:rFonts w:hint="eastAsia"/>
          <w:sz w:val="30"/>
          <w:szCs w:val="30"/>
        </w:rPr>
      </w:r>
    </w:p>
    <w:p>
      <w:pPr>
        <w:pStyle w:val="Heading2"/>
        <w:numPr>
          <w:ilvl w:val="1"/>
          <w:numId w:val="1"/>
        </w:numPr>
        <w:tabs>
          <w:tab w:val="clear" w:pos="720"/>
          <w:tab w:val="left" w:pos="0" w:leader="none"/>
        </w:tabs>
        <w:spacing w:before="0" w:after="0"/>
        <w:rPr>
          <w:rFonts w:hint="eastAsia"/>
        </w:rPr>
      </w:pPr>
      <w:r>
        <w:rPr>
          <w:sz w:val="30"/>
          <w:szCs w:val="30"/>
        </w:rPr>
        <w:t>XVII. Termin związania ofertą</w:t>
      </w:r>
    </w:p>
    <w:p>
      <w:pPr>
        <w:pStyle w:val="Normal"/>
        <w:tabs>
          <w:tab w:val="clear" w:pos="720"/>
          <w:tab w:val="left" w:pos="0" w:leader="none"/>
        </w:tabs>
        <w:rPr/>
      </w:pPr>
      <w:r>
        <w:rPr/>
      </w:r>
    </w:p>
    <w:p>
      <w:pPr>
        <w:pStyle w:val="Normal"/>
        <w:numPr>
          <w:ilvl w:val="0"/>
          <w:numId w:val="20"/>
        </w:numPr>
        <w:ind w:hanging="294" w:left="720"/>
        <w:jc w:val="both"/>
        <w:rPr/>
      </w:pPr>
      <w:r>
        <w:rPr/>
        <w:t xml:space="preserve">Wykonawca będzie związany ofertą przez okres </w:t>
      </w:r>
      <w:r>
        <w:rPr>
          <w:rStyle w:val="Domylnaczcionkaakapitu1"/>
          <w:b/>
        </w:rPr>
        <w:t>30 dni,</w:t>
      </w:r>
      <w:r>
        <w:rPr/>
        <w:t xml:space="preserve"> </w:t>
      </w:r>
      <w:r>
        <w:rPr>
          <w:b/>
          <w:bCs/>
        </w:rPr>
        <w:t>tj.</w:t>
      </w:r>
      <w:r>
        <w:rPr>
          <w:color w:val="FF0000"/>
        </w:rPr>
        <w:t xml:space="preserve"> </w:t>
      </w:r>
      <w:r>
        <w:rPr>
          <w:rStyle w:val="Domylnaczcionkaakapitu1"/>
          <w:b/>
          <w:bCs/>
          <w:color w:val="000000"/>
        </w:rPr>
        <w:t xml:space="preserve">do </w:t>
      </w:r>
      <w:r>
        <w:rPr>
          <w:rStyle w:val="Domylnaczcionkaakapitu1"/>
          <w:b/>
          <w:bCs/>
        </w:rPr>
        <w:t xml:space="preserve">dnia </w:t>
      </w:r>
      <w:r>
        <w:rPr>
          <w:rStyle w:val="Domylnaczcionkaakapitu1"/>
          <w:b/>
          <w:bCs/>
          <w:color w:val="auto"/>
        </w:rPr>
        <w:t>02.07.2026 r.</w:t>
      </w:r>
      <w:r>
        <w:rPr>
          <w:rStyle w:val="Domylnaczcionkaakapitu1"/>
          <w:color w:val="auto"/>
        </w:rPr>
        <w:t xml:space="preserve">                   </w:t>
      </w:r>
      <w:r>
        <w:rPr>
          <w:rStyle w:val="Domylnaczcionkaakapitu1"/>
          <w:color w:val="FF0000"/>
        </w:rPr>
        <w:t xml:space="preserve"> </w:t>
      </w:r>
      <w:r>
        <w:rPr/>
        <w:t>Bieg terminu związania ofertą rozpoczyna się wraz z upływem terminu składania ofert.</w:t>
      </w:r>
    </w:p>
    <w:p>
      <w:pPr>
        <w:pStyle w:val="Normal"/>
        <w:numPr>
          <w:ilvl w:val="0"/>
          <w:numId w:val="20"/>
        </w:numPr>
        <w:tabs>
          <w:tab w:val="clear" w:pos="720"/>
          <w:tab w:val="left" w:pos="0" w:leader="none"/>
        </w:tabs>
        <w:ind w:firstLine="426" w:left="0"/>
        <w:jc w:val="both"/>
        <w:rPr>
          <w:sz w:val="30"/>
          <w:szCs w:val="30"/>
        </w:rPr>
      </w:pPr>
      <w:r>
        <w:rPr/>
        <w:t xml:space="preserve">W przypadku gdy wybór najkorzystniejszej oferty nie nastąpi przed upływem terminu </w:t>
        <w:tab/>
        <w:t xml:space="preserve">związania ofertą wskazanego w ust. 1, Zamawiający przed upływem terminu związania </w:t>
        <w:tab/>
        <w:t xml:space="preserve">ofertą zwraca się jednokrotnie do Wykonawców o wyrażenie zgody na przedłużenie </w:t>
        <w:tab/>
        <w:t xml:space="preserve">tego terminu  o wskazywany przez niego okres, nie dłuższy niż 30 dni. Przedłużenie </w:t>
        <w:tab/>
        <w:t xml:space="preserve">terminu związania ofertą wymaga złożenia przez wykonawcę pisemnego </w:t>
        <w:tab/>
        <w:t xml:space="preserve">oświadczenia </w:t>
        <w:tab/>
        <w:t>o wyrażeniu zgody na przedłużenie terminu związania ofertą.</w:t>
      </w:r>
    </w:p>
    <w:p>
      <w:pPr>
        <w:pStyle w:val="Heading2"/>
        <w:numPr>
          <w:ilvl w:val="1"/>
          <w:numId w:val="1"/>
        </w:numPr>
        <w:tabs>
          <w:tab w:val="clear" w:pos="720"/>
          <w:tab w:val="left" w:pos="0" w:leader="none"/>
        </w:tabs>
        <w:spacing w:before="0" w:after="0"/>
        <w:rPr>
          <w:rFonts w:hint="eastAsia"/>
          <w:sz w:val="30"/>
          <w:szCs w:val="30"/>
        </w:rPr>
      </w:pPr>
      <w:r>
        <w:rPr>
          <w:rFonts w:hint="eastAsia"/>
          <w:sz w:val="30"/>
          <w:szCs w:val="30"/>
        </w:rPr>
      </w:r>
    </w:p>
    <w:p>
      <w:pPr>
        <w:pStyle w:val="Heading2"/>
        <w:tabs>
          <w:tab w:val="clear" w:pos="720"/>
          <w:tab w:val="left" w:pos="0" w:leader="none"/>
        </w:tabs>
        <w:spacing w:before="0" w:after="0"/>
        <w:rPr>
          <w:rFonts w:hint="eastAsia"/>
        </w:rPr>
      </w:pPr>
      <w:r>
        <w:rPr>
          <w:sz w:val="30"/>
          <w:szCs w:val="30"/>
        </w:rPr>
      </w:r>
    </w:p>
    <w:p>
      <w:pPr>
        <w:pStyle w:val="Heading2"/>
        <w:tabs>
          <w:tab w:val="clear" w:pos="720"/>
          <w:tab w:val="left" w:pos="0" w:leader="none"/>
        </w:tabs>
        <w:spacing w:before="0" w:after="0"/>
        <w:rPr>
          <w:rFonts w:hint="eastAsia"/>
        </w:rPr>
      </w:pPr>
      <w:r>
        <w:rPr>
          <w:sz w:val="30"/>
          <w:szCs w:val="30"/>
        </w:rPr>
      </w:r>
    </w:p>
    <w:p>
      <w:pPr>
        <w:pStyle w:val="Heading2"/>
        <w:tabs>
          <w:tab w:val="clear" w:pos="720"/>
          <w:tab w:val="left" w:pos="0" w:leader="none"/>
        </w:tabs>
        <w:spacing w:before="0" w:after="0"/>
        <w:rPr>
          <w:rFonts w:hint="eastAsia"/>
        </w:rPr>
      </w:pPr>
      <w:r>
        <w:rPr>
          <w:sz w:val="30"/>
          <w:szCs w:val="30"/>
        </w:rPr>
        <w:t>XVIII. Miejsce i t</w:t>
      </w:r>
      <w:r>
        <w:rPr/>
        <w:t>er</w:t>
      </w:r>
      <w:r>
        <w:rPr>
          <w:sz w:val="30"/>
          <w:szCs w:val="30"/>
        </w:rPr>
        <w:t>min składania ofert</w:t>
      </w:r>
    </w:p>
    <w:p>
      <w:pPr>
        <w:pStyle w:val="Normal"/>
        <w:tabs>
          <w:tab w:val="clear" w:pos="720"/>
          <w:tab w:val="left" w:pos="0" w:leader="none"/>
        </w:tabs>
        <w:rPr/>
      </w:pPr>
      <w:r>
        <w:rPr/>
      </w:r>
    </w:p>
    <w:p>
      <w:pPr>
        <w:pStyle w:val="Normal"/>
        <w:numPr>
          <w:ilvl w:val="0"/>
          <w:numId w:val="24"/>
        </w:numPr>
        <w:tabs>
          <w:tab w:val="clear" w:pos="720"/>
          <w:tab w:val="left" w:pos="417" w:leader="none"/>
        </w:tabs>
        <w:jc w:val="both"/>
        <w:rPr/>
      </w:pPr>
      <w:r>
        <w:rPr/>
        <w:t xml:space="preserve">Ofertę wraz z wymaganymi dokumentami należy umieścić na platformie e-Zamówienia </w:t>
      </w:r>
      <w:r>
        <w:rPr>
          <w:strike/>
        </w:rPr>
        <w:t xml:space="preserve"> </w:t>
      </w:r>
      <w:r>
        <w:rPr/>
        <w:t>pod adresem:</w:t>
      </w:r>
      <w:r>
        <w:rPr>
          <w:rStyle w:val="Domylnaczcionkaakapitu1"/>
        </w:rPr>
        <w:t xml:space="preserve"> </w:t>
      </w:r>
      <w:hyperlink r:id="rId8">
        <w:r>
          <w:rPr>
            <w:rStyle w:val="Style1"/>
            <w:color w:val="000000"/>
            <w:u w:val="none"/>
          </w:rPr>
          <w:t>https://</w:t>
        </w:r>
      </w:hyperlink>
      <w:r>
        <w:rPr>
          <w:color w:val="000000"/>
        </w:rPr>
        <w:t>ezamowienia.gov.pl</w:t>
      </w:r>
    </w:p>
    <w:p>
      <w:pPr>
        <w:pStyle w:val="Normal"/>
        <w:tabs>
          <w:tab w:val="clear" w:pos="720"/>
          <w:tab w:val="left" w:pos="417" w:leader="none"/>
        </w:tabs>
        <w:ind w:left="417"/>
        <w:jc w:val="both"/>
        <w:rPr/>
      </w:pPr>
      <w:r>
        <w:rPr>
          <w:rStyle w:val="Domylnaczcionkaakapitu1"/>
        </w:rPr>
        <w:t xml:space="preserve">do dnia </w:t>
      </w:r>
      <w:r>
        <w:rPr>
          <w:rStyle w:val="Domylnaczcionkaakapitu1"/>
          <w:b/>
          <w:bCs/>
          <w:color w:val="auto"/>
        </w:rPr>
        <w:t>03.06.2026 r. do godz. 10:00.</w:t>
      </w:r>
    </w:p>
    <w:p>
      <w:pPr>
        <w:pStyle w:val="Normal"/>
        <w:numPr>
          <w:ilvl w:val="0"/>
          <w:numId w:val="24"/>
        </w:numPr>
        <w:tabs>
          <w:tab w:val="clear" w:pos="720"/>
          <w:tab w:val="left" w:pos="417" w:leader="none"/>
        </w:tabs>
        <w:jc w:val="both"/>
        <w:rPr>
          <w:sz w:val="30"/>
          <w:szCs w:val="30"/>
        </w:rPr>
      </w:pPr>
      <w:r>
        <w:rPr/>
        <w:t>Do oferty należy dołączyć wszystkie wymagane w SWZ dokumenty.</w:t>
      </w:r>
    </w:p>
    <w:p>
      <w:pPr>
        <w:pStyle w:val="Normal"/>
        <w:tabs>
          <w:tab w:val="clear" w:pos="720"/>
          <w:tab w:val="left" w:pos="417" w:leader="none"/>
        </w:tabs>
        <w:ind w:left="417"/>
        <w:jc w:val="both"/>
        <w:rPr>
          <w:sz w:val="30"/>
          <w:szCs w:val="30"/>
        </w:rPr>
      </w:pPr>
      <w:r>
        <w:rPr>
          <w:sz w:val="30"/>
          <w:szCs w:val="30"/>
        </w:rPr>
      </w:r>
    </w:p>
    <w:p>
      <w:pPr>
        <w:pStyle w:val="Heading2"/>
        <w:tabs>
          <w:tab w:val="clear" w:pos="720"/>
          <w:tab w:val="left" w:pos="0" w:leader="none"/>
        </w:tabs>
        <w:spacing w:lineRule="auto" w:line="312" w:before="0" w:after="0"/>
        <w:jc w:val="both"/>
        <w:rPr>
          <w:rFonts w:hint="eastAsia"/>
          <w:sz w:val="30"/>
          <w:szCs w:val="30"/>
        </w:rPr>
      </w:pPr>
      <w:bookmarkStart w:id="14" w:name="_g4kmfra1vcqp"/>
      <w:bookmarkEnd w:id="14"/>
      <w:r>
        <w:rPr>
          <w:sz w:val="30"/>
          <w:szCs w:val="30"/>
        </w:rPr>
        <w:t>XIX. Otwarcie ofert</w:t>
      </w:r>
    </w:p>
    <w:p>
      <w:pPr>
        <w:pStyle w:val="Normal"/>
        <w:tabs>
          <w:tab w:val="clear" w:pos="720"/>
          <w:tab w:val="left" w:pos="426" w:leader="none"/>
        </w:tabs>
        <w:ind w:hanging="426" w:left="426"/>
        <w:jc w:val="both"/>
        <w:rPr/>
      </w:pPr>
      <w:r>
        <w:rPr/>
        <w:t xml:space="preserve">1.    Otwarcie ofert nastąpi w dniu </w:t>
      </w:r>
      <w:r>
        <w:rPr>
          <w:b/>
          <w:bCs/>
          <w:color w:val="auto"/>
        </w:rPr>
        <w:t>03.06</w:t>
      </w:r>
      <w:r>
        <w:rPr>
          <w:rStyle w:val="Domylnaczcionkaakapitu1"/>
          <w:b/>
          <w:bCs/>
          <w:color w:val="auto"/>
        </w:rPr>
        <w:t>.2026 r. o godz. 10:30.</w:t>
      </w:r>
    </w:p>
    <w:p>
      <w:pPr>
        <w:pStyle w:val="Normal"/>
        <w:tabs>
          <w:tab w:val="clear" w:pos="720"/>
          <w:tab w:val="left" w:pos="426" w:leader="none"/>
        </w:tabs>
        <w:ind w:hanging="426" w:left="426"/>
        <w:jc w:val="both"/>
        <w:rPr/>
      </w:pPr>
      <w:r>
        <w:rPr/>
        <w:t xml:space="preserve">2.  </w:t>
        <w:tab/>
        <w:t>Jeżeli otwarcie ofert następuje przy użyciu systemu teleinformatycznego, w przypadku awarii tego systemu, która powoduje brak możliwości otwarcia ofert w terminie określonym przez zamawiającego, otwarcie ofert następuje niezwłocznie po usunięciu awarii.</w:t>
      </w:r>
    </w:p>
    <w:p>
      <w:pPr>
        <w:pStyle w:val="Normal"/>
        <w:ind w:hanging="426" w:left="426"/>
        <w:jc w:val="both"/>
        <w:rPr/>
      </w:pPr>
      <w:r>
        <w:rPr/>
        <w:t>3.  Zamawiający poinformuje o zmianie terminu otwarcia ofert na stronie internetowej prowadzonego postępowania.</w:t>
      </w:r>
    </w:p>
    <w:p>
      <w:pPr>
        <w:pStyle w:val="Normal"/>
        <w:ind w:hanging="426" w:left="426"/>
        <w:jc w:val="both"/>
        <w:rPr/>
      </w:pPr>
      <w:r>
        <w:rPr/>
        <w:t>4.</w:t>
        <w:tab/>
        <w:t>Zamawiający, najpóźniej przed otwarciem ofert, udostępnia na stronie internetowej prowadzonego postępowania informację o kwocie, jaką zamierza przeznaczyć na sfinansowanie zamówienia.</w:t>
      </w:r>
    </w:p>
    <w:p>
      <w:pPr>
        <w:pStyle w:val="Normal"/>
        <w:ind w:hanging="426" w:left="426"/>
        <w:jc w:val="both"/>
        <w:rPr/>
      </w:pPr>
      <w:r>
        <w:rPr/>
        <w:t>5.</w:t>
        <w:tab/>
        <w:t>Zamawiający, niezwłocznie po otwarciu ofert, udostępnia na stronie internetowej prowadzonego postępowania informacje o:</w:t>
      </w:r>
    </w:p>
    <w:p>
      <w:pPr>
        <w:pStyle w:val="Normal"/>
        <w:shd w:val="clear" w:color="auto" w:fill="FFFFFF"/>
        <w:ind w:hanging="283" w:left="709"/>
        <w:jc w:val="both"/>
        <w:rPr/>
      </w:pPr>
      <w:r>
        <w:rPr/>
        <w:t>1) nazwach albo imionach i nazwiskach oraz siedzibach lub miejscach prowadzonej działalności gospodarczej albo miejscach zamieszkania Wykonawców, których oferty zostały otwarte;</w:t>
      </w:r>
    </w:p>
    <w:p>
      <w:pPr>
        <w:pStyle w:val="Normal"/>
        <w:shd w:val="clear" w:color="auto" w:fill="FFFFFF"/>
        <w:ind w:hanging="283" w:left="709"/>
        <w:jc w:val="both"/>
        <w:rPr>
          <w:rStyle w:val="Domylnaczcionkaakapitu1"/>
          <w:b/>
        </w:rPr>
      </w:pPr>
      <w:r>
        <w:rPr/>
        <w:t>2) cenach lub kosztach zawartych w ofertach.</w:t>
      </w:r>
    </w:p>
    <w:p>
      <w:pPr>
        <w:pStyle w:val="Normal"/>
        <w:shd w:val="clear" w:color="auto" w:fill="FFFFFF"/>
        <w:jc w:val="both"/>
        <w:rPr>
          <w:sz w:val="30"/>
          <w:szCs w:val="30"/>
        </w:rPr>
      </w:pPr>
      <w:r>
        <w:rPr>
          <w:rStyle w:val="Domylnaczcionkaakapitu1"/>
          <w:b/>
        </w:rPr>
        <w:t xml:space="preserve">Uwaga! </w:t>
      </w:r>
      <w:r>
        <w:rPr/>
        <w:t>Zgodnie z Ustawą PZP</w:t>
      </w:r>
      <w:r>
        <w:rPr>
          <w:rStyle w:val="Domylnaczcionkaakapitu1"/>
          <w:b/>
        </w:rPr>
        <w:t xml:space="preserve"> Zamawiający nie ma obowiązku przeprowadzania jawnej sesji otwarcia ofert</w:t>
      </w:r>
      <w:r>
        <w:rPr/>
        <w:t xml:space="preserve"> w sposób jawny z udziałem Wykonawców lub transmitowania sesji otwarcia za pośrednictwem elektronicznych narzędzi do przekazu wideo on-line a ma jedynie takie uprawnienie.</w:t>
      </w:r>
    </w:p>
    <w:p>
      <w:pPr>
        <w:pStyle w:val="Heading2"/>
        <w:numPr>
          <w:ilvl w:val="1"/>
          <w:numId w:val="1"/>
        </w:numPr>
        <w:tabs>
          <w:tab w:val="clear" w:pos="720"/>
          <w:tab w:val="left" w:pos="0" w:leader="none"/>
        </w:tabs>
        <w:spacing w:lineRule="auto" w:line="276" w:before="0" w:after="0"/>
        <w:jc w:val="both"/>
        <w:rPr>
          <w:rFonts w:hint="eastAsia"/>
          <w:sz w:val="30"/>
          <w:szCs w:val="30"/>
        </w:rPr>
      </w:pPr>
      <w:r>
        <w:rPr>
          <w:rFonts w:hint="eastAsia"/>
          <w:sz w:val="30"/>
          <w:szCs w:val="30"/>
        </w:rPr>
      </w:r>
    </w:p>
    <w:p>
      <w:pPr>
        <w:pStyle w:val="Heading2"/>
        <w:numPr>
          <w:ilvl w:val="1"/>
          <w:numId w:val="1"/>
        </w:numPr>
        <w:tabs>
          <w:tab w:val="clear" w:pos="720"/>
          <w:tab w:val="left" w:pos="0" w:leader="none"/>
        </w:tabs>
        <w:spacing w:lineRule="auto" w:line="276" w:before="0" w:after="0"/>
        <w:jc w:val="both"/>
        <w:rPr>
          <w:rFonts w:hint="eastAsia"/>
        </w:rPr>
      </w:pPr>
      <w:bookmarkStart w:id="15" w:name="_kc2xtpcwd955"/>
      <w:bookmarkEnd w:id="15"/>
      <w:r>
        <w:rPr>
          <w:sz w:val="30"/>
          <w:szCs w:val="30"/>
        </w:rPr>
        <w:t>XX. Opis kryteriów oceny ofert wraz z podaniem wag tych kryteriów    i sposobu oceny ofert</w:t>
      </w:r>
    </w:p>
    <w:p>
      <w:pPr>
        <w:pStyle w:val="Normal"/>
        <w:numPr>
          <w:ilvl w:val="0"/>
          <w:numId w:val="17"/>
        </w:numPr>
        <w:jc w:val="both"/>
        <w:rPr/>
      </w:pPr>
      <w:r>
        <w:rPr/>
        <w:t>Przy wyborze najkorzystniejszej oferty Zamawiający będzie się kierował następującymi kryteriami oceny ofert:</w:t>
      </w:r>
    </w:p>
    <w:p>
      <w:pPr>
        <w:pStyle w:val="Normal"/>
        <w:ind w:left="720"/>
        <w:jc w:val="both"/>
        <w:rPr/>
      </w:pPr>
      <w:r>
        <w:rPr/>
      </w:r>
    </w:p>
    <w:p>
      <w:pPr>
        <w:pStyle w:val="Normal"/>
        <w:ind w:firstLine="282" w:left="426"/>
        <w:rPr>
          <w:rStyle w:val="Domylnaczcionkaakapitu1"/>
          <w:b/>
        </w:rPr>
      </w:pPr>
      <w:r>
        <w:rPr>
          <w:rStyle w:val="Domylnaczcionkaakapitu1"/>
          <w:b/>
        </w:rPr>
        <w:t>1) Cena (C)</w:t>
      </w:r>
      <w:r>
        <w:rPr/>
        <w:t xml:space="preserve"> – waga kryterium </w:t>
      </w:r>
      <w:r>
        <w:rPr>
          <w:rStyle w:val="Domylnaczcionkaakapitu1"/>
          <w:smallCaps/>
        </w:rPr>
        <w:t>60</w:t>
      </w:r>
      <w:r>
        <w:rPr/>
        <w:t>%;</w:t>
      </w:r>
    </w:p>
    <w:p>
      <w:pPr>
        <w:pStyle w:val="Normal"/>
        <w:ind w:left="709"/>
        <w:rPr/>
      </w:pPr>
      <w:r>
        <w:rPr>
          <w:rStyle w:val="Domylnaczcionkaakapitu1"/>
          <w:b/>
        </w:rPr>
        <w:t>2) Gwarancja (G)</w:t>
      </w:r>
      <w:r>
        <w:rPr>
          <w:rStyle w:val="Domylnaczcionkaakapitu1"/>
          <w:smallCaps/>
        </w:rPr>
        <w:t xml:space="preserve"> </w:t>
      </w:r>
      <w:r>
        <w:rPr/>
        <w:t>– waga kryterium</w:t>
      </w:r>
      <w:r>
        <w:rPr>
          <w:rStyle w:val="Domylnaczcionkaakapitu1"/>
          <w:smallCaps/>
        </w:rPr>
        <w:t xml:space="preserve"> 40</w:t>
      </w:r>
      <w:r>
        <w:rPr/>
        <w:t>%.</w:t>
      </w:r>
    </w:p>
    <w:p>
      <w:pPr>
        <w:pStyle w:val="Normal"/>
        <w:rPr/>
      </w:pPr>
      <w:r>
        <w:rPr/>
      </w:r>
    </w:p>
    <w:p>
      <w:pPr>
        <w:pStyle w:val="Normal"/>
        <w:numPr>
          <w:ilvl w:val="0"/>
          <w:numId w:val="17"/>
        </w:numPr>
        <w:jc w:val="both"/>
        <w:rPr>
          <w:rStyle w:val="Domylnaczcionkaakapitu1"/>
          <w:b/>
        </w:rPr>
      </w:pPr>
      <w:r>
        <w:rPr/>
        <w:t>Zasady oceny ofert w poszczególnych kryteriach:</w:t>
      </w:r>
    </w:p>
    <w:p>
      <w:pPr>
        <w:pStyle w:val="Normal"/>
        <w:numPr>
          <w:ilvl w:val="0"/>
          <w:numId w:val="11"/>
        </w:numPr>
        <w:ind w:hanging="284" w:left="993"/>
        <w:jc w:val="both"/>
        <w:rPr>
          <w:b/>
        </w:rPr>
      </w:pPr>
      <w:r>
        <w:rPr>
          <w:rStyle w:val="Domylnaczcionkaakapitu1"/>
          <w:b/>
        </w:rPr>
        <w:t>Cena (C) – waga 60%</w:t>
      </w:r>
    </w:p>
    <w:p>
      <w:pPr>
        <w:pStyle w:val="Normal"/>
        <w:spacing w:before="240" w:after="0"/>
        <w:ind w:left="2124"/>
        <w:jc w:val="both"/>
        <w:rPr>
          <w:rStyle w:val="Domylnaczcionkaakapitu1"/>
          <w:b/>
        </w:rPr>
      </w:pPr>
      <w:r>
        <w:rPr>
          <w:b/>
        </w:rPr>
        <w:t>cena najniższa brutto*</w:t>
      </w:r>
    </w:p>
    <w:p>
      <w:pPr>
        <w:pStyle w:val="Normal"/>
        <w:ind w:left="1080"/>
        <w:jc w:val="both"/>
        <w:rPr>
          <w:b/>
        </w:rPr>
      </w:pPr>
      <w:r>
        <w:rPr>
          <w:rStyle w:val="Domylnaczcionkaakapitu1"/>
          <w:b/>
        </w:rPr>
        <w:t>C =</w:t>
      </w:r>
      <w:r>
        <w:rPr/>
        <w:t xml:space="preserve"> </w:t>
      </w:r>
      <w:r>
        <w:rPr>
          <w:rStyle w:val="Domylnaczcionkaakapitu1"/>
          <w:strike/>
        </w:rPr>
        <w:t xml:space="preserve">------------------------------------------------ </w:t>
      </w:r>
      <w:r>
        <w:rPr/>
        <w:t xml:space="preserve">  </w:t>
      </w:r>
      <w:r>
        <w:rPr>
          <w:rStyle w:val="Domylnaczcionkaakapitu1"/>
          <w:b/>
        </w:rPr>
        <w:t>x 10</w:t>
      </w:r>
      <w:r>
        <w:rPr>
          <w:rStyle w:val="Domylnaczcionkaakapitu1"/>
          <w:b/>
          <w:bCs/>
        </w:rPr>
        <w:t xml:space="preserve">0 pkt x </w:t>
      </w:r>
      <w:r>
        <w:rPr>
          <w:rStyle w:val="Domylnaczcionkaakapitu1"/>
          <w:b/>
          <w:bCs/>
          <w:smallCaps/>
        </w:rPr>
        <w:t>60</w:t>
      </w:r>
      <w:r>
        <w:rPr>
          <w:rStyle w:val="Domylnaczcionkaakapitu1"/>
          <w:b/>
          <w:bCs/>
        </w:rPr>
        <w:t>%</w:t>
      </w:r>
    </w:p>
    <w:p>
      <w:pPr>
        <w:pStyle w:val="Normal"/>
        <w:ind w:left="1736"/>
        <w:jc w:val="both"/>
        <w:rPr>
          <w:b/>
        </w:rPr>
      </w:pPr>
      <w:r>
        <w:rPr>
          <w:b/>
        </w:rPr>
        <w:t>cena oferty ocenianej brutto</w:t>
      </w:r>
    </w:p>
    <w:p>
      <w:pPr>
        <w:pStyle w:val="Normal"/>
        <w:spacing w:before="240" w:after="0"/>
        <w:ind w:firstLine="708" w:left="372"/>
        <w:jc w:val="both"/>
        <w:rPr/>
      </w:pPr>
      <w:r>
        <w:rPr/>
        <w:t>* spośród wszystkich złożonych ofert niepodlegających odrzuceniu</w:t>
      </w:r>
    </w:p>
    <w:p>
      <w:pPr>
        <w:pStyle w:val="Normal"/>
        <w:numPr>
          <w:ilvl w:val="0"/>
          <w:numId w:val="12"/>
        </w:numPr>
        <w:spacing w:before="240" w:after="0"/>
        <w:ind w:hanging="420" w:left="1358"/>
        <w:jc w:val="both"/>
        <w:rPr/>
      </w:pPr>
      <w:r>
        <w:rPr/>
        <w:t>Podstawą przyznania punktów w kryterium „cena” będzie cena ofertowa brutto podana przez Wykonawcę w Formularzu Ofertowym.</w:t>
      </w:r>
    </w:p>
    <w:p>
      <w:pPr>
        <w:pStyle w:val="Normal"/>
        <w:numPr>
          <w:ilvl w:val="0"/>
          <w:numId w:val="12"/>
        </w:numPr>
        <w:ind w:hanging="420" w:left="1358"/>
        <w:jc w:val="both"/>
        <w:rPr/>
      </w:pPr>
      <w:r>
        <w:rPr/>
        <w:t>Cena ofertowa brutto musi uwzględniać wszelkie koszty jakie Wykonawca poniesie w związku z realizacją przedmiotu zamówienia.</w:t>
      </w:r>
    </w:p>
    <w:p>
      <w:pPr>
        <w:pStyle w:val="Normal"/>
        <w:ind w:hanging="420" w:left="1358"/>
        <w:jc w:val="both"/>
        <w:rPr/>
      </w:pPr>
      <w:r>
        <w:rPr/>
      </w:r>
    </w:p>
    <w:p>
      <w:pPr>
        <w:pStyle w:val="Normal"/>
        <w:suppressAutoHyphens w:val="false"/>
        <w:ind w:firstLine="708"/>
        <w:jc w:val="both"/>
        <w:rPr>
          <w:color w:val="000000"/>
          <w:sz w:val="20"/>
          <w:szCs w:val="20"/>
        </w:rPr>
      </w:pPr>
      <w:r>
        <w:rPr>
          <w:color w:val="000000"/>
          <w:sz w:val="20"/>
          <w:szCs w:val="20"/>
        </w:rPr>
        <w:t>gdzie :</w:t>
      </w:r>
    </w:p>
    <w:p>
      <w:pPr>
        <w:pStyle w:val="Normal"/>
        <w:suppressAutoHyphens w:val="false"/>
        <w:ind w:firstLine="708"/>
        <w:jc w:val="both"/>
        <w:rPr>
          <w:color w:val="000000"/>
          <w:sz w:val="20"/>
          <w:szCs w:val="20"/>
        </w:rPr>
      </w:pPr>
      <w:r>
        <w:rPr>
          <w:color w:val="000000"/>
          <w:sz w:val="20"/>
          <w:szCs w:val="20"/>
        </w:rPr>
        <w:t>C   - punkty badanej oferty</w:t>
      </w:r>
    </w:p>
    <w:p>
      <w:pPr>
        <w:pStyle w:val="Normal"/>
        <w:suppressAutoHyphens w:val="false"/>
        <w:ind w:firstLine="708"/>
        <w:jc w:val="both"/>
        <w:rPr>
          <w:color w:val="000000"/>
          <w:sz w:val="20"/>
          <w:szCs w:val="20"/>
        </w:rPr>
      </w:pPr>
      <w:r>
        <w:rPr>
          <w:color w:val="000000"/>
          <w:sz w:val="20"/>
          <w:szCs w:val="20"/>
        </w:rPr>
        <w:t>Cn</w:t>
      </w:r>
      <w:r>
        <w:rPr>
          <w:color w:val="000000"/>
          <w:sz w:val="20"/>
          <w:szCs w:val="20"/>
          <w:vertAlign w:val="subscript"/>
        </w:rPr>
        <w:t xml:space="preserve"> </w:t>
      </w:r>
      <w:r>
        <w:rPr>
          <w:color w:val="000000"/>
          <w:sz w:val="20"/>
          <w:szCs w:val="20"/>
        </w:rPr>
        <w:t xml:space="preserve"> - cena najniższa brutto</w:t>
      </w:r>
    </w:p>
    <w:p>
      <w:pPr>
        <w:pStyle w:val="Normal"/>
        <w:suppressAutoHyphens w:val="false"/>
        <w:ind w:firstLine="708"/>
        <w:jc w:val="both"/>
        <w:rPr>
          <w:rFonts w:cs="Times New Roman"/>
          <w:bCs/>
          <w:color w:val="000000"/>
          <w:sz w:val="20"/>
          <w:szCs w:val="20"/>
        </w:rPr>
      </w:pPr>
      <w:r>
        <w:rPr>
          <w:color w:val="000000"/>
          <w:sz w:val="20"/>
          <w:szCs w:val="20"/>
        </w:rPr>
        <w:t>Co</w:t>
      </w:r>
      <w:r>
        <w:rPr>
          <w:color w:val="000000"/>
          <w:sz w:val="20"/>
          <w:szCs w:val="20"/>
          <w:vertAlign w:val="subscript"/>
        </w:rPr>
        <w:t xml:space="preserve"> </w:t>
      </w:r>
      <w:r>
        <w:rPr>
          <w:color w:val="000000"/>
          <w:sz w:val="20"/>
          <w:szCs w:val="20"/>
        </w:rPr>
        <w:t xml:space="preserve"> - cena oferty ocenianej brutto</w:t>
      </w:r>
    </w:p>
    <w:p>
      <w:pPr>
        <w:pStyle w:val="Normal"/>
        <w:tabs>
          <w:tab w:val="clear" w:pos="720"/>
          <w:tab w:val="left" w:pos="343" w:leader="none"/>
        </w:tabs>
        <w:suppressAutoHyphens w:val="false"/>
        <w:ind w:left="22"/>
        <w:jc w:val="both"/>
        <w:rPr>
          <w:color w:val="000000"/>
          <w:sz w:val="20"/>
          <w:szCs w:val="20"/>
        </w:rPr>
      </w:pPr>
      <w:r>
        <w:rPr>
          <w:rFonts w:cs="Times New Roman"/>
          <w:bCs/>
          <w:color w:val="000000"/>
          <w:sz w:val="20"/>
          <w:szCs w:val="20"/>
        </w:rPr>
        <w:tab/>
        <w:tab/>
        <w:t>Przyjmuje   się, że 1% = 1 pkt</w:t>
      </w:r>
    </w:p>
    <w:p>
      <w:pPr>
        <w:pStyle w:val="Normal"/>
        <w:suppressAutoHyphens w:val="false"/>
        <w:jc w:val="both"/>
        <w:rPr>
          <w:color w:val="000000"/>
          <w:sz w:val="20"/>
          <w:szCs w:val="20"/>
        </w:rPr>
      </w:pPr>
      <w:r>
        <w:rPr>
          <w:color w:val="000000"/>
          <w:sz w:val="20"/>
          <w:szCs w:val="20"/>
        </w:rPr>
      </w:r>
    </w:p>
    <w:p>
      <w:pPr>
        <w:pStyle w:val="Normal"/>
        <w:suppressAutoHyphens w:val="false"/>
        <w:jc w:val="both"/>
        <w:rPr>
          <w:color w:val="000000"/>
          <w:sz w:val="20"/>
          <w:szCs w:val="20"/>
        </w:rPr>
      </w:pPr>
      <w:r>
        <w:rPr>
          <w:color w:val="000000"/>
          <w:sz w:val="20"/>
          <w:szCs w:val="20"/>
        </w:rPr>
      </w:r>
    </w:p>
    <w:p>
      <w:pPr>
        <w:pStyle w:val="Normal"/>
        <w:numPr>
          <w:ilvl w:val="0"/>
          <w:numId w:val="11"/>
        </w:numPr>
        <w:ind w:hanging="484" w:left="910"/>
        <w:jc w:val="both"/>
        <w:rPr>
          <w:b/>
        </w:rPr>
      </w:pPr>
      <w:r>
        <w:rPr>
          <w:rStyle w:val="Domylnaczcionkaakapitu1"/>
          <w:b/>
        </w:rPr>
        <w:t>Gwarancja – waga 40%</w:t>
      </w:r>
    </w:p>
    <w:p>
      <w:pPr>
        <w:pStyle w:val="Normal"/>
        <w:jc w:val="both"/>
        <w:rPr>
          <w:b/>
        </w:rPr>
      </w:pPr>
      <w:r>
        <w:rPr>
          <w:b/>
        </w:rPr>
      </w:r>
    </w:p>
    <w:p>
      <w:pPr>
        <w:pStyle w:val="Normal"/>
        <w:jc w:val="both"/>
        <w:rPr>
          <w:rStyle w:val="Domylnaczcionkaakapitu1"/>
          <w:b/>
        </w:rPr>
      </w:pPr>
      <w:r>
        <w:rPr>
          <w:rStyle w:val="Domylnaczcionkaakapitu1"/>
          <w:b/>
        </w:rPr>
        <w:t xml:space="preserve">                  </w:t>
      </w:r>
      <w:r>
        <w:rPr>
          <w:rStyle w:val="Domylnaczcionkaakapitu1"/>
          <w:b/>
          <w:bCs/>
        </w:rPr>
        <w:t xml:space="preserve">          </w:t>
      </w:r>
      <w:r>
        <w:rPr>
          <w:rStyle w:val="Domylnaczcionkaakapitu1"/>
          <w:b/>
          <w:bCs/>
        </w:rPr>
        <w:t>gwarancja badanej oferty w miesiącach*</w:t>
      </w:r>
    </w:p>
    <w:p>
      <w:pPr>
        <w:pStyle w:val="Normal"/>
        <w:ind w:left="1080"/>
        <w:jc w:val="both"/>
        <w:rPr>
          <w:b/>
        </w:rPr>
      </w:pPr>
      <w:r>
        <w:rPr>
          <w:rStyle w:val="Domylnaczcionkaakapitu1"/>
          <w:b/>
        </w:rPr>
        <w:t>G =</w:t>
      </w:r>
      <w:r>
        <w:rPr/>
        <w:t xml:space="preserve"> </w:t>
      </w:r>
      <w:r>
        <w:rPr>
          <w:rStyle w:val="Domylnaczcionkaakapitu1"/>
          <w:strike/>
        </w:rPr>
        <w:t xml:space="preserve">-------    --         --------------------------------------- </w:t>
      </w:r>
      <w:r>
        <w:rPr/>
        <w:t xml:space="preserve">  </w:t>
      </w:r>
      <w:r>
        <w:rPr>
          <w:rStyle w:val="Domylnaczcionkaakapitu1"/>
          <w:b/>
        </w:rPr>
        <w:t>x 100 pkt x 4</w:t>
      </w:r>
      <w:r>
        <w:rPr>
          <w:rStyle w:val="Domylnaczcionkaakapitu1"/>
          <w:b/>
          <w:smallCaps/>
        </w:rPr>
        <w:t>0</w:t>
      </w:r>
      <w:r>
        <w:rPr>
          <w:rStyle w:val="Domylnaczcionkaakapitu1"/>
          <w:b/>
        </w:rPr>
        <w:t>%</w:t>
      </w:r>
    </w:p>
    <w:p>
      <w:pPr>
        <w:pStyle w:val="Normal"/>
        <w:ind w:left="1736"/>
        <w:jc w:val="both"/>
        <w:rPr>
          <w:b/>
        </w:rPr>
      </w:pPr>
      <w:r>
        <w:rPr>
          <w:b/>
        </w:rPr>
        <w:t xml:space="preserve">najdłuższa gwarancja oferowana  </w:t>
      </w:r>
    </w:p>
    <w:p>
      <w:pPr>
        <w:pStyle w:val="Normal"/>
        <w:ind w:left="1736"/>
        <w:jc w:val="both"/>
        <w:rPr>
          <w:b/>
        </w:rPr>
      </w:pPr>
      <w:r>
        <w:rPr>
          <w:b/>
        </w:rPr>
      </w:r>
    </w:p>
    <w:p>
      <w:pPr>
        <w:pStyle w:val="Normal"/>
        <w:ind w:left="910"/>
        <w:jc w:val="both"/>
        <w:rPr>
          <w:color w:val="000000"/>
          <w:sz w:val="20"/>
          <w:szCs w:val="20"/>
        </w:rPr>
      </w:pPr>
      <w:r>
        <w:rPr/>
        <w:t>* spośród wszystkich złożonych ofert niepodlegających odrzuceniu</w:t>
      </w:r>
    </w:p>
    <w:p>
      <w:pPr>
        <w:pStyle w:val="Normal"/>
        <w:suppressAutoHyphens w:val="false"/>
        <w:ind w:firstLine="708"/>
        <w:jc w:val="both"/>
        <w:rPr>
          <w:color w:val="000000"/>
          <w:sz w:val="20"/>
          <w:szCs w:val="20"/>
        </w:rPr>
      </w:pPr>
      <w:r>
        <w:rPr>
          <w:color w:val="000000"/>
          <w:sz w:val="20"/>
          <w:szCs w:val="20"/>
        </w:rPr>
        <w:t>gdzie :</w:t>
      </w:r>
    </w:p>
    <w:p>
      <w:pPr>
        <w:pStyle w:val="Normal"/>
        <w:suppressAutoHyphens w:val="false"/>
        <w:ind w:firstLine="708"/>
        <w:jc w:val="both"/>
        <w:rPr>
          <w:color w:val="000000"/>
          <w:sz w:val="20"/>
          <w:szCs w:val="20"/>
        </w:rPr>
      </w:pPr>
      <w:r>
        <w:rPr>
          <w:color w:val="000000"/>
          <w:sz w:val="20"/>
          <w:szCs w:val="20"/>
        </w:rPr>
        <w:t>G    - punkty badanej oferty</w:t>
      </w:r>
    </w:p>
    <w:p>
      <w:pPr>
        <w:pStyle w:val="Normal"/>
        <w:suppressAutoHyphens w:val="false"/>
        <w:ind w:firstLine="708"/>
        <w:jc w:val="both"/>
        <w:rPr>
          <w:color w:val="000000"/>
          <w:sz w:val="20"/>
          <w:szCs w:val="20"/>
        </w:rPr>
      </w:pPr>
      <w:r>
        <w:rPr>
          <w:color w:val="000000"/>
          <w:sz w:val="20"/>
          <w:szCs w:val="20"/>
        </w:rPr>
        <w:t>Gb</w:t>
      </w:r>
      <w:r>
        <w:rPr>
          <w:color w:val="000000"/>
          <w:sz w:val="20"/>
          <w:szCs w:val="20"/>
          <w:vertAlign w:val="subscript"/>
        </w:rPr>
        <w:t xml:space="preserve"> </w:t>
      </w:r>
      <w:r>
        <w:rPr>
          <w:color w:val="000000"/>
          <w:sz w:val="20"/>
          <w:szCs w:val="20"/>
        </w:rPr>
        <w:t xml:space="preserve"> - gwarancja badanej oferty</w:t>
      </w:r>
    </w:p>
    <w:p>
      <w:pPr>
        <w:pStyle w:val="Normal"/>
        <w:suppressAutoHyphens w:val="false"/>
        <w:ind w:firstLine="708"/>
        <w:jc w:val="both"/>
        <w:rPr>
          <w:rFonts w:cs="Times New Roman"/>
          <w:bCs/>
          <w:color w:val="000000"/>
          <w:sz w:val="20"/>
          <w:szCs w:val="20"/>
        </w:rPr>
      </w:pPr>
      <w:r>
        <w:rPr>
          <w:color w:val="000000"/>
          <w:sz w:val="20"/>
          <w:szCs w:val="20"/>
        </w:rPr>
        <w:t>Gn</w:t>
      </w:r>
      <w:r>
        <w:rPr>
          <w:color w:val="000000"/>
          <w:sz w:val="20"/>
          <w:szCs w:val="20"/>
          <w:vertAlign w:val="subscript"/>
        </w:rPr>
        <w:t xml:space="preserve"> </w:t>
      </w:r>
      <w:r>
        <w:rPr>
          <w:color w:val="000000"/>
          <w:sz w:val="20"/>
          <w:szCs w:val="20"/>
        </w:rPr>
        <w:t xml:space="preserve"> - najdłuższa gwarancja oferowana</w:t>
      </w:r>
    </w:p>
    <w:p>
      <w:pPr>
        <w:pStyle w:val="Normal"/>
        <w:tabs>
          <w:tab w:val="clear" w:pos="720"/>
          <w:tab w:val="left" w:pos="343" w:leader="none"/>
        </w:tabs>
        <w:suppressAutoHyphens w:val="false"/>
        <w:ind w:left="22"/>
        <w:jc w:val="both"/>
        <w:rPr>
          <w:rFonts w:cs="Times New Roman"/>
          <w:bCs/>
          <w:color w:val="000000"/>
          <w:sz w:val="20"/>
          <w:szCs w:val="20"/>
        </w:rPr>
      </w:pPr>
      <w:r>
        <w:rPr>
          <w:rFonts w:cs="Times New Roman"/>
          <w:bCs/>
          <w:color w:val="000000"/>
          <w:sz w:val="20"/>
          <w:szCs w:val="20"/>
        </w:rPr>
        <w:tab/>
        <w:tab/>
        <w:t>Przyjmuje się, że 1% = 1 pkt</w:t>
      </w:r>
    </w:p>
    <w:p>
      <w:pPr>
        <w:pStyle w:val="Normal"/>
        <w:rPr/>
      </w:pPr>
      <w:r>
        <w:rPr/>
      </w:r>
    </w:p>
    <w:p>
      <w:pPr>
        <w:pStyle w:val="Normal"/>
        <w:ind w:left="454"/>
        <w:jc w:val="both"/>
        <w:rPr/>
      </w:pPr>
      <w:r>
        <w:rPr/>
        <w:t xml:space="preserve">UWAGA - Minimalny okres gwarancji wymagany przez Zamawiającego nie może być krótszy niż 36 miesięcy. Przy okresie gwarancji dłuższym niż </w:t>
      </w:r>
      <w:r>
        <w:rPr>
          <w:bCs/>
        </w:rPr>
        <w:t>60 miesięcy</w:t>
      </w:r>
      <w:r>
        <w:rPr/>
        <w:t xml:space="preserve">, dla celów przyznania punktacji w przedmiotowym kryterium zostanie przyjęta wartość </w:t>
      </w:r>
      <w:r>
        <w:rPr>
          <w:b/>
          <w:bCs/>
        </w:rPr>
        <w:t>60 miesięcy.</w:t>
      </w:r>
    </w:p>
    <w:p>
      <w:pPr>
        <w:pStyle w:val="Normal"/>
        <w:numPr>
          <w:ilvl w:val="0"/>
          <w:numId w:val="17"/>
        </w:numPr>
        <w:jc w:val="both"/>
        <w:rPr/>
      </w:pPr>
      <w:r>
        <w:rPr/>
        <w:t>Punktacja przyznawana ofertom w poszczególnych kryteriach oceny ofert będzie liczona   z dokładnością do dwóch miejsc po przecinku, zgodnie z zasadami arytmetyki.</w:t>
      </w:r>
      <w:r>
        <w:rPr>
          <w:color w:val="000000"/>
          <w:sz w:val="24"/>
        </w:rPr>
        <w:t xml:space="preserve"> </w:t>
      </w:r>
    </w:p>
    <w:p>
      <w:pPr>
        <w:pStyle w:val="Normal"/>
        <w:numPr>
          <w:ilvl w:val="0"/>
          <w:numId w:val="17"/>
        </w:numPr>
        <w:jc w:val="both"/>
        <w:rPr/>
      </w:pPr>
      <w:r>
        <w:rPr/>
        <w:t>W toku badania i oceny ofert Zamawiający może żądać od Wykonawcy wyjaśnień dotyczących treści złożonej oferty, w tym zaoferowanej ceny.</w:t>
      </w:r>
    </w:p>
    <w:p>
      <w:pPr>
        <w:pStyle w:val="Normal"/>
        <w:numPr>
          <w:ilvl w:val="0"/>
          <w:numId w:val="17"/>
        </w:numPr>
        <w:jc w:val="both"/>
        <w:rPr/>
      </w:pPr>
      <w:r>
        <w:rPr/>
        <w:t>Zamawiający udzieli zamówienia Wykonawcy, którego oferta zostanie uznana za najkorzystniejszą.</w:t>
      </w:r>
    </w:p>
    <w:p>
      <w:pPr>
        <w:pStyle w:val="Normal"/>
        <w:numPr>
          <w:ilvl w:val="0"/>
          <w:numId w:val="17"/>
        </w:numPr>
        <w:jc w:val="both"/>
        <w:rPr>
          <w:sz w:val="20"/>
          <w:szCs w:val="20"/>
        </w:rPr>
      </w:pPr>
      <w:r>
        <w:rPr/>
        <w:t xml:space="preserve">Za najkorzystniejszą zostanie uznana oferta, która uzyska łącznie największą liczbę punktów obliczona wg wzoru: </w:t>
      </w:r>
      <w:r>
        <w:rPr>
          <w:sz w:val="20"/>
          <w:szCs w:val="20"/>
        </w:rPr>
        <w:t xml:space="preserve">P = C+G </w:t>
      </w:r>
    </w:p>
    <w:p>
      <w:pPr>
        <w:pStyle w:val="Normal"/>
        <w:tabs>
          <w:tab w:val="clear" w:pos="720"/>
          <w:tab w:val="left" w:pos="2143" w:leader="none"/>
        </w:tabs>
        <w:jc w:val="both"/>
        <w:rPr>
          <w:b/>
          <w:bCs/>
          <w:sz w:val="20"/>
          <w:szCs w:val="20"/>
        </w:rPr>
      </w:pPr>
      <w:r>
        <w:rPr>
          <w:sz w:val="20"/>
          <w:szCs w:val="20"/>
        </w:rPr>
        <w:tab/>
        <w:t>gdzie:</w:t>
      </w:r>
    </w:p>
    <w:p>
      <w:pPr>
        <w:pStyle w:val="Normal"/>
        <w:tabs>
          <w:tab w:val="clear" w:pos="720"/>
          <w:tab w:val="left" w:pos="2143" w:leader="none"/>
        </w:tabs>
        <w:ind w:left="1822"/>
        <w:jc w:val="both"/>
        <w:rPr>
          <w:rFonts w:eastAsia="SimSun;宋体" w:cs="Calibri"/>
          <w:b/>
          <w:kern w:val="2"/>
          <w:sz w:val="20"/>
          <w:szCs w:val="20"/>
        </w:rPr>
      </w:pPr>
      <w:r>
        <w:rPr>
          <w:b/>
          <w:bCs/>
          <w:sz w:val="20"/>
          <w:szCs w:val="20"/>
        </w:rPr>
        <w:t>P</w:t>
      </w:r>
      <w:r>
        <w:rPr>
          <w:sz w:val="20"/>
          <w:szCs w:val="20"/>
        </w:rPr>
        <w:t xml:space="preserve"> – łączna</w:t>
      </w:r>
      <w:r>
        <w:rPr>
          <w:rFonts w:eastAsia="SimSun;宋体" w:cs="Calibri"/>
          <w:kern w:val="2"/>
          <w:sz w:val="20"/>
          <w:szCs w:val="20"/>
        </w:rPr>
        <w:t xml:space="preserve"> liczba punktów uzyskana przez badaną ofertę</w:t>
      </w:r>
    </w:p>
    <w:p>
      <w:pPr>
        <w:pStyle w:val="Normal"/>
        <w:tabs>
          <w:tab w:val="clear" w:pos="720"/>
          <w:tab w:val="left" w:pos="2143" w:leader="none"/>
        </w:tabs>
        <w:ind w:left="1822"/>
        <w:jc w:val="both"/>
        <w:rPr>
          <w:rFonts w:eastAsia="SimSun;宋体" w:cs="Calibri"/>
          <w:b/>
          <w:kern w:val="2"/>
          <w:sz w:val="20"/>
          <w:szCs w:val="20"/>
        </w:rPr>
      </w:pPr>
      <w:r>
        <w:rPr>
          <w:rFonts w:eastAsia="SimSun;宋体" w:cs="Calibri"/>
          <w:b/>
          <w:kern w:val="2"/>
          <w:sz w:val="20"/>
          <w:szCs w:val="20"/>
        </w:rPr>
        <w:t xml:space="preserve">C– </w:t>
      </w:r>
      <w:r>
        <w:rPr>
          <w:rFonts w:eastAsia="SimSun;宋体" w:cs="Calibri"/>
          <w:kern w:val="2"/>
          <w:sz w:val="20"/>
          <w:szCs w:val="20"/>
        </w:rPr>
        <w:t>liczba punktów uzyskana przez badaną ofertę w kryterium „cena oferty”</w:t>
      </w:r>
    </w:p>
    <w:p>
      <w:pPr>
        <w:pStyle w:val="Normal"/>
        <w:widowControl w:val="false"/>
        <w:tabs>
          <w:tab w:val="clear" w:pos="720"/>
          <w:tab w:val="left" w:pos="2143" w:leader="none"/>
        </w:tabs>
        <w:ind w:left="1822"/>
        <w:jc w:val="both"/>
        <w:rPr>
          <w:sz w:val="30"/>
          <w:szCs w:val="30"/>
        </w:rPr>
      </w:pPr>
      <w:r>
        <w:rPr>
          <w:rFonts w:eastAsia="SimSun;宋体" w:cs="Calibri"/>
          <w:b/>
          <w:kern w:val="2"/>
          <w:sz w:val="20"/>
          <w:szCs w:val="20"/>
        </w:rPr>
        <w:t xml:space="preserve">G– </w:t>
      </w:r>
      <w:r>
        <w:rPr>
          <w:rFonts w:eastAsia="SimSun;宋体" w:cs="Calibri"/>
          <w:kern w:val="2"/>
          <w:sz w:val="20"/>
          <w:szCs w:val="20"/>
        </w:rPr>
        <w:t>liczba punktów uzyskana przez badaną ofertę w kryterium „</w:t>
      </w:r>
      <w:r>
        <w:rPr>
          <w:rFonts w:cs="Calibri"/>
          <w:bCs/>
          <w:color w:val="000000"/>
          <w:sz w:val="20"/>
          <w:szCs w:val="20"/>
        </w:rPr>
        <w:t>okres gwarancji</w:t>
      </w:r>
      <w:r>
        <w:rPr>
          <w:rFonts w:eastAsia="SimSun;宋体" w:cs="Calibri"/>
          <w:kern w:val="2"/>
          <w:sz w:val="20"/>
          <w:szCs w:val="20"/>
        </w:rPr>
        <w:t>”</w:t>
      </w:r>
    </w:p>
    <w:p>
      <w:pPr>
        <w:pStyle w:val="Heading2"/>
        <w:numPr>
          <w:ilvl w:val="1"/>
          <w:numId w:val="1"/>
        </w:numPr>
        <w:tabs>
          <w:tab w:val="clear" w:pos="720"/>
          <w:tab w:val="left" w:pos="0" w:leader="none"/>
        </w:tabs>
        <w:spacing w:lineRule="auto" w:line="276" w:before="0" w:after="0"/>
        <w:jc w:val="both"/>
        <w:rPr>
          <w:rFonts w:hint="eastAsia"/>
          <w:sz w:val="30"/>
          <w:szCs w:val="30"/>
        </w:rPr>
      </w:pPr>
      <w:r>
        <w:rPr>
          <w:rFonts w:hint="eastAsia"/>
          <w:sz w:val="30"/>
          <w:szCs w:val="30"/>
        </w:rPr>
      </w:r>
    </w:p>
    <w:p>
      <w:pPr>
        <w:pStyle w:val="Heading2"/>
        <w:numPr>
          <w:ilvl w:val="1"/>
          <w:numId w:val="1"/>
        </w:numPr>
        <w:tabs>
          <w:tab w:val="clear" w:pos="720"/>
          <w:tab w:val="left" w:pos="0" w:leader="none"/>
        </w:tabs>
        <w:spacing w:lineRule="auto" w:line="276" w:before="0" w:after="0"/>
        <w:jc w:val="both"/>
        <w:rPr>
          <w:rFonts w:hint="eastAsia"/>
          <w:color w:val="000000"/>
        </w:rPr>
      </w:pPr>
      <w:bookmarkStart w:id="16" w:name="_jdd1gpfct9cq"/>
      <w:bookmarkEnd w:id="16"/>
      <w:r>
        <w:rPr>
          <w:sz w:val="30"/>
          <w:szCs w:val="30"/>
        </w:rPr>
        <w:t>XXI. Informacje o formalnościach, jakie powinny być dopełnione po wyborze oferty w celu zawarcia umowy</w:t>
      </w:r>
    </w:p>
    <w:p>
      <w:pPr>
        <w:pStyle w:val="Normal"/>
        <w:numPr>
          <w:ilvl w:val="0"/>
          <w:numId w:val="13"/>
        </w:numPr>
        <w:spacing w:before="240" w:after="0"/>
        <w:ind w:hanging="426" w:left="709"/>
        <w:jc w:val="both"/>
        <w:rPr>
          <w:color w:val="000000"/>
        </w:rPr>
      </w:pPr>
      <w:r>
        <w:rPr>
          <w:color w:val="000000"/>
        </w:rPr>
        <w:t>Zamawiający zawiera umowę w sprawie zamówienia publicznego w terminie nie krótszym niż 5 dni od dnia przesłania zawiadomienia o wyborze najkorzystniejszej oferty.</w:t>
      </w:r>
    </w:p>
    <w:p>
      <w:pPr>
        <w:pStyle w:val="Normal"/>
        <w:numPr>
          <w:ilvl w:val="0"/>
          <w:numId w:val="13"/>
        </w:numPr>
        <w:ind w:hanging="426" w:left="709"/>
        <w:jc w:val="both"/>
        <w:rPr>
          <w:color w:val="000000"/>
        </w:rPr>
      </w:pPr>
      <w:r>
        <w:rPr>
          <w:color w:val="000000"/>
        </w:rPr>
        <w:t>Zamawiający może zawrzeć umowę w sprawie zamówienia publicznego przed upływem terminu, o którym mowa w ust. 1, jeżeli w postępowaniu o udzielenie zamówienia prowadzonym w trybie podstawowym złożono tylko jedną ofertę.</w:t>
      </w:r>
    </w:p>
    <w:p>
      <w:pPr>
        <w:pStyle w:val="Normal"/>
        <w:numPr>
          <w:ilvl w:val="0"/>
          <w:numId w:val="13"/>
        </w:numPr>
        <w:ind w:hanging="426" w:left="709"/>
        <w:jc w:val="both"/>
        <w:rPr>
          <w:color w:val="000000"/>
        </w:rPr>
      </w:pPr>
      <w:r>
        <w:rPr>
          <w:color w:val="000000"/>
        </w:rPr>
        <w:t xml:space="preserve">Wykonawca, którego oferta zostanie uznana za najkorzystniejszą, przed podpisaniem umowy zobowiązany jest do przedstawienia Zamawiającemu kalkulacji cenowej Wykaz Cen - sporządzony wg  </w:t>
      </w:r>
      <w:r>
        <w:rPr>
          <w:b/>
        </w:rPr>
        <w:t>Załącznika 7 do SWZ</w:t>
      </w:r>
      <w:r>
        <w:rPr/>
        <w:t>,</w:t>
      </w:r>
      <w:r>
        <w:rPr>
          <w:color w:val="000000"/>
        </w:rPr>
        <w:t xml:space="preserve"> sporządzonej w oparciu                                   o zamieszczone przedmiary robót:  </w:t>
      </w:r>
    </w:p>
    <w:p>
      <w:pPr>
        <w:pStyle w:val="Normal"/>
        <w:ind w:left="709"/>
        <w:jc w:val="both"/>
        <w:rPr>
          <w:color w:val="000000"/>
        </w:rPr>
      </w:pPr>
      <w:r>
        <w:rPr>
          <w:color w:val="000000"/>
        </w:rPr>
        <w:t xml:space="preserve"> </w:t>
      </w:r>
      <w:r>
        <w:rPr>
          <w:color w:val="000000"/>
        </w:rPr>
        <w:t xml:space="preserve">- Wykonawca winien oddzielnie wycenić każdą pozycję w Wykazie Cen (CW) </w:t>
      </w:r>
      <w:r>
        <w:rPr/>
        <w:t>(</w:t>
      </w:r>
      <w:r>
        <w:rPr>
          <w:b/>
        </w:rPr>
        <w:t>Załącznik nr 7 do SWZ</w:t>
      </w:r>
      <w:r>
        <w:rPr/>
        <w:t>),</w:t>
      </w:r>
      <w:r>
        <w:rPr>
          <w:color w:val="000000"/>
        </w:rPr>
        <w:t xml:space="preserve"> przestrzegając zasad dotyczących wyliczenia wartości                      w każdej pozycji oraz podsumowania kwot ogólnych podanych w CW. </w:t>
      </w:r>
      <w:r>
        <w:rPr>
          <w:b/>
          <w:color w:val="000000"/>
        </w:rPr>
        <w:t>Wykonawcy nie wolno zmieniać ilości podanych w przedmiarach</w:t>
      </w:r>
      <w:r>
        <w:rPr>
          <w:color w:val="000000"/>
        </w:rPr>
        <w:t>,</w:t>
      </w:r>
    </w:p>
    <w:p>
      <w:pPr>
        <w:pStyle w:val="Normal"/>
        <w:ind w:left="709"/>
        <w:jc w:val="both"/>
        <w:rPr>
          <w:color w:val="000000"/>
        </w:rPr>
      </w:pPr>
      <w:r>
        <w:rPr>
          <w:color w:val="000000"/>
        </w:rPr>
        <w:t>- Przedmiar robót należy odczytywać łącznie z innymi dokumentami kontraktowymi. Przyjmuje się, iż Wykonawca dokładnie zapoznał się ze szczegółowym opisem robót, jakie mają zostać wykonane i sposobem ich wykonania. Całość Robót winna być wykonana zgodnie z zamierzeniem i przeznaczeniem przedmiotu zamówienia,</w:t>
      </w:r>
    </w:p>
    <w:p>
      <w:pPr>
        <w:pStyle w:val="Normal"/>
        <w:ind w:left="709"/>
        <w:jc w:val="both"/>
        <w:rPr>
          <w:color w:val="000000"/>
        </w:rPr>
      </w:pPr>
      <w:r>
        <w:rPr>
          <w:color w:val="000000"/>
        </w:rPr>
        <w:t xml:space="preserve">- </w:t>
      </w:r>
      <w:r>
        <w:rPr>
          <w:b/>
          <w:bCs/>
          <w:color w:val="000000"/>
        </w:rPr>
        <w:t>ilości podane w każdej pozycji wykazu są wielkościami informacyjnymi,</w:t>
      </w:r>
      <w:r>
        <w:rPr>
          <w:color w:val="000000"/>
        </w:rPr>
        <w:t xml:space="preserve"> </w:t>
      </w:r>
      <w:r>
        <w:rPr>
          <w:b/>
          <w:bCs/>
        </w:rPr>
        <w:t>wskazującymi jedynie orientacyjny zakres prac,</w:t>
      </w:r>
      <w:r>
        <w:rPr>
          <w:color w:val="000000"/>
        </w:rPr>
        <w:t xml:space="preserve"> które powinny być wykonane dla skompletowania danego elementu (roboty), za którą przysługuje wyliczone dalej wynagrodzenie ryczałtowe i nie mają znaczenia przy rozliczaniu wartości danego elementu (roboty) po jego wykonaniu,</w:t>
      </w:r>
    </w:p>
    <w:p>
      <w:pPr>
        <w:pStyle w:val="Normal"/>
        <w:ind w:left="709"/>
        <w:jc w:val="both"/>
        <w:rPr>
          <w:color w:val="000000"/>
        </w:rPr>
      </w:pPr>
      <w:r>
        <w:rPr>
          <w:color w:val="000000"/>
        </w:rPr>
        <w:t>- krótkie opisy pozycji przedstawione w przedmiarach są podane tylko dla celów identyfikacyjnych i w żaden sposób nie modyfikują czy anulują szczegółowych opisów zawartych w specyfikacjach technicznych i projektach.</w:t>
      </w:r>
      <w:r>
        <w:rPr>
          <w:rFonts w:eastAsia="Liberation Serif;Times New Roma"/>
          <w:color w:val="000000"/>
        </w:rPr>
        <w:tab/>
      </w:r>
    </w:p>
    <w:p>
      <w:pPr>
        <w:pStyle w:val="Normal"/>
        <w:numPr>
          <w:ilvl w:val="0"/>
          <w:numId w:val="13"/>
        </w:numPr>
        <w:ind w:hanging="426" w:left="709"/>
        <w:jc w:val="both"/>
        <w:rPr/>
      </w:pPr>
      <w:r>
        <w:rPr>
          <w:color w:val="000000"/>
        </w:rPr>
        <w:t>Wykonawca, którego oferta zostanie uznana za najkorzystniejszą, będzie zobowiązany przed podpisaniem umowy do wniesienia zabezpieczenia należytego wykonania umowy (jeżeli jego wniesienie było wymagane) w wysokości i formie określonej w Rozdziale XXII SWZ.</w:t>
      </w:r>
    </w:p>
    <w:p>
      <w:pPr>
        <w:pStyle w:val="Normal"/>
        <w:numPr>
          <w:ilvl w:val="0"/>
          <w:numId w:val="13"/>
        </w:numPr>
        <w:ind w:hanging="426" w:left="709"/>
        <w:jc w:val="both"/>
        <w:rPr>
          <w:color w:val="000000"/>
        </w:rPr>
      </w:pPr>
      <w:r>
        <w:rPr/>
        <w:t>Wykonawca, którego oferta zostanie uznana za najkorzystniejszą, będzie zobowiązany przed podpisaniem umowy do przedłożenia Zamawiającemu harmonogramu robót.</w:t>
      </w:r>
    </w:p>
    <w:p>
      <w:pPr>
        <w:pStyle w:val="Normal"/>
        <w:numPr>
          <w:ilvl w:val="0"/>
          <w:numId w:val="13"/>
        </w:numPr>
        <w:ind w:hanging="426" w:left="709"/>
        <w:jc w:val="both"/>
        <w:rPr>
          <w:color w:val="000000"/>
        </w:rPr>
      </w:pPr>
      <w:r>
        <w:rPr>
          <w:color w:val="000000"/>
        </w:rPr>
        <w:t xml:space="preserve">W przypadku wyboru oferty złożonej przez Wykonawców wspólnie ubiegających się                   o udzielenie zamówienia Zamawiający zastrzega sobie prawo żądania przed zawarciem umowy w sprawie zamówienia publicznego </w:t>
      </w:r>
      <w:r>
        <w:rPr>
          <w:color w:val="000000"/>
          <w:u w:val="single"/>
        </w:rPr>
        <w:t>umowy regulującej współpracę tych Wykonawców.</w:t>
      </w:r>
    </w:p>
    <w:p>
      <w:pPr>
        <w:pStyle w:val="Normal"/>
        <w:numPr>
          <w:ilvl w:val="0"/>
          <w:numId w:val="13"/>
        </w:numPr>
        <w:ind w:hanging="426" w:left="709"/>
        <w:jc w:val="both"/>
        <w:rPr>
          <w:lang w:eastAsia="pl-PL"/>
        </w:rPr>
      </w:pPr>
      <w:r>
        <w:rPr>
          <w:color w:val="000000"/>
        </w:rPr>
        <w:t>Wykonawca będzie zobowiązany do podpisania umowy w miejscu i terminie wskazanym przez Zamawiającego.</w:t>
      </w:r>
    </w:p>
    <w:p>
      <w:pPr>
        <w:pStyle w:val="Normal"/>
        <w:numPr>
          <w:ilvl w:val="0"/>
          <w:numId w:val="13"/>
        </w:numPr>
        <w:ind w:hanging="426" w:left="709"/>
        <w:jc w:val="both"/>
        <w:rPr>
          <w:color w:val="000000"/>
          <w:sz w:val="30"/>
          <w:szCs w:val="30"/>
        </w:rPr>
      </w:pPr>
      <w:r>
        <w:rPr>
          <w:lang w:eastAsia="pl-PL"/>
        </w:rPr>
        <w:t xml:space="preserve">Zamawiający wymagał będzie przed podpisaniem umowy przedłożenia dokumentu potwierdzającego, że wykonawca jest ubezpieczony od odpowiedzialności cywilnej                 w zakresie prowadzonej działalności związanej z przedmiotem zamówienia na sumę ubezpieczenia o minimalnej wartości co najmniej równej wartości brutto umowy na cały okres obowiązywania umowy, a w przypadku gdy okres ubezpieczenia wygasa                         w trakcie obowiązywania umowy </w:t>
      </w:r>
      <w:r>
        <w:rPr>
          <w:color w:val="000000"/>
          <w:lang w:eastAsia="pl-PL"/>
        </w:rPr>
        <w:t>kontynuację</w:t>
      </w:r>
      <w:r>
        <w:rPr>
          <w:color w:val="ED1C24"/>
          <w:lang w:eastAsia="pl-PL"/>
        </w:rPr>
        <w:t xml:space="preserve"> </w:t>
      </w:r>
      <w:r>
        <w:rPr>
          <w:lang w:eastAsia="pl-PL"/>
        </w:rPr>
        <w:t>ubezpieczenia.</w:t>
      </w:r>
    </w:p>
    <w:p>
      <w:pPr>
        <w:pStyle w:val="Heading2"/>
        <w:numPr>
          <w:ilvl w:val="1"/>
          <w:numId w:val="1"/>
        </w:numPr>
        <w:tabs>
          <w:tab w:val="clear" w:pos="720"/>
          <w:tab w:val="left" w:pos="0" w:leader="none"/>
        </w:tabs>
        <w:spacing w:lineRule="auto" w:line="276" w:before="0" w:after="0"/>
        <w:jc w:val="both"/>
        <w:rPr>
          <w:rFonts w:hint="eastAsia"/>
          <w:color w:val="000000"/>
          <w:sz w:val="30"/>
          <w:szCs w:val="30"/>
        </w:rPr>
      </w:pPr>
      <w:r>
        <w:rPr>
          <w:rFonts w:hint="eastAsia"/>
          <w:color w:val="000000"/>
          <w:sz w:val="30"/>
          <w:szCs w:val="30"/>
        </w:rPr>
      </w:r>
    </w:p>
    <w:p>
      <w:pPr>
        <w:pStyle w:val="Heading2"/>
        <w:numPr>
          <w:ilvl w:val="1"/>
          <w:numId w:val="1"/>
        </w:numPr>
        <w:tabs>
          <w:tab w:val="clear" w:pos="720"/>
          <w:tab w:val="left" w:pos="0" w:leader="none"/>
        </w:tabs>
        <w:spacing w:lineRule="auto" w:line="276" w:before="0" w:after="0"/>
        <w:jc w:val="both"/>
        <w:rPr>
          <w:rFonts w:hint="eastAsia"/>
          <w:sz w:val="22"/>
          <w:szCs w:val="22"/>
        </w:rPr>
      </w:pPr>
      <w:bookmarkStart w:id="17" w:name="_8o16t0j5rcy"/>
      <w:bookmarkEnd w:id="17"/>
      <w:r>
        <w:rPr>
          <w:sz w:val="30"/>
          <w:szCs w:val="30"/>
        </w:rPr>
        <w:t>XXII. Wymagania dotyczące zabezpieczenia należytego wykonania umowy</w:t>
      </w:r>
    </w:p>
    <w:p>
      <w:pPr>
        <w:pStyle w:val="Standard"/>
        <w:numPr>
          <w:ilvl w:val="0"/>
          <w:numId w:val="2"/>
        </w:numPr>
        <w:spacing w:lineRule="auto" w:line="276"/>
        <w:jc w:val="both"/>
        <w:rPr>
          <w:rFonts w:hint="eastAsia"/>
          <w:sz w:val="22"/>
          <w:szCs w:val="22"/>
        </w:rPr>
      </w:pPr>
      <w:r>
        <w:rPr>
          <w:rFonts w:hint="eastAsia"/>
          <w:sz w:val="22"/>
          <w:szCs w:val="22"/>
        </w:rPr>
      </w:r>
    </w:p>
    <w:p>
      <w:pPr>
        <w:pStyle w:val="Normal"/>
        <w:ind w:hanging="283" w:left="283"/>
        <w:jc w:val="both"/>
        <w:rPr/>
      </w:pPr>
      <w:r>
        <w:rPr>
          <w:rStyle w:val="Domylnaczcionkaakapitu6"/>
        </w:rPr>
        <w:t>1.</w:t>
      </w:r>
      <w:r>
        <w:rPr>
          <w:rStyle w:val="Domylnaczcionkaakapitu1"/>
          <w:smallCaps/>
        </w:rPr>
        <w:t xml:space="preserve"> </w:t>
      </w:r>
      <w:r>
        <w:rPr>
          <w:rStyle w:val="Domylnaczcionkaakapitu6"/>
        </w:rPr>
        <w:t xml:space="preserve">Przed podpisaniem umowy, Wykonawca, którego oferta została wybrana jako najkorzystniejsza  zobowiązany jest do wniesienia zabezpieczenia należytego wykonania umowy w wysokości </w:t>
      </w:r>
      <w:r>
        <w:rPr>
          <w:rStyle w:val="Domylnaczcionkaakapitu1"/>
          <w:b/>
        </w:rPr>
        <w:t>5% ceny całkowitej podanej w ofercie.</w:t>
      </w:r>
    </w:p>
    <w:p>
      <w:pPr>
        <w:pStyle w:val="Normal"/>
        <w:tabs>
          <w:tab w:val="clear" w:pos="720"/>
          <w:tab w:val="left" w:pos="1214" w:leader="none"/>
          <w:tab w:val="left" w:pos="1503" w:leader="none"/>
          <w:tab w:val="left" w:pos="2494" w:leader="none"/>
        </w:tabs>
        <w:ind w:hanging="397" w:left="397"/>
        <w:jc w:val="both"/>
        <w:rPr/>
      </w:pPr>
      <w:r>
        <w:rPr/>
        <w:t xml:space="preserve">2. Zabezpieczenie w wysokości określonej w pkt. 1 służy pokryciu roszczeń z tytułu niewykonania lub nienależytego wykonania umowy.  </w:t>
      </w:r>
    </w:p>
    <w:p>
      <w:pPr>
        <w:pStyle w:val="Normal"/>
        <w:tabs>
          <w:tab w:val="clear" w:pos="720"/>
          <w:tab w:val="left" w:pos="1214" w:leader="none"/>
          <w:tab w:val="left" w:pos="1503" w:leader="none"/>
          <w:tab w:val="left" w:pos="2494" w:leader="none"/>
        </w:tabs>
        <w:ind w:hanging="397" w:left="397"/>
        <w:jc w:val="both"/>
        <w:rPr/>
      </w:pPr>
      <w:r>
        <w:rPr/>
        <w:t>3. Zabezpieczenie wnosi się przed zawarciem umowy.</w:t>
      </w:r>
    </w:p>
    <w:p>
      <w:pPr>
        <w:pStyle w:val="Normal"/>
        <w:tabs>
          <w:tab w:val="clear" w:pos="720"/>
          <w:tab w:val="left" w:pos="874" w:leader="none"/>
          <w:tab w:val="left" w:pos="1163" w:leader="none"/>
          <w:tab w:val="left" w:pos="2154" w:leader="none"/>
        </w:tabs>
        <w:ind w:hanging="227" w:left="227"/>
        <w:jc w:val="both"/>
        <w:rPr/>
      </w:pPr>
      <w:r>
        <w:rPr/>
        <w:t>4. Zabezpieczenie może być wnoszone, według wyboru wykonawcy, w jednej lub w kilku następujących formach:</w:t>
      </w:r>
    </w:p>
    <w:p>
      <w:pPr>
        <w:pStyle w:val="Normal"/>
        <w:tabs>
          <w:tab w:val="clear" w:pos="720"/>
          <w:tab w:val="left" w:pos="1214" w:leader="none"/>
          <w:tab w:val="left" w:pos="1503" w:leader="none"/>
          <w:tab w:val="left" w:pos="2494" w:leader="none"/>
        </w:tabs>
        <w:ind w:left="397"/>
        <w:jc w:val="both"/>
        <w:rPr/>
      </w:pPr>
      <w:r>
        <w:rPr/>
        <w:t>1) pieniądzu;</w:t>
      </w:r>
    </w:p>
    <w:p>
      <w:pPr>
        <w:pStyle w:val="Normal"/>
        <w:tabs>
          <w:tab w:val="clear" w:pos="720"/>
          <w:tab w:val="left" w:pos="1214" w:leader="none"/>
          <w:tab w:val="left" w:pos="1503" w:leader="none"/>
          <w:tab w:val="left" w:pos="2494" w:leader="none"/>
        </w:tabs>
        <w:ind w:left="397"/>
        <w:jc w:val="both"/>
        <w:rPr/>
      </w:pPr>
      <w:r>
        <w:rPr/>
        <w:t>2) poręczeniach bankowych lub poręczeniach spółdzielczej kasy oszczędnościowo-kredytowej, z tym że zobowiązanie kasy jest zawsze zobowiązaniem pieniężnym;</w:t>
      </w:r>
    </w:p>
    <w:p>
      <w:pPr>
        <w:pStyle w:val="Normal"/>
        <w:tabs>
          <w:tab w:val="clear" w:pos="720"/>
          <w:tab w:val="left" w:pos="1214" w:leader="none"/>
          <w:tab w:val="left" w:pos="1503" w:leader="none"/>
          <w:tab w:val="left" w:pos="2494" w:leader="none"/>
        </w:tabs>
        <w:ind w:left="397"/>
        <w:jc w:val="both"/>
        <w:rPr/>
      </w:pPr>
      <w:r>
        <w:rPr/>
        <w:t>3) gwarancjach bankowych;</w:t>
      </w:r>
    </w:p>
    <w:p>
      <w:pPr>
        <w:pStyle w:val="Normal"/>
        <w:tabs>
          <w:tab w:val="clear" w:pos="720"/>
          <w:tab w:val="left" w:pos="1214" w:leader="none"/>
          <w:tab w:val="left" w:pos="1503" w:leader="none"/>
          <w:tab w:val="left" w:pos="2494" w:leader="none"/>
        </w:tabs>
        <w:ind w:left="397"/>
        <w:jc w:val="both"/>
        <w:rPr/>
      </w:pPr>
      <w:r>
        <w:rPr/>
        <w:t>4) gwarancjach ubezpieczeniowych;</w:t>
      </w:r>
    </w:p>
    <w:p>
      <w:pPr>
        <w:pStyle w:val="Normal"/>
        <w:tabs>
          <w:tab w:val="clear" w:pos="720"/>
          <w:tab w:val="left" w:pos="1214" w:leader="none"/>
          <w:tab w:val="left" w:pos="1503" w:leader="none"/>
          <w:tab w:val="left" w:pos="2494" w:leader="none"/>
        </w:tabs>
        <w:ind w:left="397"/>
        <w:jc w:val="both"/>
        <w:rPr>
          <w:rStyle w:val="Domylnaczcionkaakapitu6"/>
        </w:rPr>
      </w:pPr>
      <w:r>
        <w:rPr/>
        <w:t>5) poręczeniach udzielanych przez podmioty, o których mowa w art. 6b ust. 5 pkt 2 ustawy z dnia 9 listopada 2000 r. o utworzeniu Polskiej Agencji Rozwoju Przedsiębiorczości.</w:t>
      </w:r>
    </w:p>
    <w:p>
      <w:pPr>
        <w:pStyle w:val="Normal"/>
        <w:tabs>
          <w:tab w:val="clear" w:pos="720"/>
          <w:tab w:val="left" w:pos="1133" w:leader="none"/>
          <w:tab w:val="left" w:pos="1275" w:leader="none"/>
          <w:tab w:val="left" w:pos="2266" w:leader="none"/>
          <w:tab w:val="left" w:pos="2486" w:leader="none"/>
        </w:tabs>
        <w:ind w:hanging="283" w:left="283"/>
        <w:jc w:val="both"/>
        <w:rPr>
          <w:rStyle w:val="Domylnaczcionkaakapitu6"/>
        </w:rPr>
      </w:pPr>
      <w:r>
        <w:rPr>
          <w:rStyle w:val="Domylnaczcionkaakapitu6"/>
        </w:rPr>
        <w:t>5.</w:t>
      </w:r>
      <w:r>
        <w:rPr>
          <w:rStyle w:val="Domylnaczcionkaakapitu1"/>
          <w:b/>
        </w:rPr>
        <w:t xml:space="preserve"> </w:t>
      </w:r>
      <w:r>
        <w:rPr>
          <w:rStyle w:val="Domylnaczcionkaakapitu6"/>
        </w:rPr>
        <w:t>W przypadku wniesienia zabezpieczenia w pieniądzu Wykonawca wpłaci przelewem na rachunek bankowy  Zamawiającego:</w:t>
      </w:r>
    </w:p>
    <w:p>
      <w:pPr>
        <w:pStyle w:val="Normal"/>
        <w:rPr/>
      </w:pPr>
      <w:r>
        <w:rPr>
          <w:rStyle w:val="Domylnaczcionkaakapitu6"/>
        </w:rPr>
        <w:t xml:space="preserve">Bank Spółdzielczy w Skierniewicach  nr </w:t>
      </w:r>
      <w:r>
        <w:rPr>
          <w:rStyle w:val="Domylnaczcionkaakapitu1"/>
        </w:rPr>
        <w:t xml:space="preserve">93 9297 0005 0177 5197 2010 0008  </w:t>
      </w:r>
      <w:r>
        <w:rPr>
          <w:rStyle w:val="Domylnaczcionkaakapitu1"/>
          <w:color w:val="FF0000"/>
        </w:rPr>
        <w:t xml:space="preserve">   </w:t>
      </w:r>
      <w:r>
        <w:rPr>
          <w:rStyle w:val="Domylnaczcionkaakapitu1"/>
        </w:rPr>
        <w:t xml:space="preserve">                                   </w:t>
      </w:r>
      <w:r>
        <w:rPr>
          <w:rStyle w:val="Domylnaczcionkaakapitu6"/>
        </w:rPr>
        <w:t xml:space="preserve">z dopiskiem </w:t>
      </w:r>
      <w:r>
        <w:rPr>
          <w:rStyle w:val="Domylnaczcionkaakapitu1"/>
        </w:rPr>
        <w:t xml:space="preserve">„Zabezpieczenie – </w:t>
      </w:r>
      <w:r>
        <w:rPr>
          <w:rStyle w:val="Domylnaczcionkaakapitu1"/>
          <w:i/>
        </w:rPr>
        <w:t>nr postępowania  ZP/1/2026</w:t>
      </w:r>
      <w:r>
        <w:rPr>
          <w:rStyle w:val="Domylnaczcionkaakapitu1"/>
        </w:rPr>
        <w:t>”.</w:t>
      </w:r>
    </w:p>
    <w:p>
      <w:pPr>
        <w:pStyle w:val="Normal"/>
        <w:tabs>
          <w:tab w:val="clear" w:pos="720"/>
          <w:tab w:val="left" w:pos="1163" w:leader="none"/>
          <w:tab w:val="left" w:pos="2154" w:leader="none"/>
          <w:tab w:val="left" w:pos="2374" w:leader="none"/>
        </w:tabs>
        <w:ind w:hanging="227" w:left="227"/>
        <w:jc w:val="both"/>
        <w:rPr>
          <w:rStyle w:val="Domylnaczcionkaakapitu1"/>
          <w:smallCaps/>
        </w:rPr>
      </w:pPr>
      <w:r>
        <w:rPr>
          <w:rStyle w:val="Domylnaczcionkaakapitu6"/>
        </w:rPr>
        <w:t>6</w:t>
      </w:r>
      <w:r>
        <w:rPr>
          <w:rStyle w:val="Domylnaczcionkaakapitu1"/>
          <w:b/>
        </w:rPr>
        <w:t xml:space="preserve">. </w:t>
      </w:r>
      <w:r>
        <w:rPr>
          <w:rStyle w:val="Domylnaczcionkaakapitu6"/>
        </w:rPr>
        <w:t>Zamawiający informuje, iż w przypadku zabezpieczeń w formie poręczeń lub gwarancji muszą one zawierać:</w:t>
      </w:r>
    </w:p>
    <w:p>
      <w:pPr>
        <w:pStyle w:val="Normal"/>
        <w:tabs>
          <w:tab w:val="clear" w:pos="720"/>
          <w:tab w:val="left" w:pos="3060" w:leader="none"/>
        </w:tabs>
        <w:ind w:hanging="340" w:left="680"/>
        <w:jc w:val="both"/>
        <w:rPr/>
      </w:pPr>
      <w:r>
        <w:rPr>
          <w:rStyle w:val="Domylnaczcionkaakapitu1"/>
          <w:smallCaps/>
        </w:rPr>
        <w:t>- o</w:t>
      </w:r>
      <w:r>
        <w:rPr>
          <w:rStyle w:val="Domylnaczcionkaakapitu6"/>
        </w:rPr>
        <w:t>świadczenie poręczyciela lub gwaranta, występującego jako główny dłużnik Zamawiającego w imieniu Wykonawcy, o zapłacie kwoty poręczonej lub gwarantowanej,</w:t>
      </w:r>
      <w:r>
        <w:rPr>
          <w:rStyle w:val="Domylnaczcionkaakapitu6"/>
          <w:color w:val="127622"/>
        </w:rPr>
        <w:t xml:space="preserve"> </w:t>
      </w:r>
      <w:r>
        <w:rPr>
          <w:rStyle w:val="Domylnaczcionkaakapitu6"/>
        </w:rPr>
        <w:t>stanowiącej zabezpieczenie wykonania, bezspornie i niezwłocznie, po otrzymaniu pierwszego wezwania na piśmie od Zamawiającego</w:t>
      </w:r>
      <w:r>
        <w:rPr>
          <w:rStyle w:val="Domylnaczcionkaakapitu1"/>
          <w:smallCaps/>
        </w:rPr>
        <w:t>;</w:t>
      </w:r>
    </w:p>
    <w:p>
      <w:pPr>
        <w:pStyle w:val="Normal"/>
        <w:tabs>
          <w:tab w:val="clear" w:pos="720"/>
          <w:tab w:val="left" w:pos="2834" w:leader="none"/>
        </w:tabs>
        <w:ind w:hanging="227" w:left="567"/>
        <w:jc w:val="both"/>
        <w:rPr/>
      </w:pPr>
      <w:r>
        <w:rPr/>
        <w:t>- postanowienie, iż żadna zmiana czy uzupełnienie lub inna modyfikacja warunków Kontraktu/Umowy lub Robót, które mogą zostać przeprowadzone na podstawie tego Kontraktu/Umowy lub w jakichkolwiek dokumentach kontraktowych, jakie mogą zostać sporządzone między Zamawiającym a Wykonawcą, nie uwalniają poręczyciela lub gwaranta od odpowiedzialności wynikającej z niniejszej gwarancji;</w:t>
      </w:r>
    </w:p>
    <w:p>
      <w:pPr>
        <w:pStyle w:val="Normal"/>
        <w:tabs>
          <w:tab w:val="clear" w:pos="720"/>
          <w:tab w:val="left" w:pos="2834" w:leader="none"/>
        </w:tabs>
        <w:ind w:hanging="227" w:left="567"/>
        <w:jc w:val="both"/>
        <w:rPr/>
      </w:pPr>
      <w:r>
        <w:rPr/>
        <w:t>- oświadczenie, że zrzeka się obowiązku powiadomienia go o takiej zmianie, uzupełnieniu czy modyfikacji w umowie, o ile zmiany nie dotyczą zmian terminu wykonania umowy, zwiększenia wartości umowy oraz wprowadzenia dodatkowego zakresu robót powodującego zmiany wartości umowy lub terminach jego realizacji.</w:t>
      </w:r>
    </w:p>
    <w:p>
      <w:pPr>
        <w:pStyle w:val="Normal"/>
        <w:tabs>
          <w:tab w:val="clear" w:pos="720"/>
          <w:tab w:val="left" w:pos="2266" w:leader="none"/>
        </w:tabs>
        <w:ind w:hanging="227" w:left="283"/>
        <w:jc w:val="both"/>
        <w:rPr/>
      </w:pPr>
      <w:r>
        <w:rPr/>
        <w:t>7. W przypadku wniesienia zabezpieczenia należytego wykonania umowy w formie poręczenia lub gwarancji musi być ona nieodwołalna, gwarant musi zapewnić bezwarunkową zapłatę kwoty poręczenia (gwarancji) na pierwsze żądanie zamawiającego, właściwie podpisane, zawierające oświadczenie zamawiającego, że wykonawca nie wykonał lub nienależycie wykonał umowę bądź nie wykonał lub nienależycie wykonał umowę w okresie rękojmi. Zamawiający nie dopuszcza żądania przez wystawcę poręczenia lub gwarancji dodatkowych dokumentów, warunkujących zapłatę.</w:t>
      </w:r>
    </w:p>
    <w:p>
      <w:pPr>
        <w:pStyle w:val="Normal"/>
        <w:tabs>
          <w:tab w:val="clear" w:pos="720"/>
          <w:tab w:val="left" w:pos="2266" w:leader="none"/>
        </w:tabs>
        <w:ind w:hanging="227" w:left="283"/>
        <w:jc w:val="both"/>
        <w:rPr/>
      </w:pPr>
      <w:r>
        <w:rPr/>
        <w:t xml:space="preserve">8.Zabezpieczenie w formie poręczeń lub gwarancji musi wskazywać jako beneficjenta:                    </w:t>
      </w:r>
    </w:p>
    <w:p>
      <w:pPr>
        <w:pStyle w:val="Normal"/>
        <w:jc w:val="both"/>
        <w:rPr/>
      </w:pPr>
      <w:r>
        <w:rPr/>
        <w:t xml:space="preserve">    </w:t>
      </w:r>
      <w:r>
        <w:rPr/>
        <w:t>Zakład Gospodarki Mieszkaniowej Sp. z o.o.</w:t>
      </w:r>
      <w:r>
        <w:rPr>
          <w:rStyle w:val="Domylnaczcionkaakapitu1"/>
        </w:rPr>
        <w:t>, ul. Rawska 33, 96-100 Skierniewice.</w:t>
      </w:r>
    </w:p>
    <w:p>
      <w:pPr>
        <w:pStyle w:val="Normal"/>
        <w:tabs>
          <w:tab w:val="clear" w:pos="720"/>
          <w:tab w:val="left" w:pos="2266" w:leader="none"/>
        </w:tabs>
        <w:ind w:hanging="227" w:left="283"/>
        <w:jc w:val="both"/>
        <w:rPr/>
      </w:pPr>
      <w:r>
        <w:rPr/>
        <w:t>9.Zabezpieczenie w formie poręczeń lub gwarancji musi podlegać prawu polskiemu,                         a w sporach z poręczeń lub gwarancji wyłącznie właściwy musi być sąd powszechny siedziby Zamawiającego.</w:t>
      </w:r>
    </w:p>
    <w:p>
      <w:pPr>
        <w:pStyle w:val="Normal"/>
        <w:tabs>
          <w:tab w:val="clear" w:pos="720"/>
          <w:tab w:val="left" w:pos="2266" w:leader="none"/>
        </w:tabs>
        <w:ind w:hanging="227" w:left="283"/>
        <w:jc w:val="both"/>
        <w:rPr/>
      </w:pPr>
      <w:r>
        <w:rPr/>
        <w:t>10. Zamawiający zwraca zabezpieczenie w terminie 30 dni od dnia wykonania zamówienia                     i uznania przez Zamawiającego za należycie wykonane. Zamawiający może pozostawić na zabezpieczenie roszczeń z tytułu rękojmi za wady lub gwarancji kwotę nie przekraczającą 30% zabezpieczenia, która zostanie zwrócona nie później niż w 15 dniu po upływie okresu rękojmi za wady lub gwarancji.</w:t>
      </w:r>
    </w:p>
    <w:p>
      <w:pPr>
        <w:pStyle w:val="Standard"/>
        <w:numPr>
          <w:ilvl w:val="0"/>
          <w:numId w:val="2"/>
        </w:numPr>
        <w:spacing w:lineRule="auto" w:line="276"/>
        <w:jc w:val="both"/>
        <w:rPr>
          <w:rFonts w:ascii="Arial" w:hAnsi="Arial" w:eastAsia="Arial"/>
          <w:sz w:val="22"/>
          <w:szCs w:val="22"/>
        </w:rPr>
      </w:pPr>
      <w:r>
        <w:rPr>
          <w:rFonts w:eastAsia="Arial" w:ascii="Arial" w:hAnsi="Arial"/>
          <w:sz w:val="22"/>
          <w:szCs w:val="22"/>
        </w:rPr>
      </w:r>
    </w:p>
    <w:p>
      <w:pPr>
        <w:pStyle w:val="Heading2"/>
        <w:tabs>
          <w:tab w:val="clear" w:pos="720"/>
          <w:tab w:val="left" w:pos="0" w:leader="none"/>
        </w:tabs>
        <w:spacing w:lineRule="auto" w:line="312" w:before="0" w:after="0"/>
        <w:jc w:val="both"/>
        <w:rPr>
          <w:rFonts w:hint="eastAsia"/>
          <w:sz w:val="30"/>
          <w:szCs w:val="30"/>
        </w:rPr>
      </w:pPr>
      <w:r>
        <w:rPr>
          <w:sz w:val="30"/>
          <w:szCs w:val="30"/>
        </w:rPr>
        <w:t>XXIII. Informacje o treści zawieranej umowy oraz możliwości jej zmiany</w:t>
      </w:r>
    </w:p>
    <w:p>
      <w:pPr>
        <w:pStyle w:val="Normal"/>
        <w:numPr>
          <w:ilvl w:val="0"/>
          <w:numId w:val="19"/>
        </w:numPr>
        <w:ind w:hanging="426" w:left="426"/>
        <w:jc w:val="both"/>
        <w:rPr/>
      </w:pPr>
      <w:r>
        <w:rPr/>
        <w:t>Wybrany Wykonawca jest zobowiązany do zawarcia umowy w sprawie zamówienia publicznego na warunkach określonych we Wzorze Umowy, stanowiącym</w:t>
      </w:r>
      <w:r>
        <w:rPr>
          <w:rStyle w:val="Domylnaczcionkaakapitu1"/>
          <w:b/>
          <w:bCs/>
        </w:rPr>
        <w:t xml:space="preserve"> załącznik nr 4 do SWZ.</w:t>
      </w:r>
    </w:p>
    <w:p>
      <w:pPr>
        <w:pStyle w:val="Normal"/>
        <w:numPr>
          <w:ilvl w:val="0"/>
          <w:numId w:val="19"/>
        </w:numPr>
        <w:ind w:hanging="426" w:left="426"/>
        <w:jc w:val="both"/>
        <w:rPr/>
      </w:pPr>
      <w:r>
        <w:rPr/>
        <w:t>Zakres świadczenia Wykonawcy wynikający z umowy jest tożsamy z jego zobowiązaniem zawartym w ofercie.</w:t>
      </w:r>
    </w:p>
    <w:p>
      <w:pPr>
        <w:pStyle w:val="Normal"/>
        <w:numPr>
          <w:ilvl w:val="0"/>
          <w:numId w:val="19"/>
        </w:numPr>
        <w:ind w:hanging="426" w:left="426"/>
        <w:jc w:val="both"/>
        <w:rPr/>
      </w:pPr>
      <w:r>
        <w:rPr/>
        <w:t xml:space="preserve">Zamawiający przewiduje możliwość zmiany zawartej umowy w stosunku do treści wybranej oferty w zakresie uregulowanym w art. 455 PZP oraz wskazanym we Wzorze Umowy, stanowiącym  </w:t>
      </w:r>
      <w:r>
        <w:rPr>
          <w:b/>
          <w:bCs/>
        </w:rPr>
        <w:t>załącznik nr 4 do SWZ.</w:t>
      </w:r>
    </w:p>
    <w:p>
      <w:pPr>
        <w:pStyle w:val="Normal"/>
        <w:numPr>
          <w:ilvl w:val="0"/>
          <w:numId w:val="19"/>
        </w:numPr>
        <w:ind w:hanging="426" w:left="426"/>
        <w:jc w:val="both"/>
        <w:rPr/>
      </w:pPr>
      <w:r>
        <w:rPr/>
        <w:t>Zmiana umowy wymaga dla swej ważności, pod rygorem nieważności, zachowania formy pisemnej.</w:t>
      </w:r>
    </w:p>
    <w:p>
      <w:pPr>
        <w:pStyle w:val="Normal"/>
        <w:jc w:val="both"/>
        <w:rPr/>
      </w:pPr>
      <w:r>
        <w:rPr/>
      </w:r>
    </w:p>
    <w:p>
      <w:pPr>
        <w:pStyle w:val="Normal"/>
        <w:jc w:val="both"/>
        <w:rPr/>
      </w:pPr>
      <w:r>
        <w:rPr/>
      </w:r>
    </w:p>
    <w:p>
      <w:pPr>
        <w:pStyle w:val="Normal"/>
        <w:jc w:val="both"/>
        <w:rPr>
          <w:rStyle w:val="Domylnaczcionkaakapitu1"/>
          <w:sz w:val="20"/>
          <w:szCs w:val="20"/>
        </w:rPr>
      </w:pPr>
      <w:bookmarkStart w:id="18" w:name="_kmfqfyi30wag"/>
      <w:bookmarkEnd w:id="18"/>
      <w:r>
        <w:rPr>
          <w:sz w:val="30"/>
          <w:szCs w:val="30"/>
        </w:rPr>
        <w:t>XXIV. Pouczenie o środkach ochrony prawnej przysługujących Wykonawcy</w:t>
      </w:r>
    </w:p>
    <w:p>
      <w:pPr>
        <w:pStyle w:val="Normal"/>
        <w:numPr>
          <w:ilvl w:val="0"/>
          <w:numId w:val="15"/>
        </w:numPr>
        <w:ind w:hanging="363" w:left="426"/>
        <w:jc w:val="both"/>
        <w:rPr/>
      </w:pPr>
      <w:r>
        <w:rPr>
          <w:rStyle w:val="Domylnaczcionkaakapitu1"/>
          <w:sz w:val="20"/>
          <w:szCs w:val="20"/>
        </w:rPr>
        <w:t>Ś</w:t>
      </w:r>
      <w:r>
        <w:rPr/>
        <w:t>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pPr>
        <w:pStyle w:val="Normal"/>
        <w:numPr>
          <w:ilvl w:val="0"/>
          <w:numId w:val="15"/>
        </w:numPr>
        <w:ind w:hanging="363" w:left="426"/>
        <w:jc w:val="both"/>
        <w:rPr/>
      </w:pPr>
      <w:r>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pPr>
        <w:pStyle w:val="Normal"/>
        <w:numPr>
          <w:ilvl w:val="0"/>
          <w:numId w:val="15"/>
        </w:numPr>
        <w:ind w:hanging="363" w:left="426"/>
        <w:jc w:val="both"/>
        <w:rPr/>
      </w:pPr>
      <w:r>
        <w:rPr/>
        <w:t>Odwołanie przysługuje na:</w:t>
      </w:r>
    </w:p>
    <w:p>
      <w:pPr>
        <w:pStyle w:val="Normal"/>
        <w:ind w:hanging="425" w:left="868"/>
        <w:jc w:val="both"/>
        <w:rPr/>
      </w:pPr>
      <w:r>
        <w:rPr/>
        <w:t>1)</w:t>
        <w:tab/>
        <w:t>niezgodną z przepisami ustawy czynność Zamawiającego, podjętą w postępowaniu   o udzielenie zamówienia, w tym na projektowane postanowienie umowy;</w:t>
      </w:r>
    </w:p>
    <w:p>
      <w:pPr>
        <w:pStyle w:val="Normal"/>
        <w:ind w:hanging="425" w:left="868"/>
        <w:jc w:val="both"/>
        <w:rPr/>
      </w:pPr>
      <w:r>
        <w:rPr/>
        <w:t>2)</w:t>
        <w:tab/>
        <w:t>zaniechanie czynności w postępowaniu o udzielenie zamówienia, do której zamawiający był obowiązany na podstawie ustawy;</w:t>
      </w:r>
    </w:p>
    <w:p>
      <w:pPr>
        <w:pStyle w:val="Normal"/>
        <w:numPr>
          <w:ilvl w:val="0"/>
          <w:numId w:val="15"/>
        </w:numPr>
        <w:ind w:hanging="363" w:left="426"/>
        <w:jc w:val="both"/>
        <w:rPr/>
      </w:pPr>
      <w:r>
        <w:rPr/>
        <w:t>Odwołanie wnosi się do Prezesa Izby. Odwołujący przekazuje kopię odwołania  zamawiającemu przed upływem terminu do wniesienia odwołania w taki sposób, aby mógł on zapoznać się z jego treścią przed upływem tego terminu.</w:t>
      </w:r>
    </w:p>
    <w:p>
      <w:pPr>
        <w:pStyle w:val="Normal"/>
        <w:numPr>
          <w:ilvl w:val="0"/>
          <w:numId w:val="15"/>
        </w:numPr>
        <w:ind w:hanging="363" w:left="426"/>
        <w:jc w:val="both"/>
        <w:rPr/>
      </w:pPr>
      <w:r>
        <w:rPr/>
        <w:t>Odwołanie wobec treści ogłoszenia lub treści SWZ wnosi się w terminie 5 dni od dnia zamieszczenia ogłoszenia w Biuletynie Zamówień Publicznych lub treści SWZ na stronie internetowej.</w:t>
      </w:r>
    </w:p>
    <w:p>
      <w:pPr>
        <w:pStyle w:val="Normal"/>
        <w:numPr>
          <w:ilvl w:val="0"/>
          <w:numId w:val="15"/>
        </w:numPr>
        <w:ind w:hanging="363" w:left="426"/>
        <w:jc w:val="both"/>
        <w:rPr/>
      </w:pPr>
      <w:r>
        <w:rPr/>
        <w:t>Odwołanie wnosi się w terminie:</w:t>
      </w:r>
    </w:p>
    <w:p>
      <w:pPr>
        <w:pStyle w:val="Normal"/>
        <w:ind w:hanging="425" w:left="851"/>
        <w:jc w:val="both"/>
        <w:rPr/>
      </w:pPr>
      <w:r>
        <w:rPr/>
        <w:t>1)</w:t>
        <w:tab/>
        <w:t>5 dni od dnia przekazania informacji o czynności zamawiającego stanowiącej podstawę jego wniesienia, jeżeli informacja została przekazana przy użyciu środków komunikacji elektronicznej,</w:t>
      </w:r>
    </w:p>
    <w:p>
      <w:pPr>
        <w:pStyle w:val="Normal"/>
        <w:ind w:hanging="425" w:left="851"/>
        <w:jc w:val="both"/>
        <w:rPr/>
      </w:pPr>
      <w:r>
        <w:rPr/>
        <w:t>2)</w:t>
        <w:tab/>
        <w:t>10 dni od dnia przekazania informacji o czynności zamawiającego stanowiącej podstawę jego wniesienia, jeżeli informacja została przekazana w sposób inny niż określony w pkt 1).</w:t>
      </w:r>
    </w:p>
    <w:p>
      <w:pPr>
        <w:pStyle w:val="Normal"/>
        <w:numPr>
          <w:ilvl w:val="0"/>
          <w:numId w:val="15"/>
        </w:numPr>
        <w:ind w:hanging="363" w:left="426"/>
        <w:jc w:val="both"/>
        <w:rPr/>
      </w:pPr>
      <w:r>
        <w:rPr/>
        <w:t>Odwołanie w przypadkach innych niż określone w pkt 5 i 6 wnosi się w terminie 5 dni od dnia, w którym powzięto lub przy zachowaniu należytej staranności można było powziąć wiadomość o okolicznościach stanowiących podstawę jego wniesienia</w:t>
      </w:r>
    </w:p>
    <w:p>
      <w:pPr>
        <w:pStyle w:val="Normal"/>
        <w:numPr>
          <w:ilvl w:val="0"/>
          <w:numId w:val="15"/>
        </w:numPr>
        <w:ind w:hanging="363" w:left="426"/>
        <w:jc w:val="both"/>
        <w:rPr/>
      </w:pPr>
      <w:r>
        <w:rPr/>
        <w:t xml:space="preserve">Na orzeczenie Izby oraz postanowienie Prezesa Izby, o którym mowa w art. 519 ust. 1 ustawy PZP, stronom oraz uczestnikom postępowania odwoławczego przysługuje skarga </w:t>
        <w:tab/>
        <w:t>do sądu.</w:t>
      </w:r>
    </w:p>
    <w:p>
      <w:pPr>
        <w:pStyle w:val="Normal"/>
        <w:numPr>
          <w:ilvl w:val="0"/>
          <w:numId w:val="15"/>
        </w:numPr>
        <w:ind w:hanging="363" w:left="426"/>
        <w:jc w:val="both"/>
        <w:rPr/>
      </w:pPr>
      <w:r>
        <w:rPr/>
        <w:t>W postępowaniu toczącym się wskutek wniesienia skargi stosuje się odpowiednio przepisy ustawy z dnia 17 listopada 1964 r. - Kodeks postępowania cywilnego o apelacji, jeżeli przepisy niniejszego rozdziału nie stanowią inaczej.</w:t>
      </w:r>
    </w:p>
    <w:p>
      <w:pPr>
        <w:pStyle w:val="Normal"/>
        <w:numPr>
          <w:ilvl w:val="0"/>
          <w:numId w:val="15"/>
        </w:numPr>
        <w:ind w:hanging="363" w:left="426"/>
        <w:jc w:val="both"/>
        <w:rPr/>
      </w:pPr>
      <w:r>
        <w:rPr/>
        <w:t>Skargę wnosi się do Sądu Okręgowego w Warszawie - sądu zamówień publicznych, zwanego dalej "sądem zamówień publicznych".</w:t>
      </w:r>
    </w:p>
    <w:p>
      <w:pPr>
        <w:pStyle w:val="Normal"/>
        <w:numPr>
          <w:ilvl w:val="0"/>
          <w:numId w:val="15"/>
        </w:numPr>
        <w:ind w:hanging="363" w:left="426"/>
        <w:jc w:val="both"/>
        <w:rPr/>
      </w:pPr>
      <w:r>
        <w:rPr/>
        <w:t xml:space="preserve">Skargę wnosi się za pośrednictwem Prezesa Izby, w terminie 14 dni od dnia doręczenia orzeczenia Izby lub postanowienia Prezesa Izby, o którym mowa w art. 519 ust. 1 ustawy </w:t>
        <w:tab/>
        <w:t xml:space="preserve">PZP, przesyłając jednocześnie jej odpis przeciwnikowi skargi. Złożenie skargi </w:t>
        <w:br/>
        <w:t xml:space="preserve">w placówce pocztowej operatora wyznaczonego w rozumieniu ustawy z dnia 23 listopada </w:t>
        <w:tab/>
        <w:t>2012 r. - Prawo pocztowe jest równoznaczne z jej wniesieniem.</w:t>
      </w:r>
    </w:p>
    <w:p>
      <w:pPr>
        <w:pStyle w:val="Normal"/>
        <w:numPr>
          <w:ilvl w:val="0"/>
          <w:numId w:val="15"/>
        </w:numPr>
        <w:spacing w:lineRule="auto" w:line="240"/>
        <w:ind w:hanging="363" w:left="426"/>
        <w:jc w:val="both"/>
        <w:rPr/>
      </w:pPr>
      <w:r>
        <w:rPr/>
        <w:t>Prezes Izby przekazuje skargę wraz z aktami postępowania odwoławczego do sądu zamówień publicznych w terminie 7 dni od dnia jej otrzymania.</w:t>
      </w:r>
    </w:p>
    <w:p>
      <w:pPr>
        <w:pStyle w:val="Normal"/>
        <w:spacing w:lineRule="auto" w:line="240"/>
        <w:ind w:hanging="363" w:left="426"/>
        <w:jc w:val="both"/>
        <w:rPr/>
      </w:pPr>
      <w:r>
        <w:rPr/>
      </w:r>
    </w:p>
    <w:p>
      <w:pPr>
        <w:pStyle w:val="Normal"/>
        <w:spacing w:lineRule="auto" w:line="240"/>
        <w:ind w:hanging="363" w:left="426"/>
        <w:jc w:val="both"/>
        <w:rPr/>
      </w:pPr>
      <w:r>
        <w:rPr/>
      </w:r>
    </w:p>
    <w:p>
      <w:pPr>
        <w:pStyle w:val="Heading2"/>
        <w:tabs>
          <w:tab w:val="clear" w:pos="720"/>
          <w:tab w:val="left" w:pos="0" w:leader="none"/>
        </w:tabs>
        <w:spacing w:lineRule="auto" w:line="312" w:before="0" w:after="119"/>
        <w:jc w:val="both"/>
        <w:rPr>
          <w:rFonts w:hint="eastAsia"/>
        </w:rPr>
      </w:pPr>
      <w:bookmarkStart w:id="19" w:name="_eieky3j3i88l"/>
      <w:bookmarkEnd w:id="19"/>
      <w:r>
        <w:rPr/>
        <w:t>XXV.</w:t>
      </w:r>
      <w:r>
        <w:rPr>
          <w:color w:val="000000"/>
        </w:rPr>
        <w:t xml:space="preserve"> </w:t>
      </w:r>
      <w:hyperlink w:anchor="_uarrfy5kozla" w:tgtFrame="_blank">
        <w:r>
          <w:rPr>
            <w:rStyle w:val="Style1"/>
            <w:color w:val="auto"/>
            <w:u w:val="single"/>
          </w:rPr>
          <w:t>Spis załączników</w:t>
        </w:r>
      </w:hyperlink>
    </w:p>
    <w:p>
      <w:pPr>
        <w:pStyle w:val="Normal"/>
        <w:numPr>
          <w:ilvl w:val="0"/>
          <w:numId w:val="14"/>
        </w:numPr>
        <w:rPr/>
      </w:pPr>
      <w:r>
        <w:rPr/>
        <w:t>Załącznik nr 1 – potwierdzenie dot. wizji lokalnej</w:t>
      </w:r>
    </w:p>
    <w:p>
      <w:pPr>
        <w:pStyle w:val="Normal"/>
        <w:numPr>
          <w:ilvl w:val="0"/>
          <w:numId w:val="14"/>
        </w:numPr>
        <w:rPr/>
      </w:pPr>
      <w:r>
        <w:rPr/>
        <w:t>Załącznik Nr 2 – oświadczenie o przesłankach wykluczenia z postępowania</w:t>
      </w:r>
    </w:p>
    <w:p>
      <w:pPr>
        <w:pStyle w:val="Normal"/>
        <w:numPr>
          <w:ilvl w:val="0"/>
          <w:numId w:val="14"/>
        </w:numPr>
        <w:rPr/>
      </w:pPr>
      <w:r>
        <w:rPr/>
        <w:t>Załącznik Nr 3 – oświadczenie o spełnianiu warunków udziału w postępowaniu</w:t>
      </w:r>
    </w:p>
    <w:p>
      <w:pPr>
        <w:pStyle w:val="Normal"/>
        <w:numPr>
          <w:ilvl w:val="0"/>
          <w:numId w:val="14"/>
        </w:numPr>
        <w:rPr/>
      </w:pPr>
      <w:r>
        <w:rPr/>
        <w:t>Załącznik Nr 4 – wzór umowy</w:t>
      </w:r>
    </w:p>
    <w:p>
      <w:pPr>
        <w:pStyle w:val="Normal"/>
        <w:numPr>
          <w:ilvl w:val="0"/>
          <w:numId w:val="14"/>
        </w:numPr>
        <w:rPr/>
      </w:pPr>
      <w:r>
        <w:rPr/>
        <w:t>Załącznik Nr 5 –  oświadczenie dot. grupy kapitałowej</w:t>
      </w:r>
    </w:p>
    <w:p>
      <w:pPr>
        <w:pStyle w:val="Normal"/>
        <w:numPr>
          <w:ilvl w:val="0"/>
          <w:numId w:val="14"/>
        </w:numPr>
        <w:rPr/>
      </w:pPr>
      <w:r>
        <w:rPr/>
        <w:t>Załącznik Nr 6 –  dokumentacja projektowa</w:t>
      </w:r>
    </w:p>
    <w:p>
      <w:pPr>
        <w:pStyle w:val="Normal"/>
        <w:numPr>
          <w:ilvl w:val="0"/>
          <w:numId w:val="14"/>
        </w:numPr>
        <w:rPr/>
      </w:pPr>
      <w:r>
        <w:rPr/>
        <w:t xml:space="preserve">Załącznik Nr 7 – wykaz cen </w:t>
      </w:r>
    </w:p>
    <w:p>
      <w:pPr>
        <w:pStyle w:val="Normal"/>
        <w:numPr>
          <w:ilvl w:val="0"/>
          <w:numId w:val="14"/>
        </w:numPr>
        <w:rPr/>
      </w:pPr>
      <w:r>
        <w:rPr/>
        <w:t>Załącznik nr 8 –  wykaz osób</w:t>
      </w:r>
    </w:p>
    <w:p>
      <w:pPr>
        <w:pStyle w:val="Normal"/>
        <w:numPr>
          <w:ilvl w:val="0"/>
          <w:numId w:val="14"/>
        </w:numPr>
        <w:rPr/>
      </w:pPr>
      <w:r>
        <w:rPr/>
        <w:t>Załącznik nr 9 – wykaz robót</w:t>
      </w:r>
    </w:p>
    <w:p>
      <w:pPr>
        <w:pStyle w:val="Normal"/>
        <w:numPr>
          <w:ilvl w:val="0"/>
          <w:numId w:val="14"/>
        </w:numPr>
        <w:rPr/>
      </w:pPr>
      <w:r>
        <w:rPr/>
        <w:t>Załącznik nr 10 -  zobowiązanie podmiotu udostępniającego zasoby</w:t>
      </w:r>
    </w:p>
    <w:p>
      <w:pPr>
        <w:pStyle w:val="Normal"/>
        <w:numPr>
          <w:ilvl w:val="0"/>
          <w:numId w:val="14"/>
        </w:numPr>
        <w:rPr/>
      </w:pPr>
      <w:r>
        <w:rPr/>
        <w:t xml:space="preserve">Załącznik nr 11 – oświadczenie Wykonawców wspólnie ubiegających się o udzielenie zamówienia  </w:t>
      </w:r>
    </w:p>
    <w:p>
      <w:pPr>
        <w:pStyle w:val="Normal"/>
        <w:numPr>
          <w:ilvl w:val="0"/>
          <w:numId w:val="14"/>
        </w:numPr>
        <w:rPr/>
      </w:pPr>
      <w:r>
        <w:rPr/>
        <w:t>Załącznik nr 12 – oświadczenie podmiotu udostępniającego Wykonawcy swoje zasoby</w:t>
      </w:r>
      <w:r>
        <w:rPr>
          <w:color w:val="CE181E"/>
        </w:rPr>
        <w:t xml:space="preserve"> </w:t>
      </w:r>
    </w:p>
    <w:p>
      <w:pPr>
        <w:pStyle w:val="Normal"/>
        <w:ind w:left="720"/>
        <w:rPr/>
      </w:pPr>
      <w:r>
        <w:rPr/>
      </w:r>
    </w:p>
    <w:p>
      <w:pPr>
        <w:pStyle w:val="Normal"/>
        <w:spacing w:lineRule="auto" w:line="240"/>
        <w:ind w:left="1440"/>
        <w:jc w:val="center"/>
        <w:rPr/>
      </w:pPr>
      <w:r>
        <w:rPr/>
      </w:r>
    </w:p>
    <w:sectPr>
      <w:headerReference w:type="even" r:id="rId9"/>
      <w:headerReference w:type="default" r:id="rId10"/>
      <w:headerReference w:type="first" r:id="rId11"/>
      <w:footerReference w:type="even" r:id="rId12"/>
      <w:footerReference w:type="default" r:id="rId13"/>
      <w:footerReference w:type="first" r:id="rId14"/>
      <w:type w:val="nextPage"/>
      <w:pgSz w:w="11906" w:h="16838"/>
      <w:pgMar w:left="1185" w:right="1451" w:gutter="0" w:header="720" w:top="851" w:footer="720" w:bottom="851"/>
      <w:pgNumType w:fmt="decimal"/>
      <w:formProt w:val="false"/>
      <w:textDirection w:val="lrTb"/>
      <w:docGrid w:type="default" w:linePitch="600" w:charSpace="3686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Arial">
    <w:charset w:val="ee"/>
    <w:family w:val="swiss"/>
    <w:pitch w:val="variable"/>
  </w:font>
  <w:font w:name="Liberation Sans">
    <w:altName w:val="Arial"/>
    <w:charset w:val="ee"/>
    <w:family w:val="swiss"/>
    <w:pitch w:val="variable"/>
  </w:font>
  <w:font w:name="Calibri">
    <w:charset w:val="ee"/>
    <w:family w:val="swiss"/>
    <w:pitch w:val="variable"/>
  </w:font>
  <w:font w:name="Symbol">
    <w:charset w:val="ee"/>
    <w:family w:val="roman"/>
    <w:pitch w:val="variable"/>
  </w:font>
  <w:font w:name="OpenSymbol">
    <w:altName w:val="Arial Unicode MS"/>
    <w:charset w:val="ee"/>
    <w:family w:val="roman"/>
    <w:pitch w:val="variable"/>
  </w:font>
  <w:font w:name="Times New Roman">
    <w:charset w:val="ee"/>
    <w:family w:val="roman"/>
    <w:pitch w:val="variable"/>
  </w:font>
  <w:font w:name="Wingdings">
    <w:charset w:val="ee"/>
    <w:family w:val="roman"/>
    <w:pitch w:val="variable"/>
  </w:font>
  <w:font w:name="Courier New">
    <w:charset w:val="ee"/>
    <w:family w:val="roman"/>
    <w:pitch w:val="variable"/>
  </w:font>
  <w:font w:name="Segoe UI">
    <w:charset w:val="ee"/>
    <w:family w:val="swiss"/>
    <w:pitch w:val="variable"/>
  </w:font>
  <w:font w:name="Nimbus Roman No9 L">
    <w:altName w:val="Times New Roman"/>
    <w:charset w:val="ee"/>
    <w:family w:val="swiss"/>
    <w:pitch w:val="variable"/>
  </w:font>
  <w:font w:name="Arial Narrow">
    <w:charset w:val="ee"/>
    <w:family w:val="swiss"/>
    <w:pitch w:val="variable"/>
  </w:font>
  <w:font w:name="Trebuchet MS">
    <w:charset w:val="ee"/>
    <w:family w:val="swiss"/>
    <w:pitch w:val="variable"/>
  </w:font>
  <w:font w:name="Tahoma">
    <w:charset w:val="ee"/>
    <w:family w:val="swiss"/>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pPr>
    <w:r>
      <w:rPr/>
      <w:fldChar w:fldCharType="begin"/>
    </w:r>
    <w:r>
      <w:rPr/>
      <w:instrText xml:space="preserve"> PAGE </w:instrText>
    </w:r>
    <w:r>
      <w:rPr/>
      <w:fldChar w:fldCharType="separate"/>
    </w:r>
    <w:r>
      <w:rPr/>
      <w:t>25</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pPr>
    <w:r>
      <w:rPr/>
      <w:fldChar w:fldCharType="begin"/>
    </w:r>
    <w:r>
      <w:rPr/>
      <w:instrText xml:space="preserve"> PAGE </w:instrText>
    </w:r>
    <w:r>
      <w:rPr/>
      <w:fldChar w:fldCharType="separate"/>
    </w:r>
    <w:r>
      <w:rPr/>
      <w:t>25</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Fonts w:eastAsia="Calibri" w:cs="Calibri" w:ascii="Calibri" w:hAnsi="Calibri"/>
        <w:color w:val="434343"/>
      </w:rPr>
      <w:t>Nr postępowania:</w:t>
    </w:r>
    <w:r>
      <w:rPr>
        <w:rFonts w:eastAsia="Calibri" w:cs="Calibri" w:ascii="Calibri" w:hAnsi="Calibri"/>
        <w:color w:val="C9211E"/>
      </w:rPr>
      <w:t xml:space="preserve"> </w:t>
    </w:r>
    <w:r>
      <w:rPr>
        <w:rFonts w:eastAsia="Calibri" w:cs="Calibri" w:ascii="Calibri" w:hAnsi="Calibri"/>
      </w:rPr>
      <w:t>ZP/1/2026</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Fonts w:eastAsia="Calibri" w:cs="Calibri" w:ascii="Calibri" w:hAnsi="Calibri"/>
        <w:color w:val="434343"/>
      </w:rPr>
      <w:t>Nr postępowania:</w:t>
    </w:r>
    <w:r>
      <w:rPr>
        <w:rFonts w:eastAsia="Calibri" w:cs="Calibri" w:ascii="Calibri" w:hAnsi="Calibri"/>
        <w:color w:val="C9211E"/>
      </w:rPr>
      <w:t xml:space="preserve"> </w:t>
    </w:r>
    <w:r>
      <w:rPr>
        <w:rFonts w:eastAsia="Calibri" w:cs="Calibri" w:ascii="Calibri" w:hAnsi="Calibri"/>
      </w:rPr>
      <w:t>ZP/1/2026</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decimal"/>
      <w:lvlText w:val="%1."/>
      <w:lvlJc w:val="left"/>
      <w:pPr>
        <w:tabs>
          <w:tab w:val="num" w:pos="0"/>
        </w:tabs>
        <w:ind w:left="916" w:hanging="360"/>
      </w:pPr>
      <w:rPr>
        <w:rFonts w:cs="Calibri"/>
        <w:i w:val="false"/>
        <w:sz w:val="22"/>
        <w:szCs w:val="22"/>
        <w:lang w:eastAsia="pl-PL"/>
      </w:rPr>
    </w:lvl>
    <w:lvl w:ilvl="1">
      <w:start w:val="1"/>
      <w:numFmt w:val="lowerLetter"/>
      <w:lvlText w:val="%1.%2."/>
      <w:lvlJc w:val="left"/>
      <w:pPr>
        <w:tabs>
          <w:tab w:val="num" w:pos="0"/>
        </w:tabs>
        <w:ind w:left="1789" w:hanging="360"/>
      </w:pPr>
      <w:rPr>
        <w:position w:val="0"/>
        <w:sz w:val="22"/>
        <w:vertAlign w:val="baseline"/>
      </w:rPr>
    </w:lvl>
    <w:lvl w:ilvl="2">
      <w:start w:val="1"/>
      <w:numFmt w:val="lowerRoman"/>
      <w:lvlText w:val="%2.%3."/>
      <w:lvlJc w:val="right"/>
      <w:pPr>
        <w:tabs>
          <w:tab w:val="num" w:pos="0"/>
        </w:tabs>
        <w:ind w:left="2509" w:hanging="180"/>
      </w:pPr>
      <w:rPr>
        <w:position w:val="0"/>
        <w:sz w:val="22"/>
        <w:vertAlign w:val="baseline"/>
      </w:rPr>
    </w:lvl>
    <w:lvl w:ilvl="3">
      <w:start w:val="1"/>
      <w:numFmt w:val="decimal"/>
      <w:lvlText w:val="%3.%4."/>
      <w:lvlJc w:val="left"/>
      <w:pPr>
        <w:tabs>
          <w:tab w:val="num" w:pos="0"/>
        </w:tabs>
        <w:ind w:left="3229" w:hanging="360"/>
      </w:pPr>
      <w:rPr>
        <w:position w:val="0"/>
        <w:sz w:val="22"/>
        <w:vertAlign w:val="baseline"/>
      </w:rPr>
    </w:lvl>
    <w:lvl w:ilvl="4">
      <w:start w:val="1"/>
      <w:numFmt w:val="lowerLetter"/>
      <w:lvlText w:val="%4.%5."/>
      <w:lvlJc w:val="left"/>
      <w:pPr>
        <w:tabs>
          <w:tab w:val="num" w:pos="0"/>
        </w:tabs>
        <w:ind w:left="3949" w:hanging="360"/>
      </w:pPr>
      <w:rPr>
        <w:position w:val="0"/>
        <w:sz w:val="22"/>
        <w:vertAlign w:val="baseline"/>
      </w:rPr>
    </w:lvl>
    <w:lvl w:ilvl="5">
      <w:start w:val="1"/>
      <w:numFmt w:val="lowerRoman"/>
      <w:lvlText w:val="%5.%6."/>
      <w:lvlJc w:val="right"/>
      <w:pPr>
        <w:tabs>
          <w:tab w:val="num" w:pos="0"/>
        </w:tabs>
        <w:ind w:left="4669" w:hanging="180"/>
      </w:pPr>
      <w:rPr>
        <w:position w:val="0"/>
        <w:sz w:val="22"/>
        <w:vertAlign w:val="baseline"/>
      </w:rPr>
    </w:lvl>
    <w:lvl w:ilvl="6">
      <w:start w:val="1"/>
      <w:numFmt w:val="decimal"/>
      <w:lvlText w:val="%6.%7."/>
      <w:lvlJc w:val="left"/>
      <w:pPr>
        <w:tabs>
          <w:tab w:val="num" w:pos="0"/>
        </w:tabs>
        <w:ind w:left="5389" w:hanging="360"/>
      </w:pPr>
      <w:rPr>
        <w:position w:val="0"/>
        <w:sz w:val="22"/>
        <w:vertAlign w:val="baseline"/>
      </w:rPr>
    </w:lvl>
    <w:lvl w:ilvl="7">
      <w:start w:val="1"/>
      <w:numFmt w:val="lowerLetter"/>
      <w:lvlText w:val="%7.%8."/>
      <w:lvlJc w:val="left"/>
      <w:pPr>
        <w:tabs>
          <w:tab w:val="num" w:pos="0"/>
        </w:tabs>
        <w:ind w:left="6109" w:hanging="360"/>
      </w:pPr>
      <w:rPr>
        <w:position w:val="0"/>
        <w:sz w:val="22"/>
        <w:vertAlign w:val="baseline"/>
      </w:rPr>
    </w:lvl>
    <w:lvl w:ilvl="8">
      <w:start w:val="1"/>
      <w:numFmt w:val="lowerRoman"/>
      <w:lvlText w:val="%8.%9."/>
      <w:lvlJc w:val="right"/>
      <w:pPr>
        <w:tabs>
          <w:tab w:val="num" w:pos="0"/>
        </w:tabs>
        <w:ind w:left="6829" w:hanging="180"/>
      </w:pPr>
      <w:rPr>
        <w:position w:val="0"/>
        <w:sz w:val="22"/>
        <w:vertAlign w:val="baseline"/>
      </w:rPr>
    </w:lvl>
  </w:abstractNum>
  <w:abstractNum w:abstractNumId="4">
    <w:lvl w:ilvl="0">
      <w:start w:val="1"/>
      <w:numFmt w:val="lowerLetter"/>
      <w:lvlText w:val="%1."/>
      <w:lvlJc w:val="left"/>
      <w:pPr>
        <w:tabs>
          <w:tab w:val="num" w:pos="0"/>
        </w:tabs>
        <w:ind w:left="1636" w:hanging="360"/>
      </w:pPr>
      <w:rPr>
        <w:rFonts w:cs="Calibri"/>
        <w:b w:val="false"/>
        <w:i w:val="false"/>
        <w:position w:val="0"/>
        <w:sz w:val="20"/>
        <w:vertAlign w:val="baseline"/>
      </w:rPr>
    </w:lvl>
    <w:lvl w:ilvl="1">
      <w:start w:val="1"/>
      <w:numFmt w:val="lowerLetter"/>
      <w:lvlText w:val="%1.%2."/>
      <w:lvlJc w:val="left"/>
      <w:pPr>
        <w:tabs>
          <w:tab w:val="num" w:pos="0"/>
        </w:tabs>
        <w:ind w:left="2356" w:hanging="360"/>
      </w:pPr>
      <w:rPr>
        <w:position w:val="0"/>
        <w:sz w:val="22"/>
        <w:vertAlign w:val="baseline"/>
      </w:rPr>
    </w:lvl>
    <w:lvl w:ilvl="2">
      <w:start w:val="1"/>
      <w:numFmt w:val="lowerRoman"/>
      <w:lvlText w:val="%2.%3."/>
      <w:lvlJc w:val="right"/>
      <w:pPr>
        <w:tabs>
          <w:tab w:val="num" w:pos="0"/>
        </w:tabs>
        <w:ind w:left="3076" w:hanging="180"/>
      </w:pPr>
      <w:rPr>
        <w:position w:val="0"/>
        <w:sz w:val="22"/>
        <w:vertAlign w:val="baseline"/>
      </w:rPr>
    </w:lvl>
    <w:lvl w:ilvl="3">
      <w:start w:val="1"/>
      <w:numFmt w:val="decimal"/>
      <w:lvlText w:val="%3.%4."/>
      <w:lvlJc w:val="left"/>
      <w:pPr>
        <w:tabs>
          <w:tab w:val="num" w:pos="0"/>
        </w:tabs>
        <w:ind w:left="3796" w:hanging="360"/>
      </w:pPr>
      <w:rPr>
        <w:position w:val="0"/>
        <w:sz w:val="22"/>
        <w:vertAlign w:val="baseline"/>
      </w:rPr>
    </w:lvl>
    <w:lvl w:ilvl="4">
      <w:start w:val="1"/>
      <w:numFmt w:val="lowerLetter"/>
      <w:lvlText w:val="%4.%5."/>
      <w:lvlJc w:val="left"/>
      <w:pPr>
        <w:tabs>
          <w:tab w:val="num" w:pos="0"/>
        </w:tabs>
        <w:ind w:left="4516" w:hanging="360"/>
      </w:pPr>
      <w:rPr>
        <w:position w:val="0"/>
        <w:sz w:val="22"/>
        <w:vertAlign w:val="baseline"/>
      </w:rPr>
    </w:lvl>
    <w:lvl w:ilvl="5">
      <w:start w:val="1"/>
      <w:numFmt w:val="lowerRoman"/>
      <w:lvlText w:val="%5.%6."/>
      <w:lvlJc w:val="right"/>
      <w:pPr>
        <w:tabs>
          <w:tab w:val="num" w:pos="0"/>
        </w:tabs>
        <w:ind w:left="5236" w:hanging="180"/>
      </w:pPr>
      <w:rPr>
        <w:position w:val="0"/>
        <w:sz w:val="22"/>
        <w:vertAlign w:val="baseline"/>
      </w:rPr>
    </w:lvl>
    <w:lvl w:ilvl="6">
      <w:start w:val="1"/>
      <w:numFmt w:val="decimal"/>
      <w:lvlText w:val="%6.%7."/>
      <w:lvlJc w:val="left"/>
      <w:pPr>
        <w:tabs>
          <w:tab w:val="num" w:pos="0"/>
        </w:tabs>
        <w:ind w:left="5956" w:hanging="360"/>
      </w:pPr>
      <w:rPr>
        <w:position w:val="0"/>
        <w:sz w:val="22"/>
        <w:vertAlign w:val="baseline"/>
      </w:rPr>
    </w:lvl>
    <w:lvl w:ilvl="7">
      <w:start w:val="1"/>
      <w:numFmt w:val="lowerLetter"/>
      <w:lvlText w:val="%7.%8."/>
      <w:lvlJc w:val="left"/>
      <w:pPr>
        <w:tabs>
          <w:tab w:val="num" w:pos="0"/>
        </w:tabs>
        <w:ind w:left="6676" w:hanging="360"/>
      </w:pPr>
      <w:rPr>
        <w:position w:val="0"/>
        <w:sz w:val="22"/>
        <w:vertAlign w:val="baseline"/>
      </w:rPr>
    </w:lvl>
    <w:lvl w:ilvl="8">
      <w:start w:val="1"/>
      <w:numFmt w:val="lowerRoman"/>
      <w:lvlText w:val="%8.%9."/>
      <w:lvlJc w:val="right"/>
      <w:pPr>
        <w:tabs>
          <w:tab w:val="num" w:pos="0"/>
        </w:tabs>
        <w:ind w:left="7396" w:hanging="180"/>
      </w:pPr>
      <w:rPr>
        <w:position w:val="0"/>
        <w:sz w:val="22"/>
        <w:vertAlign w:val="baseline"/>
      </w:rPr>
    </w:lvl>
  </w:abstractNum>
  <w:abstractNum w:abstractNumId="5">
    <w:lvl w:ilvl="0">
      <w:start w:val="1"/>
      <w:numFmt w:val="lowerLetter"/>
      <w:lvlText w:val="%1."/>
      <w:lvlJc w:val="left"/>
      <w:pPr>
        <w:tabs>
          <w:tab w:val="num" w:pos="0"/>
        </w:tabs>
        <w:ind w:left="1636" w:hanging="360"/>
      </w:pPr>
      <w:rPr>
        <w:b w:val="false"/>
        <w:position w:val="0"/>
        <w:sz w:val="22"/>
        <w:vertAlign w:val="baseline"/>
      </w:rPr>
    </w:lvl>
    <w:lvl w:ilvl="1">
      <w:start w:val="1"/>
      <w:numFmt w:val="lowerLetter"/>
      <w:lvlText w:val="%1.%2."/>
      <w:lvlJc w:val="left"/>
      <w:pPr>
        <w:tabs>
          <w:tab w:val="num" w:pos="0"/>
        </w:tabs>
        <w:ind w:left="2356" w:hanging="360"/>
      </w:pPr>
      <w:rPr>
        <w:position w:val="0"/>
        <w:sz w:val="22"/>
        <w:vertAlign w:val="baseline"/>
      </w:rPr>
    </w:lvl>
    <w:lvl w:ilvl="2">
      <w:start w:val="1"/>
      <w:numFmt w:val="lowerRoman"/>
      <w:lvlText w:val="%2.%3."/>
      <w:lvlJc w:val="right"/>
      <w:pPr>
        <w:tabs>
          <w:tab w:val="num" w:pos="0"/>
        </w:tabs>
        <w:ind w:left="3076" w:hanging="180"/>
      </w:pPr>
      <w:rPr>
        <w:position w:val="0"/>
        <w:sz w:val="22"/>
        <w:vertAlign w:val="baseline"/>
      </w:rPr>
    </w:lvl>
    <w:lvl w:ilvl="3">
      <w:start w:val="1"/>
      <w:numFmt w:val="decimal"/>
      <w:lvlText w:val="%3.%4."/>
      <w:lvlJc w:val="left"/>
      <w:pPr>
        <w:tabs>
          <w:tab w:val="num" w:pos="0"/>
        </w:tabs>
        <w:ind w:left="3796" w:hanging="360"/>
      </w:pPr>
      <w:rPr>
        <w:position w:val="0"/>
        <w:sz w:val="22"/>
        <w:vertAlign w:val="baseline"/>
      </w:rPr>
    </w:lvl>
    <w:lvl w:ilvl="4">
      <w:start w:val="1"/>
      <w:numFmt w:val="lowerLetter"/>
      <w:lvlText w:val="%4.%5."/>
      <w:lvlJc w:val="left"/>
      <w:pPr>
        <w:tabs>
          <w:tab w:val="num" w:pos="0"/>
        </w:tabs>
        <w:ind w:left="4516" w:hanging="360"/>
      </w:pPr>
      <w:rPr>
        <w:position w:val="0"/>
        <w:sz w:val="22"/>
        <w:vertAlign w:val="baseline"/>
      </w:rPr>
    </w:lvl>
    <w:lvl w:ilvl="5">
      <w:start w:val="1"/>
      <w:numFmt w:val="lowerRoman"/>
      <w:lvlText w:val="%5.%6."/>
      <w:lvlJc w:val="right"/>
      <w:pPr>
        <w:tabs>
          <w:tab w:val="num" w:pos="0"/>
        </w:tabs>
        <w:ind w:left="5236" w:hanging="180"/>
      </w:pPr>
      <w:rPr>
        <w:position w:val="0"/>
        <w:sz w:val="22"/>
        <w:vertAlign w:val="baseline"/>
      </w:rPr>
    </w:lvl>
    <w:lvl w:ilvl="6">
      <w:start w:val="1"/>
      <w:numFmt w:val="decimal"/>
      <w:lvlText w:val="%6.%7."/>
      <w:lvlJc w:val="left"/>
      <w:pPr>
        <w:tabs>
          <w:tab w:val="num" w:pos="0"/>
        </w:tabs>
        <w:ind w:left="5956" w:hanging="360"/>
      </w:pPr>
      <w:rPr>
        <w:position w:val="0"/>
        <w:sz w:val="22"/>
        <w:vertAlign w:val="baseline"/>
      </w:rPr>
    </w:lvl>
    <w:lvl w:ilvl="7">
      <w:start w:val="1"/>
      <w:numFmt w:val="lowerLetter"/>
      <w:lvlText w:val="%7.%8."/>
      <w:lvlJc w:val="left"/>
      <w:pPr>
        <w:tabs>
          <w:tab w:val="num" w:pos="0"/>
        </w:tabs>
        <w:ind w:left="6676" w:hanging="360"/>
      </w:pPr>
      <w:rPr>
        <w:position w:val="0"/>
        <w:sz w:val="22"/>
        <w:vertAlign w:val="baseline"/>
      </w:rPr>
    </w:lvl>
    <w:lvl w:ilvl="8">
      <w:start w:val="1"/>
      <w:numFmt w:val="lowerRoman"/>
      <w:lvlText w:val="%8.%9."/>
      <w:lvlJc w:val="right"/>
      <w:pPr>
        <w:tabs>
          <w:tab w:val="num" w:pos="0"/>
        </w:tabs>
        <w:ind w:left="7396" w:hanging="180"/>
      </w:pPr>
      <w:rPr>
        <w:position w:val="0"/>
        <w:sz w:val="22"/>
        <w:vertAlign w:val="baseline"/>
      </w:rPr>
    </w:lvl>
  </w:abstractNum>
  <w:abstractNum w:abstractNumId="6">
    <w:lvl w:ilvl="0">
      <w:start w:val="1"/>
      <w:numFmt w:val="decimal"/>
      <w:lvlText w:val="%1."/>
      <w:lvlJc w:val="left"/>
      <w:pPr>
        <w:tabs>
          <w:tab w:val="num" w:pos="0"/>
        </w:tabs>
        <w:ind w:left="453" w:hanging="453"/>
      </w:pPr>
      <w:rPr>
        <w:b w:val="false"/>
        <w:color w:val="000000"/>
        <w:position w:val="0"/>
        <w:sz w:val="22"/>
        <w:vertAlign w:val="baseline"/>
      </w:rPr>
    </w:lvl>
    <w:lvl w:ilvl="1">
      <w:start w:val="1"/>
      <w:numFmt w:val="lowerLetter"/>
      <w:lvlText w:val="%1.%2."/>
      <w:lvlJc w:val="left"/>
      <w:pPr>
        <w:tabs>
          <w:tab w:val="num" w:pos="0"/>
        </w:tabs>
        <w:ind w:left="164" w:hanging="360"/>
      </w:pPr>
      <w:rPr>
        <w:position w:val="0"/>
        <w:sz w:val="22"/>
        <w:vertAlign w:val="baseline"/>
      </w:rPr>
    </w:lvl>
    <w:lvl w:ilvl="2">
      <w:start w:val="1"/>
      <w:numFmt w:val="lowerRoman"/>
      <w:lvlText w:val="%2.%3."/>
      <w:lvlJc w:val="right"/>
      <w:pPr>
        <w:tabs>
          <w:tab w:val="num" w:pos="0"/>
        </w:tabs>
        <w:ind w:left="884" w:hanging="180"/>
      </w:pPr>
      <w:rPr>
        <w:position w:val="0"/>
        <w:sz w:val="22"/>
        <w:vertAlign w:val="baseline"/>
      </w:rPr>
    </w:lvl>
    <w:lvl w:ilvl="3">
      <w:start w:val="1"/>
      <w:numFmt w:val="decimal"/>
      <w:lvlText w:val="%3.%4."/>
      <w:lvlJc w:val="left"/>
      <w:pPr>
        <w:tabs>
          <w:tab w:val="num" w:pos="0"/>
        </w:tabs>
        <w:ind w:left="1604" w:hanging="360"/>
      </w:pPr>
      <w:rPr>
        <w:position w:val="0"/>
        <w:sz w:val="22"/>
        <w:vertAlign w:val="baseline"/>
      </w:rPr>
    </w:lvl>
    <w:lvl w:ilvl="4">
      <w:start w:val="1"/>
      <w:numFmt w:val="lowerLetter"/>
      <w:lvlText w:val="%4.%5."/>
      <w:lvlJc w:val="left"/>
      <w:pPr>
        <w:tabs>
          <w:tab w:val="num" w:pos="0"/>
        </w:tabs>
        <w:ind w:left="2324" w:hanging="360"/>
      </w:pPr>
      <w:rPr>
        <w:position w:val="0"/>
        <w:sz w:val="22"/>
        <w:vertAlign w:val="baseline"/>
      </w:rPr>
    </w:lvl>
    <w:lvl w:ilvl="5">
      <w:start w:val="1"/>
      <w:numFmt w:val="lowerRoman"/>
      <w:lvlText w:val="%5.%6."/>
      <w:lvlJc w:val="right"/>
      <w:pPr>
        <w:tabs>
          <w:tab w:val="num" w:pos="0"/>
        </w:tabs>
        <w:ind w:left="3044" w:hanging="180"/>
      </w:pPr>
      <w:rPr>
        <w:position w:val="0"/>
        <w:sz w:val="22"/>
        <w:vertAlign w:val="baseline"/>
      </w:rPr>
    </w:lvl>
    <w:lvl w:ilvl="6">
      <w:start w:val="1"/>
      <w:numFmt w:val="decimal"/>
      <w:lvlText w:val="%6.%7."/>
      <w:lvlJc w:val="left"/>
      <w:pPr>
        <w:tabs>
          <w:tab w:val="num" w:pos="0"/>
        </w:tabs>
        <w:ind w:left="3764" w:hanging="360"/>
      </w:pPr>
      <w:rPr>
        <w:position w:val="0"/>
        <w:sz w:val="22"/>
        <w:vertAlign w:val="baseline"/>
      </w:rPr>
    </w:lvl>
    <w:lvl w:ilvl="7">
      <w:start w:val="1"/>
      <w:numFmt w:val="lowerLetter"/>
      <w:lvlText w:val="%7.%8."/>
      <w:lvlJc w:val="left"/>
      <w:pPr>
        <w:tabs>
          <w:tab w:val="num" w:pos="0"/>
        </w:tabs>
        <w:ind w:left="4484" w:hanging="360"/>
      </w:pPr>
      <w:rPr>
        <w:position w:val="0"/>
        <w:sz w:val="22"/>
        <w:vertAlign w:val="baseline"/>
      </w:rPr>
    </w:lvl>
    <w:lvl w:ilvl="8">
      <w:start w:val="1"/>
      <w:numFmt w:val="lowerRoman"/>
      <w:lvlText w:val="%8.%9."/>
      <w:lvlJc w:val="right"/>
      <w:pPr>
        <w:tabs>
          <w:tab w:val="num" w:pos="0"/>
        </w:tabs>
        <w:ind w:left="5204" w:hanging="180"/>
      </w:pPr>
      <w:rPr>
        <w:position w:val="0"/>
        <w:sz w:val="22"/>
        <w:vertAlign w:val="baseline"/>
      </w:rPr>
    </w:lvl>
  </w:abstractNum>
  <w:abstractNum w:abstractNumId="7">
    <w:lvl w:ilvl="0">
      <w:start w:val="1"/>
      <w:numFmt w:val="decimal"/>
      <w:lvlText w:val="%1."/>
      <w:lvlJc w:val="left"/>
      <w:pPr>
        <w:tabs>
          <w:tab w:val="num" w:pos="0"/>
        </w:tabs>
        <w:ind w:left="928" w:hanging="360"/>
      </w:pPr>
      <w:rPr>
        <w:b/>
        <w:color w:val="000000"/>
        <w:position w:val="0"/>
        <w:sz w:val="22"/>
        <w:vertAlign w:val="baseline"/>
      </w:rPr>
    </w:lvl>
    <w:lvl w:ilvl="1">
      <w:start w:val="1"/>
      <w:numFmt w:val="lowerLetter"/>
      <w:lvlText w:val="%1.%2."/>
      <w:lvlJc w:val="left"/>
      <w:pPr>
        <w:tabs>
          <w:tab w:val="num" w:pos="0"/>
        </w:tabs>
        <w:ind w:left="1724" w:hanging="360"/>
      </w:pPr>
      <w:rPr>
        <w:position w:val="0"/>
        <w:sz w:val="22"/>
        <w:vertAlign w:val="baseline"/>
      </w:rPr>
    </w:lvl>
    <w:lvl w:ilvl="2">
      <w:start w:val="1"/>
      <w:numFmt w:val="lowerRoman"/>
      <w:lvlText w:val="%2.%3."/>
      <w:lvlJc w:val="right"/>
      <w:pPr>
        <w:tabs>
          <w:tab w:val="num" w:pos="0"/>
        </w:tabs>
        <w:ind w:left="2444" w:hanging="180"/>
      </w:pPr>
      <w:rPr>
        <w:position w:val="0"/>
        <w:sz w:val="22"/>
        <w:vertAlign w:val="baseline"/>
      </w:rPr>
    </w:lvl>
    <w:lvl w:ilvl="3">
      <w:start w:val="1"/>
      <w:numFmt w:val="decimal"/>
      <w:lvlText w:val="%3.%4."/>
      <w:lvlJc w:val="left"/>
      <w:pPr>
        <w:tabs>
          <w:tab w:val="num" w:pos="0"/>
        </w:tabs>
        <w:ind w:left="3164" w:hanging="360"/>
      </w:pPr>
      <w:rPr>
        <w:position w:val="0"/>
        <w:sz w:val="22"/>
        <w:vertAlign w:val="baseline"/>
      </w:rPr>
    </w:lvl>
    <w:lvl w:ilvl="4">
      <w:start w:val="1"/>
      <w:numFmt w:val="lowerLetter"/>
      <w:lvlText w:val="%4.%5."/>
      <w:lvlJc w:val="left"/>
      <w:pPr>
        <w:tabs>
          <w:tab w:val="num" w:pos="0"/>
        </w:tabs>
        <w:ind w:left="3884" w:hanging="360"/>
      </w:pPr>
      <w:rPr>
        <w:position w:val="0"/>
        <w:sz w:val="22"/>
        <w:vertAlign w:val="baseline"/>
      </w:rPr>
    </w:lvl>
    <w:lvl w:ilvl="5">
      <w:start w:val="1"/>
      <w:numFmt w:val="lowerRoman"/>
      <w:lvlText w:val="%5.%6."/>
      <w:lvlJc w:val="right"/>
      <w:pPr>
        <w:tabs>
          <w:tab w:val="num" w:pos="0"/>
        </w:tabs>
        <w:ind w:left="4604" w:hanging="180"/>
      </w:pPr>
      <w:rPr>
        <w:position w:val="0"/>
        <w:sz w:val="22"/>
        <w:vertAlign w:val="baseline"/>
      </w:rPr>
    </w:lvl>
    <w:lvl w:ilvl="6">
      <w:start w:val="1"/>
      <w:numFmt w:val="decimal"/>
      <w:lvlText w:val="%6.%7."/>
      <w:lvlJc w:val="left"/>
      <w:pPr>
        <w:tabs>
          <w:tab w:val="num" w:pos="0"/>
        </w:tabs>
        <w:ind w:left="5324" w:hanging="360"/>
      </w:pPr>
      <w:rPr>
        <w:position w:val="0"/>
        <w:sz w:val="22"/>
        <w:vertAlign w:val="baseline"/>
      </w:rPr>
    </w:lvl>
    <w:lvl w:ilvl="7">
      <w:start w:val="1"/>
      <w:numFmt w:val="lowerLetter"/>
      <w:lvlText w:val="%7.%8."/>
      <w:lvlJc w:val="left"/>
      <w:pPr>
        <w:tabs>
          <w:tab w:val="num" w:pos="0"/>
        </w:tabs>
        <w:ind w:left="6044" w:hanging="360"/>
      </w:pPr>
      <w:rPr>
        <w:position w:val="0"/>
        <w:sz w:val="22"/>
        <w:vertAlign w:val="baseline"/>
      </w:rPr>
    </w:lvl>
    <w:lvl w:ilvl="8">
      <w:start w:val="1"/>
      <w:numFmt w:val="lowerRoman"/>
      <w:lvlText w:val="%8.%9."/>
      <w:lvlJc w:val="right"/>
      <w:pPr>
        <w:tabs>
          <w:tab w:val="num" w:pos="0"/>
        </w:tabs>
        <w:ind w:left="6764" w:hanging="180"/>
      </w:pPr>
      <w:rPr>
        <w:position w:val="0"/>
        <w:sz w:val="22"/>
        <w:vertAlign w:val="baseline"/>
      </w:rPr>
    </w:lvl>
  </w:abstractNum>
  <w:abstractNum w:abstractNumId="8">
    <w:lvl w:ilvl="0">
      <w:start w:val="1"/>
      <w:numFmt w:val="decimal"/>
      <w:lvlText w:val="%1."/>
      <w:lvlJc w:val="left"/>
      <w:pPr>
        <w:tabs>
          <w:tab w:val="num" w:pos="0"/>
        </w:tabs>
        <w:ind w:left="502" w:hanging="360"/>
      </w:pPr>
      <w:rPr>
        <w:b w:val="false"/>
        <w:bCs w:val="false"/>
        <w:color w:val="00000A"/>
        <w:position w:val="0"/>
        <w:sz w:val="20"/>
        <w:vertAlign w:val="baseline"/>
      </w:rPr>
    </w:lvl>
    <w:lvl w:ilvl="1">
      <w:start w:val="1"/>
      <w:numFmt w:val="lowerLetter"/>
      <w:lvlText w:val="%1.%2."/>
      <w:lvlJc w:val="left"/>
      <w:pPr>
        <w:tabs>
          <w:tab w:val="num" w:pos="0"/>
        </w:tabs>
        <w:ind w:left="1222" w:hanging="360"/>
      </w:pPr>
      <w:rPr>
        <w:position w:val="0"/>
        <w:sz w:val="22"/>
        <w:vertAlign w:val="baseline"/>
      </w:rPr>
    </w:lvl>
    <w:lvl w:ilvl="2">
      <w:start w:val="1"/>
      <w:numFmt w:val="lowerRoman"/>
      <w:lvlText w:val="%2.%3."/>
      <w:lvlJc w:val="right"/>
      <w:pPr>
        <w:tabs>
          <w:tab w:val="num" w:pos="0"/>
        </w:tabs>
        <w:ind w:left="1942" w:hanging="180"/>
      </w:pPr>
      <w:rPr>
        <w:position w:val="0"/>
        <w:sz w:val="22"/>
        <w:vertAlign w:val="baseline"/>
      </w:rPr>
    </w:lvl>
    <w:lvl w:ilvl="3">
      <w:start w:val="1"/>
      <w:numFmt w:val="decimal"/>
      <w:lvlText w:val="%3.%4."/>
      <w:lvlJc w:val="left"/>
      <w:pPr>
        <w:tabs>
          <w:tab w:val="num" w:pos="0"/>
        </w:tabs>
        <w:ind w:left="2662" w:hanging="360"/>
      </w:pPr>
      <w:rPr>
        <w:position w:val="0"/>
        <w:sz w:val="22"/>
        <w:vertAlign w:val="baseline"/>
      </w:rPr>
    </w:lvl>
    <w:lvl w:ilvl="4">
      <w:start w:val="1"/>
      <w:numFmt w:val="lowerLetter"/>
      <w:lvlText w:val="%4.%5."/>
      <w:lvlJc w:val="left"/>
      <w:pPr>
        <w:tabs>
          <w:tab w:val="num" w:pos="0"/>
        </w:tabs>
        <w:ind w:left="3382" w:hanging="360"/>
      </w:pPr>
      <w:rPr>
        <w:position w:val="0"/>
        <w:sz w:val="22"/>
        <w:vertAlign w:val="baseline"/>
      </w:rPr>
    </w:lvl>
    <w:lvl w:ilvl="5">
      <w:start w:val="1"/>
      <w:numFmt w:val="lowerRoman"/>
      <w:lvlText w:val="%5.%6."/>
      <w:lvlJc w:val="right"/>
      <w:pPr>
        <w:tabs>
          <w:tab w:val="num" w:pos="0"/>
        </w:tabs>
        <w:ind w:left="4102" w:hanging="180"/>
      </w:pPr>
      <w:rPr>
        <w:position w:val="0"/>
        <w:sz w:val="22"/>
        <w:vertAlign w:val="baseline"/>
      </w:rPr>
    </w:lvl>
    <w:lvl w:ilvl="6">
      <w:start w:val="1"/>
      <w:numFmt w:val="decimal"/>
      <w:lvlText w:val="%6.%7."/>
      <w:lvlJc w:val="left"/>
      <w:pPr>
        <w:tabs>
          <w:tab w:val="num" w:pos="0"/>
        </w:tabs>
        <w:ind w:left="4822" w:hanging="360"/>
      </w:pPr>
      <w:rPr>
        <w:position w:val="0"/>
        <w:sz w:val="22"/>
        <w:vertAlign w:val="baseline"/>
      </w:rPr>
    </w:lvl>
    <w:lvl w:ilvl="7">
      <w:start w:val="1"/>
      <w:numFmt w:val="lowerLetter"/>
      <w:lvlText w:val="%7.%8."/>
      <w:lvlJc w:val="left"/>
      <w:pPr>
        <w:tabs>
          <w:tab w:val="num" w:pos="0"/>
        </w:tabs>
        <w:ind w:left="5542" w:hanging="360"/>
      </w:pPr>
      <w:rPr>
        <w:position w:val="0"/>
        <w:sz w:val="22"/>
        <w:vertAlign w:val="baseline"/>
      </w:rPr>
    </w:lvl>
    <w:lvl w:ilvl="8">
      <w:start w:val="1"/>
      <w:numFmt w:val="lowerRoman"/>
      <w:lvlText w:val="%8.%9."/>
      <w:lvlJc w:val="right"/>
      <w:pPr>
        <w:tabs>
          <w:tab w:val="num" w:pos="0"/>
        </w:tabs>
        <w:ind w:left="6262" w:hanging="180"/>
      </w:pPr>
      <w:rPr>
        <w:position w:val="0"/>
        <w:sz w:val="22"/>
        <w:vertAlign w:val="baseline"/>
      </w:rPr>
    </w:lvl>
  </w:abstractNum>
  <w:abstractNum w:abstractNumId="9">
    <w:lvl w:ilvl="0">
      <w:start w:val="1"/>
      <w:numFmt w:val="decimal"/>
      <w:lvlText w:val="%1."/>
      <w:lvlJc w:val="left"/>
      <w:pPr>
        <w:tabs>
          <w:tab w:val="num" w:pos="0"/>
        </w:tabs>
        <w:ind w:left="1146" w:hanging="360"/>
      </w:pPr>
      <w:rPr>
        <w:rFonts w:eastAsia="Arial" w:cs="Arial"/>
        <w:b w:val="false"/>
        <w:bCs w:val="false"/>
        <w:strike w:val="false"/>
        <w:dstrike w:val="false"/>
        <w:color w:val="000000"/>
        <w:position w:val="0"/>
        <w:sz w:val="22"/>
        <w:szCs w:val="22"/>
        <w:vertAlign w:val="baseline"/>
      </w:rPr>
    </w:lvl>
    <w:lvl w:ilvl="1">
      <w:start w:val="1"/>
      <w:numFmt w:val="lowerLetter"/>
      <w:lvlText w:val="%1.%2."/>
      <w:lvlJc w:val="left"/>
      <w:pPr>
        <w:tabs>
          <w:tab w:val="num" w:pos="0"/>
        </w:tabs>
        <w:ind w:left="1866" w:hanging="360"/>
      </w:pPr>
      <w:rPr>
        <w:position w:val="0"/>
        <w:sz w:val="22"/>
        <w:vertAlign w:val="baseline"/>
      </w:rPr>
    </w:lvl>
    <w:lvl w:ilvl="2">
      <w:start w:val="1"/>
      <w:numFmt w:val="lowerRoman"/>
      <w:lvlText w:val="%2.%3."/>
      <w:lvlJc w:val="right"/>
      <w:pPr>
        <w:tabs>
          <w:tab w:val="num" w:pos="0"/>
        </w:tabs>
        <w:ind w:left="2586" w:hanging="180"/>
      </w:pPr>
      <w:rPr>
        <w:position w:val="0"/>
        <w:sz w:val="22"/>
        <w:vertAlign w:val="baseline"/>
      </w:rPr>
    </w:lvl>
    <w:lvl w:ilvl="3">
      <w:start w:val="1"/>
      <w:numFmt w:val="decimal"/>
      <w:lvlText w:val="%3.%4."/>
      <w:lvlJc w:val="left"/>
      <w:pPr>
        <w:tabs>
          <w:tab w:val="num" w:pos="0"/>
        </w:tabs>
        <w:ind w:left="3306" w:hanging="360"/>
      </w:pPr>
      <w:rPr>
        <w:position w:val="0"/>
        <w:sz w:val="22"/>
        <w:vertAlign w:val="baseline"/>
      </w:rPr>
    </w:lvl>
    <w:lvl w:ilvl="4">
      <w:start w:val="1"/>
      <w:numFmt w:val="lowerLetter"/>
      <w:lvlText w:val="%4.%5."/>
      <w:lvlJc w:val="left"/>
      <w:pPr>
        <w:tabs>
          <w:tab w:val="num" w:pos="0"/>
        </w:tabs>
        <w:ind w:left="4026" w:hanging="360"/>
      </w:pPr>
      <w:rPr>
        <w:position w:val="0"/>
        <w:sz w:val="22"/>
        <w:vertAlign w:val="baseline"/>
      </w:rPr>
    </w:lvl>
    <w:lvl w:ilvl="5">
      <w:start w:val="1"/>
      <w:numFmt w:val="lowerRoman"/>
      <w:lvlText w:val="%5.%6."/>
      <w:lvlJc w:val="right"/>
      <w:pPr>
        <w:tabs>
          <w:tab w:val="num" w:pos="0"/>
        </w:tabs>
        <w:ind w:left="4746" w:hanging="180"/>
      </w:pPr>
      <w:rPr>
        <w:position w:val="0"/>
        <w:sz w:val="22"/>
        <w:vertAlign w:val="baseline"/>
      </w:rPr>
    </w:lvl>
    <w:lvl w:ilvl="6">
      <w:start w:val="1"/>
      <w:numFmt w:val="decimal"/>
      <w:lvlText w:val="%6.%7."/>
      <w:lvlJc w:val="left"/>
      <w:pPr>
        <w:tabs>
          <w:tab w:val="num" w:pos="0"/>
        </w:tabs>
        <w:ind w:left="5466" w:hanging="360"/>
      </w:pPr>
      <w:rPr>
        <w:position w:val="0"/>
        <w:sz w:val="22"/>
        <w:vertAlign w:val="baseline"/>
      </w:rPr>
    </w:lvl>
    <w:lvl w:ilvl="7">
      <w:start w:val="1"/>
      <w:numFmt w:val="lowerLetter"/>
      <w:lvlText w:val="%7.%8."/>
      <w:lvlJc w:val="left"/>
      <w:pPr>
        <w:tabs>
          <w:tab w:val="num" w:pos="0"/>
        </w:tabs>
        <w:ind w:left="6186" w:hanging="360"/>
      </w:pPr>
      <w:rPr>
        <w:position w:val="0"/>
        <w:sz w:val="22"/>
        <w:vertAlign w:val="baseline"/>
      </w:rPr>
    </w:lvl>
    <w:lvl w:ilvl="8">
      <w:start w:val="1"/>
      <w:numFmt w:val="lowerRoman"/>
      <w:lvlText w:val="%8.%9."/>
      <w:lvlJc w:val="right"/>
      <w:pPr>
        <w:tabs>
          <w:tab w:val="num" w:pos="0"/>
        </w:tabs>
        <w:ind w:left="6906" w:hanging="180"/>
      </w:pPr>
      <w:rPr>
        <w:position w:val="0"/>
        <w:sz w:val="22"/>
        <w:vertAlign w:val="baseline"/>
      </w:rPr>
    </w:lvl>
  </w:abstractNum>
  <w:abstractNum w:abstractNumId="10">
    <w:lvl w:ilvl="0">
      <w:start w:val="1"/>
      <w:numFmt w:val="decimal"/>
      <w:lvlText w:val="%1."/>
      <w:lvlJc w:val="left"/>
      <w:pPr>
        <w:tabs>
          <w:tab w:val="num" w:pos="0"/>
        </w:tabs>
        <w:ind w:left="720" w:hanging="720"/>
      </w:pPr>
      <w:rPr>
        <w:rFonts w:eastAsia="Arial" w:cs="Arial"/>
        <w:b w:val="false"/>
        <w:bCs w:val="false"/>
        <w:color w:val="000000"/>
        <w:position w:val="0"/>
        <w:sz w:val="22"/>
        <w:vertAlign w:val="baseline"/>
      </w:rPr>
    </w:lvl>
    <w:lvl w:ilvl="1">
      <w:start w:val="1"/>
      <w:numFmt w:val="decimal"/>
      <w:lvlText w:val="%1.%2."/>
      <w:lvlJc w:val="left"/>
      <w:pPr>
        <w:tabs>
          <w:tab w:val="num" w:pos="0"/>
        </w:tabs>
        <w:ind w:left="720" w:hanging="360"/>
      </w:pPr>
      <w:rPr>
        <w:b w:val="false"/>
        <w:position w:val="0"/>
        <w:sz w:val="22"/>
        <w:vertAlign w:val="baseline"/>
      </w:rPr>
    </w:lvl>
    <w:lvl w:ilvl="2">
      <w:start w:val="1"/>
      <w:numFmt w:val="lowerRoman"/>
      <w:lvlText w:val="%2.%3."/>
      <w:lvlJc w:val="right"/>
      <w:pPr>
        <w:tabs>
          <w:tab w:val="num" w:pos="0"/>
        </w:tabs>
        <w:ind w:left="2160" w:hanging="180"/>
      </w:pPr>
      <w:rPr>
        <w:position w:val="0"/>
        <w:sz w:val="22"/>
        <w:vertAlign w:val="baseline"/>
      </w:rPr>
    </w:lvl>
    <w:lvl w:ilvl="3">
      <w:start w:val="1"/>
      <w:numFmt w:val="decimal"/>
      <w:lvlText w:val="%3.%4."/>
      <w:lvlJc w:val="left"/>
      <w:pPr>
        <w:tabs>
          <w:tab w:val="num" w:pos="0"/>
        </w:tabs>
        <w:ind w:left="2880" w:hanging="360"/>
      </w:pPr>
      <w:rPr>
        <w:position w:val="0"/>
        <w:sz w:val="22"/>
        <w:vertAlign w:val="baseline"/>
      </w:rPr>
    </w:lvl>
    <w:lvl w:ilvl="4">
      <w:start w:val="1"/>
      <w:numFmt w:val="lowerLetter"/>
      <w:lvlText w:val="%4.%5."/>
      <w:lvlJc w:val="left"/>
      <w:pPr>
        <w:tabs>
          <w:tab w:val="num" w:pos="0"/>
        </w:tabs>
        <w:ind w:left="3600" w:hanging="360"/>
      </w:pPr>
      <w:rPr>
        <w:position w:val="0"/>
        <w:sz w:val="22"/>
        <w:vertAlign w:val="baseline"/>
      </w:rPr>
    </w:lvl>
    <w:lvl w:ilvl="5">
      <w:start w:val="1"/>
      <w:numFmt w:val="decimal"/>
      <w:lvlText w:val="%5.%6."/>
      <w:lvlJc w:val="right"/>
      <w:pPr>
        <w:tabs>
          <w:tab w:val="num" w:pos="0"/>
        </w:tabs>
        <w:ind w:left="4320" w:hanging="180"/>
      </w:pPr>
      <w:rPr>
        <w:rFonts w:eastAsia="Arial" w:cs="Arial"/>
        <w:position w:val="0"/>
        <w:sz w:val="22"/>
        <w:vertAlign w:val="baseline"/>
      </w:rPr>
    </w:lvl>
    <w:lvl w:ilvl="6">
      <w:start w:val="1"/>
      <w:numFmt w:val="decimal"/>
      <w:lvlText w:val="%6.%7."/>
      <w:lvlJc w:val="left"/>
      <w:pPr>
        <w:tabs>
          <w:tab w:val="num" w:pos="0"/>
        </w:tabs>
        <w:ind w:left="5040" w:hanging="360"/>
      </w:pPr>
      <w:rPr>
        <w:position w:val="0"/>
        <w:sz w:val="22"/>
        <w:vertAlign w:val="baseline"/>
      </w:rPr>
    </w:lvl>
    <w:lvl w:ilvl="7">
      <w:start w:val="1"/>
      <w:numFmt w:val="lowerLetter"/>
      <w:lvlText w:val="%7.%8."/>
      <w:lvlJc w:val="left"/>
      <w:pPr>
        <w:tabs>
          <w:tab w:val="num" w:pos="0"/>
        </w:tabs>
        <w:ind w:left="5760" w:hanging="360"/>
      </w:pPr>
      <w:rPr>
        <w:position w:val="0"/>
        <w:sz w:val="22"/>
        <w:vertAlign w:val="baseline"/>
      </w:rPr>
    </w:lvl>
    <w:lvl w:ilvl="8">
      <w:start w:val="1"/>
      <w:numFmt w:val="lowerRoman"/>
      <w:lvlText w:val="%8.%9."/>
      <w:lvlJc w:val="right"/>
      <w:pPr>
        <w:tabs>
          <w:tab w:val="num" w:pos="0"/>
        </w:tabs>
        <w:ind w:left="6480" w:hanging="180"/>
      </w:pPr>
      <w:rPr>
        <w:position w:val="0"/>
        <w:sz w:val="22"/>
        <w:vertAlign w:val="baseline"/>
      </w:rPr>
    </w:lvl>
  </w:abstractNum>
  <w:abstractNum w:abstractNumId="11">
    <w:lvl w:ilvl="0">
      <w:start w:val="1"/>
      <w:numFmt w:val="decimal"/>
      <w:lvlText w:val="%1."/>
      <w:lvlJc w:val="left"/>
      <w:pPr>
        <w:tabs>
          <w:tab w:val="num" w:pos="0"/>
        </w:tabs>
        <w:ind w:left="1080" w:hanging="360"/>
      </w:pPr>
      <w:rPr>
        <w:b/>
        <w:position w:val="0"/>
        <w:sz w:val="20"/>
        <w:vertAlign w:val="baseline"/>
      </w:rPr>
    </w:lvl>
    <w:lvl w:ilvl="1">
      <w:start w:val="1"/>
      <w:numFmt w:val="lowerLetter"/>
      <w:lvlText w:val="%1.%2."/>
      <w:lvlJc w:val="left"/>
      <w:pPr>
        <w:tabs>
          <w:tab w:val="num" w:pos="0"/>
        </w:tabs>
        <w:ind w:left="1800" w:hanging="360"/>
      </w:pPr>
      <w:rPr>
        <w:position w:val="0"/>
        <w:sz w:val="22"/>
        <w:vertAlign w:val="baseline"/>
      </w:rPr>
    </w:lvl>
    <w:lvl w:ilvl="2">
      <w:start w:val="1"/>
      <w:numFmt w:val="lowerRoman"/>
      <w:lvlText w:val="%2.%3."/>
      <w:lvlJc w:val="right"/>
      <w:pPr>
        <w:tabs>
          <w:tab w:val="num" w:pos="0"/>
        </w:tabs>
        <w:ind w:left="2520" w:hanging="180"/>
      </w:pPr>
      <w:rPr>
        <w:position w:val="0"/>
        <w:sz w:val="22"/>
        <w:vertAlign w:val="baseline"/>
      </w:rPr>
    </w:lvl>
    <w:lvl w:ilvl="3">
      <w:start w:val="1"/>
      <w:numFmt w:val="decimal"/>
      <w:lvlText w:val="%3.%4."/>
      <w:lvlJc w:val="left"/>
      <w:pPr>
        <w:tabs>
          <w:tab w:val="num" w:pos="0"/>
        </w:tabs>
        <w:ind w:left="3240" w:hanging="360"/>
      </w:pPr>
      <w:rPr>
        <w:position w:val="0"/>
        <w:sz w:val="22"/>
        <w:vertAlign w:val="baseline"/>
      </w:rPr>
    </w:lvl>
    <w:lvl w:ilvl="4">
      <w:start w:val="1"/>
      <w:numFmt w:val="lowerLetter"/>
      <w:lvlText w:val="%4.%5."/>
      <w:lvlJc w:val="left"/>
      <w:pPr>
        <w:tabs>
          <w:tab w:val="num" w:pos="0"/>
        </w:tabs>
        <w:ind w:left="3960" w:hanging="360"/>
      </w:pPr>
      <w:rPr>
        <w:position w:val="0"/>
        <w:sz w:val="22"/>
        <w:vertAlign w:val="baseline"/>
      </w:rPr>
    </w:lvl>
    <w:lvl w:ilvl="5">
      <w:start w:val="1"/>
      <w:numFmt w:val="lowerRoman"/>
      <w:lvlText w:val="%5.%6."/>
      <w:lvlJc w:val="right"/>
      <w:pPr>
        <w:tabs>
          <w:tab w:val="num" w:pos="0"/>
        </w:tabs>
        <w:ind w:left="4680" w:hanging="180"/>
      </w:pPr>
      <w:rPr>
        <w:position w:val="0"/>
        <w:sz w:val="22"/>
        <w:vertAlign w:val="baseline"/>
      </w:rPr>
    </w:lvl>
    <w:lvl w:ilvl="6">
      <w:start w:val="1"/>
      <w:numFmt w:val="decimal"/>
      <w:lvlText w:val="%6.%7."/>
      <w:lvlJc w:val="left"/>
      <w:pPr>
        <w:tabs>
          <w:tab w:val="num" w:pos="0"/>
        </w:tabs>
        <w:ind w:left="5400" w:hanging="360"/>
      </w:pPr>
      <w:rPr>
        <w:position w:val="0"/>
        <w:sz w:val="22"/>
        <w:vertAlign w:val="baseline"/>
      </w:rPr>
    </w:lvl>
    <w:lvl w:ilvl="7">
      <w:start w:val="1"/>
      <w:numFmt w:val="lowerLetter"/>
      <w:lvlText w:val="%7.%8."/>
      <w:lvlJc w:val="left"/>
      <w:pPr>
        <w:tabs>
          <w:tab w:val="num" w:pos="0"/>
        </w:tabs>
        <w:ind w:left="6120" w:hanging="360"/>
      </w:pPr>
      <w:rPr>
        <w:position w:val="0"/>
        <w:sz w:val="22"/>
        <w:vertAlign w:val="baseline"/>
      </w:rPr>
    </w:lvl>
    <w:lvl w:ilvl="8">
      <w:start w:val="1"/>
      <w:numFmt w:val="lowerRoman"/>
      <w:lvlText w:val="%8.%9."/>
      <w:lvlJc w:val="right"/>
      <w:pPr>
        <w:tabs>
          <w:tab w:val="num" w:pos="0"/>
        </w:tabs>
        <w:ind w:left="6840" w:hanging="180"/>
      </w:pPr>
      <w:rPr>
        <w:position w:val="0"/>
        <w:sz w:val="22"/>
        <w:vertAlign w:val="baseline"/>
      </w:rPr>
    </w:lvl>
  </w:abstractNum>
  <w:abstractNum w:abstractNumId="12">
    <w:lvl w:ilvl="0">
      <w:start w:val="1"/>
      <w:numFmt w:val="lowerLetter"/>
      <w:lvlText w:val="%1."/>
      <w:lvlJc w:val="left"/>
      <w:pPr>
        <w:tabs>
          <w:tab w:val="num" w:pos="0"/>
        </w:tabs>
        <w:ind w:left="1800" w:hanging="360"/>
      </w:pPr>
      <w:rPr>
        <w:b/>
        <w:color w:val="000000"/>
        <w:position w:val="0"/>
        <w:sz w:val="20"/>
        <w:vertAlign w:val="baseline"/>
      </w:rPr>
    </w:lvl>
    <w:lvl w:ilvl="1">
      <w:start w:val="1"/>
      <w:numFmt w:val="lowerLetter"/>
      <w:lvlText w:val="%1.%2."/>
      <w:lvlJc w:val="left"/>
      <w:pPr>
        <w:tabs>
          <w:tab w:val="num" w:pos="0"/>
        </w:tabs>
        <w:ind w:left="2520" w:hanging="360"/>
      </w:pPr>
      <w:rPr>
        <w:position w:val="0"/>
        <w:sz w:val="22"/>
        <w:vertAlign w:val="baseline"/>
      </w:rPr>
    </w:lvl>
    <w:lvl w:ilvl="2">
      <w:start w:val="1"/>
      <w:numFmt w:val="lowerRoman"/>
      <w:lvlText w:val="%2.%3."/>
      <w:lvlJc w:val="right"/>
      <w:pPr>
        <w:tabs>
          <w:tab w:val="num" w:pos="0"/>
        </w:tabs>
        <w:ind w:left="3240" w:hanging="180"/>
      </w:pPr>
      <w:rPr>
        <w:position w:val="0"/>
        <w:sz w:val="22"/>
        <w:vertAlign w:val="baseline"/>
      </w:rPr>
    </w:lvl>
    <w:lvl w:ilvl="3">
      <w:start w:val="1"/>
      <w:numFmt w:val="decimal"/>
      <w:lvlText w:val="%3.%4."/>
      <w:lvlJc w:val="left"/>
      <w:pPr>
        <w:tabs>
          <w:tab w:val="num" w:pos="0"/>
        </w:tabs>
        <w:ind w:left="3960" w:hanging="360"/>
      </w:pPr>
      <w:rPr>
        <w:position w:val="0"/>
        <w:sz w:val="22"/>
        <w:vertAlign w:val="baseline"/>
      </w:rPr>
    </w:lvl>
    <w:lvl w:ilvl="4">
      <w:start w:val="1"/>
      <w:numFmt w:val="lowerLetter"/>
      <w:lvlText w:val="%4.%5."/>
      <w:lvlJc w:val="left"/>
      <w:pPr>
        <w:tabs>
          <w:tab w:val="num" w:pos="0"/>
        </w:tabs>
        <w:ind w:left="4680" w:hanging="360"/>
      </w:pPr>
      <w:rPr>
        <w:position w:val="0"/>
        <w:sz w:val="22"/>
        <w:vertAlign w:val="baseline"/>
      </w:rPr>
    </w:lvl>
    <w:lvl w:ilvl="5">
      <w:start w:val="1"/>
      <w:numFmt w:val="lowerRoman"/>
      <w:lvlText w:val="%5.%6."/>
      <w:lvlJc w:val="right"/>
      <w:pPr>
        <w:tabs>
          <w:tab w:val="num" w:pos="0"/>
        </w:tabs>
        <w:ind w:left="5400" w:hanging="180"/>
      </w:pPr>
      <w:rPr>
        <w:position w:val="0"/>
        <w:sz w:val="22"/>
        <w:vertAlign w:val="baseline"/>
      </w:rPr>
    </w:lvl>
    <w:lvl w:ilvl="6">
      <w:start w:val="1"/>
      <w:numFmt w:val="decimal"/>
      <w:lvlText w:val="%6.%7."/>
      <w:lvlJc w:val="left"/>
      <w:pPr>
        <w:tabs>
          <w:tab w:val="num" w:pos="0"/>
        </w:tabs>
        <w:ind w:left="6120" w:hanging="360"/>
      </w:pPr>
      <w:rPr>
        <w:position w:val="0"/>
        <w:sz w:val="22"/>
        <w:vertAlign w:val="baseline"/>
      </w:rPr>
    </w:lvl>
    <w:lvl w:ilvl="7">
      <w:start w:val="1"/>
      <w:numFmt w:val="lowerLetter"/>
      <w:lvlText w:val="%7.%8."/>
      <w:lvlJc w:val="left"/>
      <w:pPr>
        <w:tabs>
          <w:tab w:val="num" w:pos="0"/>
        </w:tabs>
        <w:ind w:left="6840" w:hanging="360"/>
      </w:pPr>
      <w:rPr>
        <w:position w:val="0"/>
        <w:sz w:val="22"/>
        <w:vertAlign w:val="baseline"/>
      </w:rPr>
    </w:lvl>
    <w:lvl w:ilvl="8">
      <w:start w:val="1"/>
      <w:numFmt w:val="lowerRoman"/>
      <w:lvlText w:val="%8.%9."/>
      <w:lvlJc w:val="right"/>
      <w:pPr>
        <w:tabs>
          <w:tab w:val="num" w:pos="0"/>
        </w:tabs>
        <w:ind w:left="7560" w:hanging="180"/>
      </w:pPr>
      <w:rPr>
        <w:position w:val="0"/>
        <w:sz w:val="22"/>
        <w:vertAlign w:val="baseline"/>
      </w:rPr>
    </w:lvl>
  </w:abstractNum>
  <w:abstractNum w:abstractNumId="13">
    <w:lvl w:ilvl="0">
      <w:start w:val="1"/>
      <w:numFmt w:val="decimal"/>
      <w:lvlText w:val="%1."/>
      <w:lvlJc w:val="left"/>
      <w:pPr>
        <w:tabs>
          <w:tab w:val="num" w:pos="0"/>
        </w:tabs>
        <w:ind w:left="1800" w:hanging="363"/>
      </w:pPr>
      <w:rPr>
        <w:b w:val="false"/>
        <w:color w:val="000000"/>
        <w:position w:val="0"/>
        <w:sz w:val="20"/>
        <w:szCs w:val="30"/>
        <w:vertAlign w:val="baseline"/>
        <w:lang w:eastAsia="pl-PL"/>
      </w:rPr>
    </w:lvl>
    <w:lvl w:ilvl="1">
      <w:start w:val="1"/>
      <w:numFmt w:val="lowerLetter"/>
      <w:lvlText w:val="%1.%2."/>
      <w:lvlJc w:val="left"/>
      <w:pPr>
        <w:tabs>
          <w:tab w:val="num" w:pos="0"/>
        </w:tabs>
        <w:ind w:left="1440" w:hanging="360"/>
      </w:pPr>
      <w:rPr>
        <w:position w:val="0"/>
        <w:sz w:val="22"/>
        <w:vertAlign w:val="baseline"/>
      </w:rPr>
    </w:lvl>
    <w:lvl w:ilvl="2">
      <w:start w:val="1"/>
      <w:numFmt w:val="lowerRoman"/>
      <w:lvlText w:val="%2.%3."/>
      <w:lvlJc w:val="right"/>
      <w:pPr>
        <w:tabs>
          <w:tab w:val="num" w:pos="0"/>
        </w:tabs>
        <w:ind w:left="2160" w:hanging="180"/>
      </w:pPr>
      <w:rPr>
        <w:position w:val="0"/>
        <w:sz w:val="22"/>
        <w:vertAlign w:val="baseline"/>
      </w:rPr>
    </w:lvl>
    <w:lvl w:ilvl="3">
      <w:start w:val="1"/>
      <w:numFmt w:val="decimal"/>
      <w:lvlText w:val="%3.%4."/>
      <w:lvlJc w:val="left"/>
      <w:pPr>
        <w:tabs>
          <w:tab w:val="num" w:pos="0"/>
        </w:tabs>
        <w:ind w:left="2880" w:hanging="360"/>
      </w:pPr>
      <w:rPr>
        <w:position w:val="0"/>
        <w:sz w:val="22"/>
        <w:vertAlign w:val="baseline"/>
      </w:rPr>
    </w:lvl>
    <w:lvl w:ilvl="4">
      <w:start w:val="1"/>
      <w:numFmt w:val="lowerLetter"/>
      <w:lvlText w:val="%4.%5."/>
      <w:lvlJc w:val="left"/>
      <w:pPr>
        <w:tabs>
          <w:tab w:val="num" w:pos="0"/>
        </w:tabs>
        <w:ind w:left="3600" w:hanging="360"/>
      </w:pPr>
      <w:rPr>
        <w:position w:val="0"/>
        <w:sz w:val="22"/>
        <w:vertAlign w:val="baseline"/>
      </w:rPr>
    </w:lvl>
    <w:lvl w:ilvl="5">
      <w:start w:val="1"/>
      <w:numFmt w:val="lowerRoman"/>
      <w:lvlText w:val="%5.%6."/>
      <w:lvlJc w:val="right"/>
      <w:pPr>
        <w:tabs>
          <w:tab w:val="num" w:pos="0"/>
        </w:tabs>
        <w:ind w:left="4320" w:hanging="180"/>
      </w:pPr>
      <w:rPr>
        <w:position w:val="0"/>
        <w:sz w:val="22"/>
        <w:vertAlign w:val="baseline"/>
      </w:rPr>
    </w:lvl>
    <w:lvl w:ilvl="6">
      <w:start w:val="1"/>
      <w:numFmt w:val="decimal"/>
      <w:lvlText w:val="%6.%7."/>
      <w:lvlJc w:val="left"/>
      <w:pPr>
        <w:tabs>
          <w:tab w:val="num" w:pos="0"/>
        </w:tabs>
        <w:ind w:left="5040" w:hanging="360"/>
      </w:pPr>
      <w:rPr>
        <w:position w:val="0"/>
        <w:sz w:val="22"/>
        <w:vertAlign w:val="baseline"/>
      </w:rPr>
    </w:lvl>
    <w:lvl w:ilvl="7">
      <w:start w:val="1"/>
      <w:numFmt w:val="lowerLetter"/>
      <w:lvlText w:val="%7.%8."/>
      <w:lvlJc w:val="left"/>
      <w:pPr>
        <w:tabs>
          <w:tab w:val="num" w:pos="0"/>
        </w:tabs>
        <w:ind w:left="5760" w:hanging="360"/>
      </w:pPr>
      <w:rPr>
        <w:position w:val="0"/>
        <w:sz w:val="22"/>
        <w:vertAlign w:val="baseline"/>
      </w:rPr>
    </w:lvl>
    <w:lvl w:ilvl="8">
      <w:start w:val="1"/>
      <w:numFmt w:val="lowerRoman"/>
      <w:lvlText w:val="%8.%9."/>
      <w:lvlJc w:val="right"/>
      <w:pPr>
        <w:tabs>
          <w:tab w:val="num" w:pos="0"/>
        </w:tabs>
        <w:ind w:left="6480" w:hanging="180"/>
      </w:pPr>
      <w:rPr>
        <w:position w:val="0"/>
        <w:sz w:val="22"/>
        <w:vertAlign w:val="baseline"/>
      </w:rPr>
    </w:lvl>
  </w:abstractNum>
  <w:abstractNum w:abstractNumId="14">
    <w:lvl w:ilvl="0">
      <w:start w:val="1"/>
      <w:numFmt w:val="decimal"/>
      <w:lvlText w:val="%1."/>
      <w:lvlJc w:val="left"/>
      <w:pPr>
        <w:tabs>
          <w:tab w:val="num" w:pos="0"/>
        </w:tabs>
        <w:ind w:left="720" w:hanging="360"/>
      </w:pPr>
      <w:rPr>
        <w:rFonts w:eastAsia="Calibri" w:cs="Calibri"/>
        <w:b w:val="false"/>
        <w:strike w:val="false"/>
        <w:dstrike w:val="false"/>
        <w:color w:val="00000A"/>
        <w:u w:val="none"/>
      </w:rPr>
    </w:lvl>
    <w:lvl w:ilvl="1">
      <w:start w:val="1"/>
      <w:numFmt w:val="lowerLetter"/>
      <w:lvlText w:val="%1.%2."/>
      <w:lvlJc w:val="left"/>
      <w:pPr>
        <w:tabs>
          <w:tab w:val="num" w:pos="0"/>
        </w:tabs>
        <w:ind w:left="1440" w:hanging="360"/>
      </w:pPr>
      <w:rPr>
        <w:color w:val="00000A"/>
        <w:u w:val="none"/>
      </w:rPr>
    </w:lvl>
    <w:lvl w:ilvl="2">
      <w:start w:val="1"/>
      <w:numFmt w:val="lowerRoman"/>
      <w:lvlText w:val="%2.%3."/>
      <w:lvlJc w:val="right"/>
      <w:pPr>
        <w:tabs>
          <w:tab w:val="num" w:pos="0"/>
        </w:tabs>
        <w:ind w:left="2160" w:hanging="360"/>
      </w:pPr>
      <w:rPr>
        <w:color w:val="00000A"/>
        <w:u w:val="none"/>
      </w:rPr>
    </w:lvl>
    <w:lvl w:ilvl="3">
      <w:start w:val="1"/>
      <w:numFmt w:val="decimal"/>
      <w:lvlText w:val="%3.%4."/>
      <w:lvlJc w:val="left"/>
      <w:pPr>
        <w:tabs>
          <w:tab w:val="num" w:pos="0"/>
        </w:tabs>
        <w:ind w:left="2880" w:hanging="360"/>
      </w:pPr>
      <w:rPr>
        <w:color w:val="00000A"/>
        <w:u w:val="none"/>
      </w:rPr>
    </w:lvl>
    <w:lvl w:ilvl="4">
      <w:start w:val="1"/>
      <w:numFmt w:val="lowerLetter"/>
      <w:lvlText w:val="%4.%5."/>
      <w:lvlJc w:val="left"/>
      <w:pPr>
        <w:tabs>
          <w:tab w:val="num" w:pos="0"/>
        </w:tabs>
        <w:ind w:left="3600" w:hanging="360"/>
      </w:pPr>
      <w:rPr>
        <w:color w:val="00000A"/>
        <w:u w:val="none"/>
      </w:rPr>
    </w:lvl>
    <w:lvl w:ilvl="5">
      <w:start w:val="1"/>
      <w:numFmt w:val="lowerRoman"/>
      <w:lvlText w:val="%5.%6."/>
      <w:lvlJc w:val="right"/>
      <w:pPr>
        <w:tabs>
          <w:tab w:val="num" w:pos="0"/>
        </w:tabs>
        <w:ind w:left="4320" w:hanging="360"/>
      </w:pPr>
      <w:rPr>
        <w:color w:val="00000A"/>
        <w:u w:val="none"/>
      </w:rPr>
    </w:lvl>
    <w:lvl w:ilvl="6">
      <w:start w:val="1"/>
      <w:numFmt w:val="decimal"/>
      <w:lvlText w:val="%6.%7."/>
      <w:lvlJc w:val="left"/>
      <w:pPr>
        <w:tabs>
          <w:tab w:val="num" w:pos="0"/>
        </w:tabs>
        <w:ind w:left="5040" w:hanging="360"/>
      </w:pPr>
      <w:rPr>
        <w:color w:val="00000A"/>
        <w:u w:val="none"/>
      </w:rPr>
    </w:lvl>
    <w:lvl w:ilvl="7">
      <w:start w:val="1"/>
      <w:numFmt w:val="lowerLetter"/>
      <w:lvlText w:val="%7.%8."/>
      <w:lvlJc w:val="left"/>
      <w:pPr>
        <w:tabs>
          <w:tab w:val="num" w:pos="0"/>
        </w:tabs>
        <w:ind w:left="5760" w:hanging="360"/>
      </w:pPr>
      <w:rPr>
        <w:color w:val="00000A"/>
        <w:u w:val="none"/>
      </w:rPr>
    </w:lvl>
    <w:lvl w:ilvl="8">
      <w:start w:val="1"/>
      <w:numFmt w:val="lowerRoman"/>
      <w:lvlText w:val="%8.%9."/>
      <w:lvlJc w:val="right"/>
      <w:pPr>
        <w:tabs>
          <w:tab w:val="num" w:pos="0"/>
        </w:tabs>
        <w:ind w:left="6480" w:hanging="360"/>
      </w:pPr>
      <w:rPr>
        <w:color w:val="00000A"/>
        <w:u w:val="none"/>
      </w:rPr>
    </w:lvl>
  </w:abstractNum>
  <w:abstractNum w:abstractNumId="15">
    <w:lvl w:ilvl="0">
      <w:start w:val="1"/>
      <w:numFmt w:val="decimal"/>
      <w:lvlText w:val="%1."/>
      <w:lvlJc w:val="left"/>
      <w:pPr>
        <w:tabs>
          <w:tab w:val="num" w:pos="0"/>
        </w:tabs>
        <w:ind w:left="1800" w:hanging="363"/>
      </w:pPr>
      <w:rPr>
        <w:b w:val="false"/>
        <w:position w:val="0"/>
        <w:sz w:val="20"/>
        <w:vertAlign w:val="baseline"/>
      </w:rPr>
    </w:lvl>
    <w:lvl w:ilvl="1">
      <w:start w:val="1"/>
      <w:numFmt w:val="lowerLetter"/>
      <w:lvlText w:val="%1.%2."/>
      <w:lvlJc w:val="left"/>
      <w:pPr>
        <w:tabs>
          <w:tab w:val="num" w:pos="0"/>
        </w:tabs>
        <w:ind w:left="1440" w:hanging="360"/>
      </w:pPr>
      <w:rPr>
        <w:position w:val="0"/>
        <w:sz w:val="22"/>
        <w:vertAlign w:val="baseline"/>
      </w:rPr>
    </w:lvl>
    <w:lvl w:ilvl="2">
      <w:start w:val="1"/>
      <w:numFmt w:val="lowerRoman"/>
      <w:lvlText w:val="%2.%3."/>
      <w:lvlJc w:val="right"/>
      <w:pPr>
        <w:tabs>
          <w:tab w:val="num" w:pos="0"/>
        </w:tabs>
        <w:ind w:left="2160" w:hanging="180"/>
      </w:pPr>
      <w:rPr>
        <w:position w:val="0"/>
        <w:sz w:val="22"/>
        <w:vertAlign w:val="baseline"/>
      </w:rPr>
    </w:lvl>
    <w:lvl w:ilvl="3">
      <w:start w:val="1"/>
      <w:numFmt w:val="decimal"/>
      <w:lvlText w:val="%3.%4."/>
      <w:lvlJc w:val="left"/>
      <w:pPr>
        <w:tabs>
          <w:tab w:val="num" w:pos="0"/>
        </w:tabs>
        <w:ind w:left="2880" w:hanging="360"/>
      </w:pPr>
      <w:rPr>
        <w:position w:val="0"/>
        <w:sz w:val="22"/>
        <w:vertAlign w:val="baseline"/>
      </w:rPr>
    </w:lvl>
    <w:lvl w:ilvl="4">
      <w:start w:val="1"/>
      <w:numFmt w:val="lowerLetter"/>
      <w:lvlText w:val="%4.%5."/>
      <w:lvlJc w:val="left"/>
      <w:pPr>
        <w:tabs>
          <w:tab w:val="num" w:pos="0"/>
        </w:tabs>
        <w:ind w:left="3600" w:hanging="360"/>
      </w:pPr>
      <w:rPr>
        <w:position w:val="0"/>
        <w:sz w:val="22"/>
        <w:vertAlign w:val="baseline"/>
      </w:rPr>
    </w:lvl>
    <w:lvl w:ilvl="5">
      <w:start w:val="1"/>
      <w:numFmt w:val="lowerRoman"/>
      <w:lvlText w:val="%5.%6."/>
      <w:lvlJc w:val="right"/>
      <w:pPr>
        <w:tabs>
          <w:tab w:val="num" w:pos="0"/>
        </w:tabs>
        <w:ind w:left="4320" w:hanging="180"/>
      </w:pPr>
      <w:rPr>
        <w:position w:val="0"/>
        <w:sz w:val="22"/>
        <w:vertAlign w:val="baseline"/>
      </w:rPr>
    </w:lvl>
    <w:lvl w:ilvl="6">
      <w:start w:val="1"/>
      <w:numFmt w:val="decimal"/>
      <w:lvlText w:val="%6.%7."/>
      <w:lvlJc w:val="left"/>
      <w:pPr>
        <w:tabs>
          <w:tab w:val="num" w:pos="0"/>
        </w:tabs>
        <w:ind w:left="5040" w:hanging="360"/>
      </w:pPr>
      <w:rPr>
        <w:position w:val="0"/>
        <w:sz w:val="22"/>
        <w:vertAlign w:val="baseline"/>
      </w:rPr>
    </w:lvl>
    <w:lvl w:ilvl="7">
      <w:start w:val="1"/>
      <w:numFmt w:val="lowerLetter"/>
      <w:lvlText w:val="%7.%8."/>
      <w:lvlJc w:val="left"/>
      <w:pPr>
        <w:tabs>
          <w:tab w:val="num" w:pos="0"/>
        </w:tabs>
        <w:ind w:left="5760" w:hanging="360"/>
      </w:pPr>
      <w:rPr>
        <w:position w:val="0"/>
        <w:sz w:val="22"/>
        <w:vertAlign w:val="baseline"/>
      </w:rPr>
    </w:lvl>
    <w:lvl w:ilvl="8">
      <w:start w:val="1"/>
      <w:numFmt w:val="lowerRoman"/>
      <w:lvlText w:val="%8.%9."/>
      <w:lvlJc w:val="right"/>
      <w:pPr>
        <w:tabs>
          <w:tab w:val="num" w:pos="0"/>
        </w:tabs>
        <w:ind w:left="6480" w:hanging="180"/>
      </w:pPr>
      <w:rPr>
        <w:position w:val="0"/>
        <w:sz w:val="22"/>
        <w:vertAlign w:val="baseline"/>
      </w:rPr>
    </w:lvl>
  </w:abstractNum>
  <w:abstractNum w:abstractNumId="16">
    <w:lvl w:ilvl="0">
      <w:start w:val="1"/>
      <w:numFmt w:val="decimal"/>
      <w:lvlText w:val="%1."/>
      <w:lvlJc w:val="left"/>
      <w:pPr>
        <w:tabs>
          <w:tab w:val="num" w:pos="0"/>
        </w:tabs>
        <w:ind w:left="916" w:hanging="360"/>
      </w:pPr>
      <w:rPr>
        <w:rFonts w:cs="Calibri"/>
        <w:b w:val="false"/>
        <w:bCs w:val="false"/>
        <w:strike w:val="false"/>
        <w:dstrike w:val="false"/>
        <w:color w:val="00000A"/>
        <w:sz w:val="22"/>
        <w:szCs w:val="22"/>
      </w:rPr>
    </w:lvl>
    <w:lvl w:ilvl="1">
      <w:start w:val="1"/>
      <w:numFmt w:val="lowerLetter"/>
      <w:lvlText w:val="%1.%2."/>
      <w:lvlJc w:val="left"/>
      <w:pPr>
        <w:tabs>
          <w:tab w:val="num" w:pos="0"/>
        </w:tabs>
        <w:ind w:left="1789" w:hanging="360"/>
      </w:pPr>
      <w:rPr>
        <w:position w:val="0"/>
        <w:sz w:val="22"/>
        <w:vertAlign w:val="baseline"/>
      </w:rPr>
    </w:lvl>
    <w:lvl w:ilvl="2">
      <w:start w:val="1"/>
      <w:numFmt w:val="lowerRoman"/>
      <w:lvlText w:val="%2.%3."/>
      <w:lvlJc w:val="right"/>
      <w:pPr>
        <w:tabs>
          <w:tab w:val="num" w:pos="0"/>
        </w:tabs>
        <w:ind w:left="2509" w:hanging="180"/>
      </w:pPr>
      <w:rPr>
        <w:position w:val="0"/>
        <w:sz w:val="22"/>
        <w:vertAlign w:val="baseline"/>
      </w:rPr>
    </w:lvl>
    <w:lvl w:ilvl="3">
      <w:start w:val="1"/>
      <w:numFmt w:val="decimal"/>
      <w:lvlText w:val="%3.%4."/>
      <w:lvlJc w:val="left"/>
      <w:pPr>
        <w:tabs>
          <w:tab w:val="num" w:pos="0"/>
        </w:tabs>
        <w:ind w:left="3229" w:hanging="360"/>
      </w:pPr>
      <w:rPr>
        <w:position w:val="0"/>
        <w:sz w:val="22"/>
        <w:vertAlign w:val="baseline"/>
      </w:rPr>
    </w:lvl>
    <w:lvl w:ilvl="4">
      <w:start w:val="1"/>
      <w:numFmt w:val="lowerLetter"/>
      <w:lvlText w:val="%4.%5."/>
      <w:lvlJc w:val="left"/>
      <w:pPr>
        <w:tabs>
          <w:tab w:val="num" w:pos="0"/>
        </w:tabs>
        <w:ind w:left="3949" w:hanging="360"/>
      </w:pPr>
      <w:rPr>
        <w:position w:val="0"/>
        <w:sz w:val="22"/>
        <w:vertAlign w:val="baseline"/>
      </w:rPr>
    </w:lvl>
    <w:lvl w:ilvl="5">
      <w:start w:val="1"/>
      <w:numFmt w:val="lowerRoman"/>
      <w:lvlText w:val="%5.%6."/>
      <w:lvlJc w:val="right"/>
      <w:pPr>
        <w:tabs>
          <w:tab w:val="num" w:pos="0"/>
        </w:tabs>
        <w:ind w:left="4669" w:hanging="180"/>
      </w:pPr>
      <w:rPr>
        <w:position w:val="0"/>
        <w:sz w:val="22"/>
        <w:vertAlign w:val="baseline"/>
      </w:rPr>
    </w:lvl>
    <w:lvl w:ilvl="6">
      <w:start w:val="1"/>
      <w:numFmt w:val="decimal"/>
      <w:lvlText w:val="%6.%7."/>
      <w:lvlJc w:val="left"/>
      <w:pPr>
        <w:tabs>
          <w:tab w:val="num" w:pos="0"/>
        </w:tabs>
        <w:ind w:left="5389" w:hanging="360"/>
      </w:pPr>
      <w:rPr>
        <w:position w:val="0"/>
        <w:sz w:val="22"/>
        <w:vertAlign w:val="baseline"/>
      </w:rPr>
    </w:lvl>
    <w:lvl w:ilvl="7">
      <w:start w:val="1"/>
      <w:numFmt w:val="lowerLetter"/>
      <w:lvlText w:val="%7.%8."/>
      <w:lvlJc w:val="left"/>
      <w:pPr>
        <w:tabs>
          <w:tab w:val="num" w:pos="0"/>
        </w:tabs>
        <w:ind w:left="6109" w:hanging="360"/>
      </w:pPr>
      <w:rPr>
        <w:position w:val="0"/>
        <w:sz w:val="22"/>
        <w:vertAlign w:val="baseline"/>
      </w:rPr>
    </w:lvl>
    <w:lvl w:ilvl="8">
      <w:start w:val="1"/>
      <w:numFmt w:val="lowerRoman"/>
      <w:lvlText w:val="%8.%9."/>
      <w:lvlJc w:val="right"/>
      <w:pPr>
        <w:tabs>
          <w:tab w:val="num" w:pos="0"/>
        </w:tabs>
        <w:ind w:left="6829" w:hanging="180"/>
      </w:pPr>
      <w:rPr>
        <w:position w:val="0"/>
        <w:sz w:val="22"/>
        <w:vertAlign w:val="baseline"/>
      </w:rPr>
    </w:lvl>
  </w:abstractNum>
  <w:abstractNum w:abstractNumId="17">
    <w:lvl w:ilvl="0">
      <w:start w:val="1"/>
      <w:numFmt w:val="decimal"/>
      <w:lvlText w:val="%1."/>
      <w:lvlJc w:val="left"/>
      <w:pPr>
        <w:tabs>
          <w:tab w:val="num" w:pos="0"/>
        </w:tabs>
        <w:ind w:left="720" w:hanging="360"/>
      </w:pPr>
      <w:rPr>
        <w:b/>
        <w:color w:val="000000"/>
        <w:sz w:val="20"/>
        <w:szCs w:val="20"/>
        <w:u w:val="none"/>
      </w:rPr>
    </w:lvl>
    <w:lvl w:ilvl="1">
      <w:start w:val="1"/>
      <w:numFmt w:val="lowerLetter"/>
      <w:lvlText w:val="%1.%2."/>
      <w:lvlJc w:val="left"/>
      <w:pPr>
        <w:tabs>
          <w:tab w:val="num" w:pos="0"/>
        </w:tabs>
        <w:ind w:left="1440" w:hanging="360"/>
      </w:pPr>
      <w:rPr>
        <w:color w:val="000000"/>
        <w:sz w:val="24"/>
        <w:szCs w:val="20"/>
        <w:u w:val="none"/>
      </w:rPr>
    </w:lvl>
    <w:lvl w:ilvl="2">
      <w:start w:val="1"/>
      <w:numFmt w:val="lowerRoman"/>
      <w:lvlText w:val="%2.%3."/>
      <w:lvlJc w:val="right"/>
      <w:pPr>
        <w:tabs>
          <w:tab w:val="num" w:pos="0"/>
        </w:tabs>
        <w:ind w:left="2160" w:hanging="360"/>
      </w:pPr>
      <w:rPr>
        <w:color w:val="000000"/>
        <w:sz w:val="24"/>
        <w:szCs w:val="20"/>
        <w:u w:val="none"/>
      </w:rPr>
    </w:lvl>
    <w:lvl w:ilvl="3">
      <w:start w:val="1"/>
      <w:numFmt w:val="decimal"/>
      <w:lvlText w:val="%3.%4."/>
      <w:lvlJc w:val="left"/>
      <w:pPr>
        <w:tabs>
          <w:tab w:val="num" w:pos="0"/>
        </w:tabs>
        <w:ind w:left="2880" w:hanging="360"/>
      </w:pPr>
      <w:rPr>
        <w:color w:val="000000"/>
        <w:sz w:val="24"/>
        <w:szCs w:val="20"/>
        <w:u w:val="none"/>
      </w:rPr>
    </w:lvl>
    <w:lvl w:ilvl="4">
      <w:start w:val="1"/>
      <w:numFmt w:val="lowerLetter"/>
      <w:lvlText w:val="%4.%5."/>
      <w:lvlJc w:val="left"/>
      <w:pPr>
        <w:tabs>
          <w:tab w:val="num" w:pos="0"/>
        </w:tabs>
        <w:ind w:left="3600" w:hanging="360"/>
      </w:pPr>
      <w:rPr>
        <w:color w:val="000000"/>
        <w:sz w:val="24"/>
        <w:szCs w:val="20"/>
        <w:u w:val="none"/>
      </w:rPr>
    </w:lvl>
    <w:lvl w:ilvl="5">
      <w:start w:val="1"/>
      <w:numFmt w:val="lowerRoman"/>
      <w:lvlText w:val="%5.%6."/>
      <w:lvlJc w:val="right"/>
      <w:pPr>
        <w:tabs>
          <w:tab w:val="num" w:pos="0"/>
        </w:tabs>
        <w:ind w:left="4320" w:hanging="360"/>
      </w:pPr>
      <w:rPr>
        <w:color w:val="000000"/>
        <w:sz w:val="24"/>
        <w:szCs w:val="20"/>
        <w:u w:val="none"/>
      </w:rPr>
    </w:lvl>
    <w:lvl w:ilvl="6">
      <w:start w:val="1"/>
      <w:numFmt w:val="decimal"/>
      <w:lvlText w:val="%6.%7."/>
      <w:lvlJc w:val="left"/>
      <w:pPr>
        <w:tabs>
          <w:tab w:val="num" w:pos="0"/>
        </w:tabs>
        <w:ind w:left="5040" w:hanging="360"/>
      </w:pPr>
      <w:rPr>
        <w:color w:val="000000"/>
        <w:sz w:val="24"/>
        <w:szCs w:val="20"/>
        <w:u w:val="none"/>
      </w:rPr>
    </w:lvl>
    <w:lvl w:ilvl="7">
      <w:start w:val="1"/>
      <w:numFmt w:val="lowerLetter"/>
      <w:lvlText w:val="%7.%8."/>
      <w:lvlJc w:val="left"/>
      <w:pPr>
        <w:tabs>
          <w:tab w:val="num" w:pos="0"/>
        </w:tabs>
        <w:ind w:left="5760" w:hanging="360"/>
      </w:pPr>
      <w:rPr>
        <w:color w:val="000000"/>
        <w:sz w:val="24"/>
        <w:szCs w:val="20"/>
        <w:u w:val="none"/>
      </w:rPr>
    </w:lvl>
    <w:lvl w:ilvl="8">
      <w:start w:val="1"/>
      <w:numFmt w:val="lowerRoman"/>
      <w:lvlText w:val="%8.%9."/>
      <w:lvlJc w:val="right"/>
      <w:pPr>
        <w:tabs>
          <w:tab w:val="num" w:pos="0"/>
        </w:tabs>
        <w:ind w:left="6480" w:hanging="360"/>
      </w:pPr>
      <w:rPr>
        <w:color w:val="000000"/>
        <w:sz w:val="24"/>
        <w:szCs w:val="20"/>
        <w:u w:val="none"/>
      </w:rPr>
    </w:lvl>
  </w:abstractNum>
  <w:abstractNum w:abstractNumId="18">
    <w:lvl w:ilvl="0">
      <w:start w:val="1"/>
      <w:numFmt w:val="decimal"/>
      <w:lvlText w:val="%1."/>
      <w:lvlJc w:val="left"/>
      <w:pPr>
        <w:tabs>
          <w:tab w:val="num" w:pos="0"/>
        </w:tabs>
        <w:ind w:left="453" w:hanging="453"/>
      </w:pPr>
      <w:rPr>
        <w:b w:val="false"/>
        <w:bCs w:val="false"/>
        <w:color w:val="000000"/>
        <w:position w:val="0"/>
        <w:sz w:val="30"/>
        <w:szCs w:val="30"/>
        <w:vertAlign w:val="baseline"/>
      </w:rPr>
    </w:lvl>
    <w:lvl w:ilvl="1">
      <w:start w:val="1"/>
      <w:numFmt w:val="lowerLetter"/>
      <w:lvlText w:val="%1.%2."/>
      <w:lvlJc w:val="left"/>
      <w:pPr>
        <w:tabs>
          <w:tab w:val="num" w:pos="0"/>
        </w:tabs>
        <w:ind w:left="164" w:hanging="360"/>
      </w:pPr>
      <w:rPr>
        <w:position w:val="0"/>
        <w:sz w:val="22"/>
        <w:vertAlign w:val="baseline"/>
      </w:rPr>
    </w:lvl>
    <w:lvl w:ilvl="2">
      <w:start w:val="1"/>
      <w:numFmt w:val="lowerRoman"/>
      <w:lvlText w:val="%2.%3."/>
      <w:lvlJc w:val="right"/>
      <w:pPr>
        <w:tabs>
          <w:tab w:val="num" w:pos="0"/>
        </w:tabs>
        <w:ind w:left="884" w:hanging="180"/>
      </w:pPr>
      <w:rPr>
        <w:position w:val="0"/>
        <w:sz w:val="22"/>
        <w:vertAlign w:val="baseline"/>
      </w:rPr>
    </w:lvl>
    <w:lvl w:ilvl="3">
      <w:start w:val="1"/>
      <w:numFmt w:val="decimal"/>
      <w:lvlText w:val="%3.%4."/>
      <w:lvlJc w:val="left"/>
      <w:pPr>
        <w:tabs>
          <w:tab w:val="num" w:pos="0"/>
        </w:tabs>
        <w:ind w:left="1604" w:hanging="360"/>
      </w:pPr>
      <w:rPr>
        <w:position w:val="0"/>
        <w:sz w:val="22"/>
        <w:vertAlign w:val="baseline"/>
      </w:rPr>
    </w:lvl>
    <w:lvl w:ilvl="4">
      <w:start w:val="1"/>
      <w:numFmt w:val="lowerLetter"/>
      <w:lvlText w:val="%4.%5."/>
      <w:lvlJc w:val="left"/>
      <w:pPr>
        <w:tabs>
          <w:tab w:val="num" w:pos="0"/>
        </w:tabs>
        <w:ind w:left="2324" w:hanging="360"/>
      </w:pPr>
      <w:rPr>
        <w:position w:val="0"/>
        <w:sz w:val="22"/>
        <w:vertAlign w:val="baseline"/>
      </w:rPr>
    </w:lvl>
    <w:lvl w:ilvl="5">
      <w:start w:val="1"/>
      <w:numFmt w:val="lowerRoman"/>
      <w:lvlText w:val="%5.%6."/>
      <w:lvlJc w:val="right"/>
      <w:pPr>
        <w:tabs>
          <w:tab w:val="num" w:pos="0"/>
        </w:tabs>
        <w:ind w:left="3044" w:hanging="180"/>
      </w:pPr>
      <w:rPr>
        <w:position w:val="0"/>
        <w:sz w:val="22"/>
        <w:vertAlign w:val="baseline"/>
      </w:rPr>
    </w:lvl>
    <w:lvl w:ilvl="6">
      <w:start w:val="1"/>
      <w:numFmt w:val="decimal"/>
      <w:lvlText w:val="%6.%7."/>
      <w:lvlJc w:val="left"/>
      <w:pPr>
        <w:tabs>
          <w:tab w:val="num" w:pos="0"/>
        </w:tabs>
        <w:ind w:left="3764" w:hanging="360"/>
      </w:pPr>
      <w:rPr>
        <w:position w:val="0"/>
        <w:sz w:val="22"/>
        <w:vertAlign w:val="baseline"/>
      </w:rPr>
    </w:lvl>
    <w:lvl w:ilvl="7">
      <w:start w:val="1"/>
      <w:numFmt w:val="lowerLetter"/>
      <w:lvlText w:val="%7.%8."/>
      <w:lvlJc w:val="left"/>
      <w:pPr>
        <w:tabs>
          <w:tab w:val="num" w:pos="0"/>
        </w:tabs>
        <w:ind w:left="4484" w:hanging="360"/>
      </w:pPr>
      <w:rPr>
        <w:position w:val="0"/>
        <w:sz w:val="22"/>
        <w:vertAlign w:val="baseline"/>
      </w:rPr>
    </w:lvl>
    <w:lvl w:ilvl="8">
      <w:start w:val="1"/>
      <w:numFmt w:val="lowerRoman"/>
      <w:lvlText w:val="%8.%9."/>
      <w:lvlJc w:val="right"/>
      <w:pPr>
        <w:tabs>
          <w:tab w:val="num" w:pos="0"/>
        </w:tabs>
        <w:ind w:left="5204" w:hanging="180"/>
      </w:pPr>
      <w:rPr>
        <w:position w:val="0"/>
        <w:sz w:val="22"/>
        <w:vertAlign w:val="baseline"/>
      </w:rPr>
    </w:lvl>
  </w:abstractNum>
  <w:abstractNum w:abstractNumId="19">
    <w:lvl w:ilvl="0">
      <w:start w:val="1"/>
      <w:numFmt w:val="decimal"/>
      <w:lvlText w:val="%1."/>
      <w:lvlJc w:val="left"/>
      <w:pPr>
        <w:tabs>
          <w:tab w:val="num" w:pos="0"/>
        </w:tabs>
        <w:ind w:left="1800" w:hanging="363"/>
      </w:pPr>
      <w:rPr>
        <w:b w:val="false"/>
        <w:bCs/>
        <w:color w:val="00000A"/>
        <w:position w:val="0"/>
        <w:sz w:val="22"/>
        <w:vertAlign w:val="baseline"/>
      </w:rPr>
    </w:lvl>
    <w:lvl w:ilvl="1">
      <w:start w:val="1"/>
      <w:numFmt w:val="lowerLetter"/>
      <w:lvlText w:val="%1.%2."/>
      <w:lvlJc w:val="left"/>
      <w:pPr>
        <w:tabs>
          <w:tab w:val="num" w:pos="0"/>
        </w:tabs>
        <w:ind w:left="1440" w:hanging="360"/>
      </w:pPr>
      <w:rPr>
        <w:position w:val="0"/>
        <w:sz w:val="22"/>
        <w:vertAlign w:val="baseline"/>
      </w:rPr>
    </w:lvl>
    <w:lvl w:ilvl="2">
      <w:start w:val="1"/>
      <w:numFmt w:val="lowerRoman"/>
      <w:lvlText w:val="%2.%3."/>
      <w:lvlJc w:val="right"/>
      <w:pPr>
        <w:tabs>
          <w:tab w:val="num" w:pos="0"/>
        </w:tabs>
        <w:ind w:left="2160" w:hanging="180"/>
      </w:pPr>
      <w:rPr>
        <w:position w:val="0"/>
        <w:sz w:val="22"/>
        <w:vertAlign w:val="baseline"/>
      </w:rPr>
    </w:lvl>
    <w:lvl w:ilvl="3">
      <w:start w:val="1"/>
      <w:numFmt w:val="decimal"/>
      <w:lvlText w:val="%3.%4."/>
      <w:lvlJc w:val="left"/>
      <w:pPr>
        <w:tabs>
          <w:tab w:val="num" w:pos="0"/>
        </w:tabs>
        <w:ind w:left="2880" w:hanging="360"/>
      </w:pPr>
      <w:rPr>
        <w:position w:val="0"/>
        <w:sz w:val="22"/>
        <w:vertAlign w:val="baseline"/>
      </w:rPr>
    </w:lvl>
    <w:lvl w:ilvl="4">
      <w:start w:val="1"/>
      <w:numFmt w:val="lowerLetter"/>
      <w:lvlText w:val="%4.%5."/>
      <w:lvlJc w:val="left"/>
      <w:pPr>
        <w:tabs>
          <w:tab w:val="num" w:pos="0"/>
        </w:tabs>
        <w:ind w:left="3600" w:hanging="360"/>
      </w:pPr>
      <w:rPr>
        <w:position w:val="0"/>
        <w:sz w:val="22"/>
        <w:vertAlign w:val="baseline"/>
      </w:rPr>
    </w:lvl>
    <w:lvl w:ilvl="5">
      <w:start w:val="1"/>
      <w:numFmt w:val="lowerRoman"/>
      <w:lvlText w:val="%5.%6."/>
      <w:lvlJc w:val="right"/>
      <w:pPr>
        <w:tabs>
          <w:tab w:val="num" w:pos="0"/>
        </w:tabs>
        <w:ind w:left="4320" w:hanging="180"/>
      </w:pPr>
      <w:rPr>
        <w:position w:val="0"/>
        <w:sz w:val="22"/>
        <w:vertAlign w:val="baseline"/>
      </w:rPr>
    </w:lvl>
    <w:lvl w:ilvl="6">
      <w:start w:val="1"/>
      <w:numFmt w:val="decimal"/>
      <w:lvlText w:val="%6.%7."/>
      <w:lvlJc w:val="left"/>
      <w:pPr>
        <w:tabs>
          <w:tab w:val="num" w:pos="0"/>
        </w:tabs>
        <w:ind w:left="5040" w:hanging="360"/>
      </w:pPr>
      <w:rPr>
        <w:position w:val="0"/>
        <w:sz w:val="22"/>
        <w:vertAlign w:val="baseline"/>
      </w:rPr>
    </w:lvl>
    <w:lvl w:ilvl="7">
      <w:start w:val="1"/>
      <w:numFmt w:val="lowerLetter"/>
      <w:lvlText w:val="%7.%8."/>
      <w:lvlJc w:val="left"/>
      <w:pPr>
        <w:tabs>
          <w:tab w:val="num" w:pos="0"/>
        </w:tabs>
        <w:ind w:left="5760" w:hanging="360"/>
      </w:pPr>
      <w:rPr>
        <w:position w:val="0"/>
        <w:sz w:val="22"/>
        <w:vertAlign w:val="baseline"/>
      </w:rPr>
    </w:lvl>
    <w:lvl w:ilvl="8">
      <w:start w:val="1"/>
      <w:numFmt w:val="lowerRoman"/>
      <w:lvlText w:val="%8.%9."/>
      <w:lvlJc w:val="right"/>
      <w:pPr>
        <w:tabs>
          <w:tab w:val="num" w:pos="0"/>
        </w:tabs>
        <w:ind w:left="6480" w:hanging="180"/>
      </w:pPr>
      <w:rPr>
        <w:position w:val="0"/>
        <w:sz w:val="22"/>
        <w:vertAlign w:val="baseline"/>
      </w:rPr>
    </w:lvl>
  </w:abstractNum>
  <w:abstractNum w:abstractNumId="20">
    <w:lvl w:ilvl="0">
      <w:start w:val="1"/>
      <w:numFmt w:val="decimal"/>
      <w:lvlText w:val="%1."/>
      <w:lvlJc w:val="left"/>
      <w:pPr>
        <w:tabs>
          <w:tab w:val="num" w:pos="720"/>
        </w:tabs>
        <w:ind w:left="720" w:hanging="720"/>
      </w:pPr>
      <w:rPr>
        <w:rFonts w:eastAsia="Arial" w:cs="Arial"/>
        <w:b w:val="false"/>
        <w:bCs w:val="false"/>
        <w:color w:val="000000"/>
        <w:position w:val="0"/>
        <w:sz w:val="30"/>
        <w:szCs w:val="30"/>
        <w:vertAlign w:val="baseline"/>
      </w:rPr>
    </w:lvl>
    <w:lvl w:ilvl="1">
      <w:start w:val="1"/>
      <w:numFmt w:val="decimal"/>
      <w:lvlText w:val="%1.%2."/>
      <w:lvlJc w:val="left"/>
      <w:pPr>
        <w:tabs>
          <w:tab w:val="num" w:pos="0"/>
        </w:tabs>
        <w:ind w:left="720" w:hanging="360"/>
      </w:pPr>
      <w:rPr>
        <w:b w:val="false"/>
        <w:position w:val="0"/>
        <w:sz w:val="22"/>
        <w:vertAlign w:val="baseline"/>
      </w:rPr>
    </w:lvl>
    <w:lvl w:ilvl="2">
      <w:start w:val="1"/>
      <w:numFmt w:val="lowerRoman"/>
      <w:lvlText w:val="%2.%3."/>
      <w:lvlJc w:val="right"/>
      <w:pPr>
        <w:tabs>
          <w:tab w:val="num" w:pos="0"/>
        </w:tabs>
        <w:ind w:left="2160" w:hanging="180"/>
      </w:pPr>
      <w:rPr>
        <w:position w:val="0"/>
        <w:sz w:val="22"/>
        <w:vertAlign w:val="baseline"/>
      </w:rPr>
    </w:lvl>
    <w:lvl w:ilvl="3">
      <w:start w:val="1"/>
      <w:numFmt w:val="decimal"/>
      <w:lvlText w:val="%3.%4."/>
      <w:lvlJc w:val="left"/>
      <w:pPr>
        <w:tabs>
          <w:tab w:val="num" w:pos="0"/>
        </w:tabs>
        <w:ind w:left="2880" w:hanging="360"/>
      </w:pPr>
      <w:rPr>
        <w:position w:val="0"/>
        <w:sz w:val="22"/>
        <w:vertAlign w:val="baseline"/>
      </w:rPr>
    </w:lvl>
    <w:lvl w:ilvl="4">
      <w:start w:val="1"/>
      <w:numFmt w:val="lowerLetter"/>
      <w:lvlText w:val="%4.%5."/>
      <w:lvlJc w:val="left"/>
      <w:pPr>
        <w:tabs>
          <w:tab w:val="num" w:pos="0"/>
        </w:tabs>
        <w:ind w:left="3600" w:hanging="360"/>
      </w:pPr>
      <w:rPr>
        <w:position w:val="0"/>
        <w:sz w:val="22"/>
        <w:vertAlign w:val="baseline"/>
      </w:rPr>
    </w:lvl>
    <w:lvl w:ilvl="5">
      <w:start w:val="1"/>
      <w:numFmt w:val="decimal"/>
      <w:lvlText w:val="%5.%6."/>
      <w:lvlJc w:val="right"/>
      <w:pPr>
        <w:tabs>
          <w:tab w:val="num" w:pos="0"/>
        </w:tabs>
        <w:ind w:left="4320" w:hanging="180"/>
      </w:pPr>
      <w:rPr>
        <w:rFonts w:eastAsia="Arial" w:cs="Arial"/>
        <w:position w:val="0"/>
        <w:sz w:val="22"/>
        <w:vertAlign w:val="baseline"/>
      </w:rPr>
    </w:lvl>
    <w:lvl w:ilvl="6">
      <w:start w:val="1"/>
      <w:numFmt w:val="decimal"/>
      <w:lvlText w:val="%6.%7."/>
      <w:lvlJc w:val="left"/>
      <w:pPr>
        <w:tabs>
          <w:tab w:val="num" w:pos="0"/>
        </w:tabs>
        <w:ind w:left="5040" w:hanging="360"/>
      </w:pPr>
      <w:rPr>
        <w:position w:val="0"/>
        <w:sz w:val="22"/>
        <w:vertAlign w:val="baseline"/>
      </w:rPr>
    </w:lvl>
    <w:lvl w:ilvl="7">
      <w:start w:val="1"/>
      <w:numFmt w:val="lowerLetter"/>
      <w:lvlText w:val="%7.%8."/>
      <w:lvlJc w:val="left"/>
      <w:pPr>
        <w:tabs>
          <w:tab w:val="num" w:pos="0"/>
        </w:tabs>
        <w:ind w:left="5760" w:hanging="360"/>
      </w:pPr>
      <w:rPr>
        <w:position w:val="0"/>
        <w:sz w:val="22"/>
        <w:vertAlign w:val="baseline"/>
      </w:rPr>
    </w:lvl>
    <w:lvl w:ilvl="8">
      <w:start w:val="1"/>
      <w:numFmt w:val="lowerRoman"/>
      <w:lvlText w:val="%8.%9."/>
      <w:lvlJc w:val="right"/>
      <w:pPr>
        <w:tabs>
          <w:tab w:val="num" w:pos="0"/>
        </w:tabs>
        <w:ind w:left="6480" w:hanging="180"/>
      </w:pPr>
      <w:rPr>
        <w:position w:val="0"/>
        <w:sz w:val="22"/>
        <w:vertAlign w:val="baseline"/>
      </w:rPr>
    </w:lvl>
  </w:abstractNum>
  <w:abstractNum w:abstractNumId="21">
    <w:lvl w:ilvl="0">
      <w:start w:val="1"/>
      <w:numFmt w:val="bullet"/>
      <w:lvlText w:val=""/>
      <w:lvlJc w:val="left"/>
      <w:pPr>
        <w:tabs>
          <w:tab w:val="num" w:pos="720"/>
        </w:tabs>
        <w:ind w:left="720" w:hanging="360"/>
      </w:pPr>
      <w:rPr>
        <w:rFonts w:ascii="Symbol" w:hAnsi="Symbol" w:cs="Symbol" w:hint="default"/>
        <w:sz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lvl w:ilvl="0">
      <w:start w:val="1"/>
      <w:numFmt w:val="bullet"/>
      <w:lvlText w:val=""/>
      <w:lvlJc w:val="left"/>
      <w:pPr>
        <w:tabs>
          <w:tab w:val="num" w:pos="720"/>
        </w:tabs>
        <w:ind w:left="720" w:hanging="360"/>
      </w:pPr>
      <w:rPr>
        <w:rFonts w:ascii="Symbol" w:hAnsi="Symbol" w:cs="Symbol" w:hint="default"/>
        <w:sz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3">
    <w:lvl w:ilvl="0">
      <w:start w:val="1"/>
      <w:numFmt w:val="decimal"/>
      <w:lvlText w:val="%1."/>
      <w:lvlJc w:val="left"/>
      <w:pPr>
        <w:tabs>
          <w:tab w:val="num" w:pos="0"/>
        </w:tabs>
        <w:ind w:left="1146" w:hanging="360"/>
      </w:pPr>
      <w:rPr>
        <w:rFonts w:eastAsia="Arial" w:cs="Arial"/>
        <w:b w:val="false"/>
        <w:bCs w:val="false"/>
        <w:color w:val="000000"/>
        <w:position w:val="0"/>
        <w:sz w:val="22"/>
        <w:szCs w:val="22"/>
        <w:vertAlign w:val="baseline"/>
      </w:rPr>
    </w:lvl>
    <w:lvl w:ilvl="1">
      <w:start w:val="1"/>
      <w:numFmt w:val="lowerLetter"/>
      <w:lvlText w:val="%1.%2."/>
      <w:lvlJc w:val="left"/>
      <w:pPr>
        <w:tabs>
          <w:tab w:val="num" w:pos="0"/>
        </w:tabs>
        <w:ind w:left="1866" w:hanging="360"/>
      </w:pPr>
      <w:rPr>
        <w:position w:val="0"/>
        <w:sz w:val="22"/>
        <w:vertAlign w:val="baseline"/>
      </w:rPr>
    </w:lvl>
    <w:lvl w:ilvl="2">
      <w:start w:val="1"/>
      <w:numFmt w:val="lowerRoman"/>
      <w:lvlText w:val="%2.%3."/>
      <w:lvlJc w:val="right"/>
      <w:pPr>
        <w:tabs>
          <w:tab w:val="num" w:pos="0"/>
        </w:tabs>
        <w:ind w:left="2586" w:hanging="180"/>
      </w:pPr>
      <w:rPr>
        <w:position w:val="0"/>
        <w:sz w:val="22"/>
        <w:vertAlign w:val="baseline"/>
      </w:rPr>
    </w:lvl>
    <w:lvl w:ilvl="3">
      <w:start w:val="1"/>
      <w:numFmt w:val="decimal"/>
      <w:lvlText w:val="%3.%4."/>
      <w:lvlJc w:val="left"/>
      <w:pPr>
        <w:tabs>
          <w:tab w:val="num" w:pos="0"/>
        </w:tabs>
        <w:ind w:left="3306" w:hanging="360"/>
      </w:pPr>
      <w:rPr>
        <w:position w:val="0"/>
        <w:sz w:val="22"/>
        <w:vertAlign w:val="baseline"/>
      </w:rPr>
    </w:lvl>
    <w:lvl w:ilvl="4">
      <w:start w:val="1"/>
      <w:numFmt w:val="lowerLetter"/>
      <w:lvlText w:val="%4.%5."/>
      <w:lvlJc w:val="left"/>
      <w:pPr>
        <w:tabs>
          <w:tab w:val="num" w:pos="0"/>
        </w:tabs>
        <w:ind w:left="4026" w:hanging="360"/>
      </w:pPr>
      <w:rPr>
        <w:position w:val="0"/>
        <w:sz w:val="22"/>
        <w:vertAlign w:val="baseline"/>
      </w:rPr>
    </w:lvl>
    <w:lvl w:ilvl="5">
      <w:start w:val="1"/>
      <w:numFmt w:val="lowerRoman"/>
      <w:lvlText w:val="%5.%6."/>
      <w:lvlJc w:val="right"/>
      <w:pPr>
        <w:tabs>
          <w:tab w:val="num" w:pos="0"/>
        </w:tabs>
        <w:ind w:left="4746" w:hanging="180"/>
      </w:pPr>
      <w:rPr>
        <w:position w:val="0"/>
        <w:sz w:val="22"/>
        <w:vertAlign w:val="baseline"/>
      </w:rPr>
    </w:lvl>
    <w:lvl w:ilvl="6">
      <w:start w:val="1"/>
      <w:numFmt w:val="decimal"/>
      <w:lvlText w:val="%6.%7."/>
      <w:lvlJc w:val="left"/>
      <w:pPr>
        <w:tabs>
          <w:tab w:val="num" w:pos="0"/>
        </w:tabs>
        <w:ind w:left="5466" w:hanging="360"/>
      </w:pPr>
      <w:rPr>
        <w:position w:val="0"/>
        <w:sz w:val="22"/>
        <w:vertAlign w:val="baseline"/>
      </w:rPr>
    </w:lvl>
    <w:lvl w:ilvl="7">
      <w:start w:val="1"/>
      <w:numFmt w:val="lowerLetter"/>
      <w:lvlText w:val="%7.%8."/>
      <w:lvlJc w:val="left"/>
      <w:pPr>
        <w:tabs>
          <w:tab w:val="num" w:pos="0"/>
        </w:tabs>
        <w:ind w:left="6186" w:hanging="360"/>
      </w:pPr>
      <w:rPr>
        <w:position w:val="0"/>
        <w:sz w:val="22"/>
        <w:vertAlign w:val="baseline"/>
      </w:rPr>
    </w:lvl>
    <w:lvl w:ilvl="8">
      <w:start w:val="1"/>
      <w:numFmt w:val="lowerRoman"/>
      <w:lvlText w:val="%8.%9."/>
      <w:lvlJc w:val="right"/>
      <w:pPr>
        <w:tabs>
          <w:tab w:val="num" w:pos="0"/>
        </w:tabs>
        <w:ind w:left="6906" w:hanging="180"/>
      </w:pPr>
      <w:rPr>
        <w:position w:val="0"/>
        <w:sz w:val="22"/>
        <w:vertAlign w:val="baseline"/>
      </w:rPr>
    </w:lvl>
  </w:abstractNum>
  <w:abstractNum w:abstractNumId="24">
    <w:lvl w:ilvl="0">
      <w:start w:val="1"/>
      <w:numFmt w:val="decimal"/>
      <w:lvlText w:val="%1."/>
      <w:lvlJc w:val="left"/>
      <w:pPr>
        <w:tabs>
          <w:tab w:val="num" w:pos="417"/>
        </w:tabs>
        <w:ind w:left="417" w:hanging="360"/>
      </w:pPr>
      <w:rPr>
        <w:rFonts w:eastAsia="Calibri" w:cs="Calibri"/>
        <w:b w:val="false"/>
        <w:bCs w:val="false"/>
        <w:sz w:val="30"/>
        <w:szCs w:val="22"/>
      </w:rPr>
    </w:lvl>
    <w:lvl w:ilvl="1">
      <w:start w:val="1"/>
      <w:numFmt w:val="decimal"/>
      <w:lvlText w:val="%2."/>
      <w:lvlJc w:val="left"/>
      <w:pPr>
        <w:tabs>
          <w:tab w:val="num" w:pos="777"/>
        </w:tabs>
        <w:ind w:left="777" w:hanging="360"/>
      </w:pPr>
      <w:rPr>
        <w:rFonts w:eastAsia="Calibri" w:cs="Calibri"/>
        <w:b w:val="false"/>
        <w:bCs w:val="false"/>
        <w:sz w:val="22"/>
        <w:szCs w:val="22"/>
      </w:rPr>
    </w:lvl>
    <w:lvl w:ilvl="2">
      <w:start w:val="1"/>
      <w:numFmt w:val="decimal"/>
      <w:lvlText w:val="%3."/>
      <w:lvlJc w:val="left"/>
      <w:pPr>
        <w:tabs>
          <w:tab w:val="num" w:pos="1137"/>
        </w:tabs>
        <w:ind w:left="1137" w:hanging="360"/>
      </w:pPr>
      <w:rPr>
        <w:rFonts w:eastAsia="Calibri" w:cs="Calibri"/>
        <w:b w:val="false"/>
        <w:bCs w:val="false"/>
        <w:sz w:val="22"/>
        <w:szCs w:val="22"/>
      </w:rPr>
    </w:lvl>
    <w:lvl w:ilvl="3">
      <w:start w:val="1"/>
      <w:numFmt w:val="decimal"/>
      <w:lvlText w:val="%4."/>
      <w:lvlJc w:val="left"/>
      <w:pPr>
        <w:tabs>
          <w:tab w:val="num" w:pos="1497"/>
        </w:tabs>
        <w:ind w:left="1497" w:hanging="360"/>
      </w:pPr>
      <w:rPr>
        <w:rFonts w:eastAsia="Calibri" w:cs="Calibri"/>
        <w:b w:val="false"/>
        <w:bCs w:val="false"/>
        <w:sz w:val="22"/>
        <w:szCs w:val="22"/>
      </w:rPr>
    </w:lvl>
    <w:lvl w:ilvl="4">
      <w:start w:val="1"/>
      <w:numFmt w:val="decimal"/>
      <w:lvlText w:val="%5."/>
      <w:lvlJc w:val="left"/>
      <w:pPr>
        <w:tabs>
          <w:tab w:val="num" w:pos="1857"/>
        </w:tabs>
        <w:ind w:left="1857" w:hanging="360"/>
      </w:pPr>
      <w:rPr>
        <w:rFonts w:eastAsia="Calibri" w:cs="Calibri"/>
        <w:b w:val="false"/>
        <w:bCs w:val="false"/>
        <w:sz w:val="22"/>
        <w:szCs w:val="22"/>
      </w:rPr>
    </w:lvl>
    <w:lvl w:ilvl="5">
      <w:start w:val="1"/>
      <w:numFmt w:val="decimal"/>
      <w:lvlText w:val="%6."/>
      <w:lvlJc w:val="left"/>
      <w:pPr>
        <w:tabs>
          <w:tab w:val="num" w:pos="2217"/>
        </w:tabs>
        <w:ind w:left="2217" w:hanging="360"/>
      </w:pPr>
      <w:rPr>
        <w:rFonts w:eastAsia="Calibri" w:cs="Calibri"/>
        <w:b w:val="false"/>
        <w:bCs w:val="false"/>
        <w:sz w:val="22"/>
        <w:szCs w:val="22"/>
      </w:rPr>
    </w:lvl>
    <w:lvl w:ilvl="6">
      <w:start w:val="1"/>
      <w:numFmt w:val="decimal"/>
      <w:lvlText w:val="%7."/>
      <w:lvlJc w:val="left"/>
      <w:pPr>
        <w:tabs>
          <w:tab w:val="num" w:pos="2577"/>
        </w:tabs>
        <w:ind w:left="2577" w:hanging="360"/>
      </w:pPr>
      <w:rPr>
        <w:rFonts w:eastAsia="Calibri" w:cs="Calibri"/>
        <w:b w:val="false"/>
        <w:bCs w:val="false"/>
        <w:sz w:val="22"/>
        <w:szCs w:val="22"/>
      </w:rPr>
    </w:lvl>
    <w:lvl w:ilvl="7">
      <w:start w:val="1"/>
      <w:numFmt w:val="decimal"/>
      <w:lvlText w:val="%8."/>
      <w:lvlJc w:val="left"/>
      <w:pPr>
        <w:tabs>
          <w:tab w:val="num" w:pos="2937"/>
        </w:tabs>
        <w:ind w:left="2937" w:hanging="360"/>
      </w:pPr>
      <w:rPr>
        <w:rFonts w:eastAsia="Calibri" w:cs="Calibri"/>
        <w:b w:val="false"/>
        <w:bCs w:val="false"/>
        <w:sz w:val="22"/>
        <w:szCs w:val="22"/>
      </w:rPr>
    </w:lvl>
    <w:lvl w:ilvl="8">
      <w:start w:val="1"/>
      <w:numFmt w:val="decimal"/>
      <w:lvlText w:val="%9."/>
      <w:lvlJc w:val="left"/>
      <w:pPr>
        <w:tabs>
          <w:tab w:val="num" w:pos="3297"/>
        </w:tabs>
        <w:ind w:left="3297" w:hanging="360"/>
      </w:pPr>
      <w:rPr>
        <w:rFonts w:eastAsia="Calibri" w:cs="Calibri"/>
        <w:b w:val="false"/>
        <w:bCs w:val="false"/>
        <w:sz w:val="22"/>
        <w:szCs w:val="22"/>
      </w:rPr>
    </w:lvl>
  </w:abstractNum>
  <w:abstractNum w:abstractNumId="25">
    <w:lvl w:ilvl="0">
      <w:start w:val="1"/>
      <w:numFmt w:val="decimal"/>
      <w:lvlText w:val="%1."/>
      <w:lvlJc w:val="left"/>
      <w:pPr>
        <w:tabs>
          <w:tab w:val="num" w:pos="720"/>
        </w:tabs>
        <w:ind w:left="720" w:hanging="360"/>
      </w:pPr>
      <w:rPr>
        <w:rFonts w:eastAsia="Calibri" w:cs="Calibri"/>
        <w:b w:val="false"/>
        <w:bCs w:val="false"/>
        <w:sz w:val="22"/>
        <w:szCs w:val="22"/>
      </w:rPr>
    </w:lvl>
    <w:lvl w:ilvl="1">
      <w:start w:val="1"/>
      <w:numFmt w:val="decimal"/>
      <w:lvlText w:val="%2."/>
      <w:lvlJc w:val="left"/>
      <w:pPr>
        <w:tabs>
          <w:tab w:val="num" w:pos="1080"/>
        </w:tabs>
        <w:ind w:left="1080" w:hanging="360"/>
      </w:pPr>
      <w:rPr>
        <w:rFonts w:eastAsia="Calibri" w:cs="Calibri"/>
        <w:b w:val="false"/>
        <w:bCs w:val="false"/>
        <w:sz w:val="22"/>
        <w:szCs w:val="22"/>
      </w:rPr>
    </w:lvl>
    <w:lvl w:ilvl="2">
      <w:start w:val="1"/>
      <w:numFmt w:val="decimal"/>
      <w:lvlText w:val="%3."/>
      <w:lvlJc w:val="left"/>
      <w:pPr>
        <w:tabs>
          <w:tab w:val="num" w:pos="1440"/>
        </w:tabs>
        <w:ind w:left="1440" w:hanging="360"/>
      </w:pPr>
      <w:rPr>
        <w:rFonts w:eastAsia="Calibri" w:cs="Calibri"/>
        <w:b w:val="false"/>
        <w:bCs w:val="false"/>
        <w:sz w:val="22"/>
        <w:szCs w:val="22"/>
      </w:rPr>
    </w:lvl>
    <w:lvl w:ilvl="3">
      <w:start w:val="1"/>
      <w:numFmt w:val="decimal"/>
      <w:lvlText w:val="%4."/>
      <w:lvlJc w:val="left"/>
      <w:pPr>
        <w:tabs>
          <w:tab w:val="num" w:pos="1800"/>
        </w:tabs>
        <w:ind w:left="1800" w:hanging="360"/>
      </w:pPr>
      <w:rPr>
        <w:rFonts w:eastAsia="Calibri" w:cs="Calibri"/>
        <w:b w:val="false"/>
        <w:bCs w:val="false"/>
        <w:sz w:val="22"/>
        <w:szCs w:val="22"/>
      </w:rPr>
    </w:lvl>
    <w:lvl w:ilvl="4">
      <w:start w:val="1"/>
      <w:numFmt w:val="decimal"/>
      <w:lvlText w:val="%5."/>
      <w:lvlJc w:val="left"/>
      <w:pPr>
        <w:tabs>
          <w:tab w:val="num" w:pos="2160"/>
        </w:tabs>
        <w:ind w:left="2160" w:hanging="360"/>
      </w:pPr>
      <w:rPr>
        <w:rFonts w:eastAsia="Calibri" w:cs="Calibri"/>
        <w:b w:val="false"/>
        <w:bCs w:val="false"/>
        <w:sz w:val="22"/>
        <w:szCs w:val="22"/>
      </w:rPr>
    </w:lvl>
    <w:lvl w:ilvl="5">
      <w:start w:val="1"/>
      <w:numFmt w:val="decimal"/>
      <w:lvlText w:val="%6."/>
      <w:lvlJc w:val="left"/>
      <w:pPr>
        <w:tabs>
          <w:tab w:val="num" w:pos="2520"/>
        </w:tabs>
        <w:ind w:left="2520" w:hanging="360"/>
      </w:pPr>
      <w:rPr>
        <w:rFonts w:eastAsia="Calibri" w:cs="Calibri"/>
        <w:b w:val="false"/>
        <w:bCs w:val="false"/>
        <w:sz w:val="22"/>
        <w:szCs w:val="22"/>
      </w:rPr>
    </w:lvl>
    <w:lvl w:ilvl="6">
      <w:start w:val="1"/>
      <w:numFmt w:val="decimal"/>
      <w:lvlText w:val="%7."/>
      <w:lvlJc w:val="left"/>
      <w:pPr>
        <w:tabs>
          <w:tab w:val="num" w:pos="2880"/>
        </w:tabs>
        <w:ind w:left="2880" w:hanging="360"/>
      </w:pPr>
      <w:rPr>
        <w:rFonts w:eastAsia="Calibri" w:cs="Calibri"/>
        <w:b w:val="false"/>
        <w:bCs w:val="false"/>
        <w:sz w:val="22"/>
        <w:szCs w:val="22"/>
      </w:rPr>
    </w:lvl>
    <w:lvl w:ilvl="7">
      <w:start w:val="1"/>
      <w:numFmt w:val="decimal"/>
      <w:lvlText w:val="%8."/>
      <w:lvlJc w:val="left"/>
      <w:pPr>
        <w:tabs>
          <w:tab w:val="num" w:pos="3240"/>
        </w:tabs>
        <w:ind w:left="3240" w:hanging="360"/>
      </w:pPr>
      <w:rPr>
        <w:rFonts w:eastAsia="Calibri" w:cs="Calibri"/>
        <w:b w:val="false"/>
        <w:bCs w:val="false"/>
        <w:sz w:val="22"/>
        <w:szCs w:val="22"/>
      </w:rPr>
    </w:lvl>
    <w:lvl w:ilvl="8">
      <w:start w:val="1"/>
      <w:numFmt w:val="decimal"/>
      <w:lvlText w:val="%9."/>
      <w:lvlJc w:val="left"/>
      <w:pPr>
        <w:tabs>
          <w:tab w:val="num" w:pos="3600"/>
        </w:tabs>
        <w:ind w:left="3600" w:hanging="360"/>
      </w:pPr>
      <w:rPr>
        <w:rFonts w:eastAsia="Calibri" w:cs="Calibri"/>
        <w:b w:val="false"/>
        <w:bCs w:val="false"/>
        <w:sz w:val="22"/>
        <w:szCs w:val="22"/>
      </w:rPr>
    </w:lvl>
  </w:abstractNum>
  <w:abstractNum w:abstractNumId="26">
    <w:lvl w:ilvl="0">
      <w:start w:val="1"/>
      <w:numFmt w:val="decimal"/>
      <w:lvlText w:val="%1."/>
      <w:lvlJc w:val="left"/>
      <w:pPr>
        <w:tabs>
          <w:tab w:val="num" w:pos="0"/>
        </w:tabs>
        <w:ind w:left="360" w:hanging="360"/>
      </w:pPr>
      <w:rPr>
        <w:rFonts w:ascii="Arial" w:hAnsi="Arial"/>
        <w:sz w:val="22"/>
        <w:u w:val="none"/>
      </w:rPr>
    </w:lvl>
    <w:lvl w:ilvl="1">
      <w:start w:val="1"/>
      <w:numFmt w:val="decimal"/>
      <w:lvlText w:val="%2)"/>
      <w:lvlJc w:val="left"/>
      <w:pPr>
        <w:tabs>
          <w:tab w:val="num" w:pos="0"/>
        </w:tabs>
        <w:ind w:left="720" w:hanging="360"/>
      </w:pPr>
      <w:rPr>
        <w:u w:val="none"/>
      </w:rPr>
    </w:lvl>
    <w:lvl w:ilvl="2">
      <w:start w:val="1"/>
      <w:numFmt w:val="decimal"/>
      <w:lvlText w:val="%1.%2.%3."/>
      <w:lvlJc w:val="left"/>
      <w:pPr>
        <w:tabs>
          <w:tab w:val="num" w:pos="0"/>
        </w:tabs>
        <w:ind w:left="1224" w:hanging="504"/>
      </w:pPr>
      <w:rPr>
        <w:u w:val="none"/>
      </w:rPr>
    </w:lvl>
    <w:lvl w:ilvl="3">
      <w:start w:val="1"/>
      <w:numFmt w:val="decimal"/>
      <w:lvlText w:val="%1.%2.%3.%4."/>
      <w:lvlJc w:val="left"/>
      <w:pPr>
        <w:tabs>
          <w:tab w:val="num" w:pos="0"/>
        </w:tabs>
        <w:ind w:left="1728" w:hanging="648"/>
      </w:pPr>
      <w:rPr>
        <w:u w:val="none"/>
      </w:rPr>
    </w:lvl>
    <w:lvl w:ilvl="4">
      <w:start w:val="1"/>
      <w:numFmt w:val="decimal"/>
      <w:lvlText w:val="%1.%2.%3.%4.%5."/>
      <w:lvlJc w:val="left"/>
      <w:pPr>
        <w:tabs>
          <w:tab w:val="num" w:pos="0"/>
        </w:tabs>
        <w:ind w:left="2232" w:hanging="792"/>
      </w:pPr>
      <w:rPr>
        <w:u w:val="none"/>
      </w:rPr>
    </w:lvl>
    <w:lvl w:ilvl="5">
      <w:start w:val="1"/>
      <w:numFmt w:val="decimal"/>
      <w:lvlText w:val="%1.%2.%3.%4.%5.%6."/>
      <w:lvlJc w:val="left"/>
      <w:pPr>
        <w:tabs>
          <w:tab w:val="num" w:pos="0"/>
        </w:tabs>
        <w:ind w:left="2736" w:hanging="936"/>
      </w:pPr>
      <w:rPr>
        <w:u w:val="none"/>
      </w:rPr>
    </w:lvl>
    <w:lvl w:ilvl="6">
      <w:start w:val="1"/>
      <w:numFmt w:val="decimal"/>
      <w:lvlText w:val="%1.%2.%3.%4.%5.%6.%7."/>
      <w:lvlJc w:val="left"/>
      <w:pPr>
        <w:tabs>
          <w:tab w:val="num" w:pos="0"/>
        </w:tabs>
        <w:ind w:left="3240" w:hanging="1080"/>
      </w:pPr>
      <w:rPr>
        <w:u w:val="none"/>
      </w:rPr>
    </w:lvl>
    <w:lvl w:ilvl="7">
      <w:start w:val="1"/>
      <w:numFmt w:val="decimal"/>
      <w:lvlText w:val="%1.%2.%3.%4.%5.%6.%7.%8."/>
      <w:lvlJc w:val="left"/>
      <w:pPr>
        <w:tabs>
          <w:tab w:val="num" w:pos="0"/>
        </w:tabs>
        <w:ind w:left="3744" w:hanging="1224"/>
      </w:pPr>
      <w:rPr>
        <w:u w:val="none"/>
      </w:rPr>
    </w:lvl>
    <w:lvl w:ilvl="8">
      <w:start w:val="1"/>
      <w:numFmt w:val="decimal"/>
      <w:lvlText w:val="%1.%2.%3.%4.%5.%6.%7.%8.%9."/>
      <w:lvlJc w:val="left"/>
      <w:pPr>
        <w:tabs>
          <w:tab w:val="num" w:pos="0"/>
        </w:tabs>
        <w:ind w:left="4320" w:hanging="1440"/>
      </w:pPr>
      <w:rPr>
        <w:u w:val="none"/>
      </w:rPr>
    </w:lvl>
  </w:abstractNum>
  <w:abstractNum w:abstractNumId="2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w:zoom w:percent="100"/>
  <w:displayBackgroundShape/>
  <w:defaultTabStop w:val="720"/>
  <w:autoHyphenation w:val="true"/>
  <w:hyphenationZone w:val="0"/>
  <w:compat>
    <w:compatSetting w:name="compatibilityMode" w:uri="http://schemas.microsoft.com/office/word" w:val="1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l-PL" w:eastAsia="pl-PL"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0"/>
      <w:jc w:val="left"/>
      <w:textAlignment w:val="baseline"/>
    </w:pPr>
    <w:rPr>
      <w:rFonts w:ascii="Arial" w:hAnsi="Arial" w:eastAsia="Arial" w:cs="Arial"/>
      <w:color w:val="00000A"/>
      <w:kern w:val="0"/>
      <w:sz w:val="22"/>
      <w:szCs w:val="22"/>
      <w:lang w:val="pl-PL" w:eastAsia="zh-CN" w:bidi="hi-IN"/>
    </w:rPr>
  </w:style>
  <w:style w:type="paragraph" w:styleId="Heading1">
    <w:name w:val="heading 1"/>
    <w:next w:val="Normal"/>
    <w:qFormat/>
    <w:pPr>
      <w:keepNext w:val="true"/>
      <w:keepLines/>
      <w:widowControl w:val="false"/>
      <w:suppressAutoHyphens w:val="true"/>
      <w:bidi w:val="0"/>
      <w:spacing w:before="400" w:after="120"/>
      <w:jc w:val="left"/>
      <w:outlineLvl w:val="0"/>
    </w:pPr>
    <w:rPr>
      <w:rFonts w:ascii="Liberation Serif" w:hAnsi="Liberation Serif" w:eastAsia="NSimSun" w:cs="Arial"/>
      <w:color w:val="auto"/>
      <w:kern w:val="0"/>
      <w:sz w:val="40"/>
      <w:szCs w:val="40"/>
      <w:lang w:val="pl-PL" w:eastAsia="pl-PL" w:bidi="ar-SA"/>
    </w:rPr>
  </w:style>
  <w:style w:type="paragraph" w:styleId="Heading2">
    <w:name w:val="heading 2"/>
    <w:next w:val="Normal"/>
    <w:qFormat/>
    <w:pPr>
      <w:keepNext w:val="true"/>
      <w:keepLines/>
      <w:widowControl w:val="false"/>
      <w:suppressAutoHyphens w:val="true"/>
      <w:bidi w:val="0"/>
      <w:spacing w:before="360" w:after="120"/>
      <w:jc w:val="left"/>
      <w:outlineLvl w:val="1"/>
    </w:pPr>
    <w:rPr>
      <w:rFonts w:ascii="Liberation Serif" w:hAnsi="Liberation Serif" w:eastAsia="NSimSun" w:cs="Arial"/>
      <w:color w:val="auto"/>
      <w:kern w:val="0"/>
      <w:sz w:val="32"/>
      <w:szCs w:val="32"/>
      <w:lang w:val="pl-PL" w:eastAsia="pl-PL" w:bidi="ar-SA"/>
    </w:rPr>
  </w:style>
  <w:style w:type="paragraph" w:styleId="Heading3">
    <w:name w:val="heading 3"/>
    <w:next w:val="Normal"/>
    <w:qFormat/>
    <w:pPr>
      <w:keepNext w:val="true"/>
      <w:keepLines/>
      <w:widowControl w:val="false"/>
      <w:suppressAutoHyphens w:val="true"/>
      <w:bidi w:val="0"/>
      <w:spacing w:before="320" w:after="80"/>
      <w:jc w:val="left"/>
      <w:outlineLvl w:val="2"/>
    </w:pPr>
    <w:rPr>
      <w:rFonts w:ascii="Liberation Serif" w:hAnsi="Liberation Serif" w:eastAsia="NSimSun" w:cs="Arial"/>
      <w:color w:val="434343"/>
      <w:kern w:val="0"/>
      <w:sz w:val="28"/>
      <w:szCs w:val="28"/>
      <w:lang w:val="pl-PL" w:eastAsia="pl-PL" w:bidi="ar-SA"/>
    </w:rPr>
  </w:style>
  <w:style w:type="paragraph" w:styleId="Heading4">
    <w:name w:val="heading 4"/>
    <w:next w:val="Normal"/>
    <w:qFormat/>
    <w:pPr>
      <w:keepNext w:val="true"/>
      <w:keepLines/>
      <w:widowControl w:val="false"/>
      <w:suppressAutoHyphens w:val="true"/>
      <w:bidi w:val="0"/>
      <w:spacing w:before="280" w:after="80"/>
      <w:jc w:val="left"/>
      <w:outlineLvl w:val="3"/>
    </w:pPr>
    <w:rPr>
      <w:rFonts w:ascii="Liberation Serif" w:hAnsi="Liberation Serif" w:eastAsia="NSimSun" w:cs="Arial"/>
      <w:color w:val="666666"/>
      <w:kern w:val="0"/>
      <w:sz w:val="24"/>
      <w:szCs w:val="24"/>
      <w:lang w:val="pl-PL" w:eastAsia="pl-PL" w:bidi="ar-SA"/>
    </w:rPr>
  </w:style>
  <w:style w:type="paragraph" w:styleId="Heading5">
    <w:name w:val="heading 5"/>
    <w:next w:val="Normal"/>
    <w:qFormat/>
    <w:pPr>
      <w:keepNext w:val="true"/>
      <w:keepLines/>
      <w:widowControl w:val="false"/>
      <w:suppressAutoHyphens w:val="true"/>
      <w:bidi w:val="0"/>
      <w:spacing w:before="240" w:after="80"/>
      <w:jc w:val="left"/>
      <w:outlineLvl w:val="4"/>
    </w:pPr>
    <w:rPr>
      <w:rFonts w:ascii="Liberation Serif" w:hAnsi="Liberation Serif" w:eastAsia="NSimSun" w:cs="Arial"/>
      <w:color w:val="666666"/>
      <w:kern w:val="0"/>
      <w:sz w:val="22"/>
      <w:szCs w:val="20"/>
      <w:lang w:val="pl-PL" w:eastAsia="pl-PL" w:bidi="ar-SA"/>
    </w:rPr>
  </w:style>
  <w:style w:type="paragraph" w:styleId="Heading6">
    <w:name w:val="heading 6"/>
    <w:next w:val="Normal"/>
    <w:qFormat/>
    <w:pPr>
      <w:keepNext w:val="true"/>
      <w:keepLines/>
      <w:widowControl w:val="false"/>
      <w:suppressAutoHyphens w:val="true"/>
      <w:bidi w:val="0"/>
      <w:spacing w:before="240" w:after="80"/>
      <w:jc w:val="left"/>
      <w:outlineLvl w:val="5"/>
    </w:pPr>
    <w:rPr>
      <w:rFonts w:ascii="Liberation Serif" w:hAnsi="Liberation Serif" w:eastAsia="NSimSun" w:cs="Arial"/>
      <w:i/>
      <w:color w:val="666666"/>
      <w:kern w:val="0"/>
      <w:sz w:val="22"/>
      <w:szCs w:val="20"/>
      <w:lang w:val="pl-PL" w:eastAsia="pl-PL" w:bidi="ar-SA"/>
    </w:rPr>
  </w:style>
  <w:style w:type="paragraph" w:styleId="Heading7">
    <w:name w:val="heading 7"/>
    <w:next w:val="BodyText"/>
    <w:qFormat/>
    <w:pPr>
      <w:widowControl w:val="false"/>
      <w:suppressAutoHyphens w:val="true"/>
      <w:bidi w:val="0"/>
      <w:spacing w:before="60" w:after="60"/>
      <w:jc w:val="left"/>
      <w:outlineLvl w:val="6"/>
    </w:pPr>
    <w:rPr>
      <w:rFonts w:ascii="Liberation Serif" w:hAnsi="Liberation Serif" w:eastAsia="NSimSun" w:cs="Arial"/>
      <w:b/>
      <w:bCs/>
      <w:color w:val="auto"/>
      <w:kern w:val="0"/>
      <w:sz w:val="22"/>
      <w:szCs w:val="22"/>
      <w:lang w:val="pl-PL" w:eastAsia="pl-PL" w:bidi="ar-SA"/>
    </w:rPr>
  </w:style>
  <w:style w:type="paragraph" w:styleId="Heading9">
    <w:name w:val="heading 9"/>
    <w:basedOn w:val="Normal"/>
    <w:next w:val="BodyText"/>
    <w:qFormat/>
    <w:pPr>
      <w:outlineLvl w:val="8"/>
    </w:pPr>
    <w:rPr>
      <w:rFonts w:ascii="Liberation Sans;Arial" w:hAnsi="Liberation Sans;Arial" w:eastAsia="Liberation Sans;Arial" w:cs="Liberation Sans;Arial"/>
      <w:b/>
      <w:bCs/>
      <w:sz w:val="20"/>
      <w:szCs w:val="20"/>
    </w:rPr>
  </w:style>
  <w:style w:type="character" w:styleId="DefaultParagraphFont" w:default="1">
    <w:name w:val="Default Paragraph Font"/>
    <w:uiPriority w:val="1"/>
    <w:semiHidden/>
    <w:unhideWhenUsed/>
    <w:qFormat/>
    <w:rPr/>
  </w:style>
  <w:style w:type="character" w:styleId="WW8Num3z0" w:customStyle="1">
    <w:name w:val="WW8Num3z0"/>
    <w:qFormat/>
    <w:rPr>
      <w:b/>
      <w:color w:val="00000A"/>
      <w:position w:val="0"/>
      <w:sz w:val="20"/>
      <w:vertAlign w:val="baseline"/>
    </w:rPr>
  </w:style>
  <w:style w:type="character" w:styleId="WW8Num3z1" w:customStyle="1">
    <w:name w:val="WW8Num3z1"/>
    <w:qFormat/>
    <w:rPr>
      <w:rFonts w:eastAsia="Arial" w:cs="Arial"/>
      <w:position w:val="0"/>
      <w:sz w:val="22"/>
      <w:vertAlign w:val="baseline"/>
    </w:rPr>
  </w:style>
  <w:style w:type="character" w:styleId="WW8Num3z2" w:customStyle="1">
    <w:name w:val="WW8Num3z2"/>
    <w:qFormat/>
    <w:rPr>
      <w:position w:val="0"/>
      <w:sz w:val="22"/>
      <w:vertAlign w:val="baseline"/>
    </w:rPr>
  </w:style>
  <w:style w:type="character" w:styleId="WW8Num4z0" w:customStyle="1">
    <w:name w:val="WW8Num4z0"/>
    <w:qFormat/>
    <w:rPr>
      <w:rFonts w:ascii="Calibri" w:hAnsi="Calibri" w:cs="Calibri"/>
      <w:i/>
      <w:sz w:val="22"/>
      <w:szCs w:val="22"/>
      <w:lang w:eastAsia="pl-PL"/>
    </w:rPr>
  </w:style>
  <w:style w:type="character" w:styleId="WW8Num4z1" w:customStyle="1">
    <w:name w:val="WW8Num4z1"/>
    <w:qFormat/>
    <w:rPr>
      <w:position w:val="0"/>
      <w:sz w:val="22"/>
      <w:vertAlign w:val="baseline"/>
    </w:rPr>
  </w:style>
  <w:style w:type="character" w:styleId="WW8Num5z0" w:customStyle="1">
    <w:name w:val="WW8Num5z0"/>
    <w:qFormat/>
    <w:rPr>
      <w:rFonts w:cs="Calibri"/>
      <w:b/>
      <w:i/>
      <w:position w:val="0"/>
      <w:sz w:val="20"/>
      <w:vertAlign w:val="baseline"/>
    </w:rPr>
  </w:style>
  <w:style w:type="character" w:styleId="WW8Num5z1" w:customStyle="1">
    <w:name w:val="WW8Num5z1"/>
    <w:qFormat/>
    <w:rPr>
      <w:position w:val="0"/>
      <w:sz w:val="22"/>
      <w:vertAlign w:val="baseline"/>
    </w:rPr>
  </w:style>
  <w:style w:type="character" w:styleId="WW8Num6z0" w:customStyle="1">
    <w:name w:val="WW8Num6z0"/>
    <w:qFormat/>
    <w:rPr>
      <w:b/>
      <w:position w:val="0"/>
      <w:sz w:val="20"/>
      <w:vertAlign w:val="baseline"/>
    </w:rPr>
  </w:style>
  <w:style w:type="character" w:styleId="WW8Num6z1" w:customStyle="1">
    <w:name w:val="WW8Num6z1"/>
    <w:qFormat/>
    <w:rPr>
      <w:position w:val="0"/>
      <w:sz w:val="22"/>
      <w:vertAlign w:val="baseline"/>
    </w:rPr>
  </w:style>
  <w:style w:type="character" w:styleId="WW8Num7z0" w:customStyle="1">
    <w:name w:val="WW8Num7z0"/>
    <w:qFormat/>
    <w:rPr>
      <w:b/>
      <w:color w:val="000000"/>
      <w:position w:val="0"/>
      <w:sz w:val="20"/>
      <w:vertAlign w:val="baseline"/>
    </w:rPr>
  </w:style>
  <w:style w:type="character" w:styleId="WW8Num7z1" w:customStyle="1">
    <w:name w:val="WW8Num7z1"/>
    <w:qFormat/>
    <w:rPr>
      <w:position w:val="0"/>
      <w:sz w:val="22"/>
      <w:vertAlign w:val="baseline"/>
    </w:rPr>
  </w:style>
  <w:style w:type="character" w:styleId="WW8Num8z0" w:customStyle="1">
    <w:name w:val="WW8Num8z0"/>
    <w:qFormat/>
    <w:rPr>
      <w:b/>
      <w:color w:val="000000"/>
      <w:position w:val="0"/>
      <w:sz w:val="20"/>
      <w:vertAlign w:val="baseline"/>
    </w:rPr>
  </w:style>
  <w:style w:type="character" w:styleId="WW8Num8z1" w:customStyle="1">
    <w:name w:val="WW8Num8z1"/>
    <w:qFormat/>
    <w:rPr>
      <w:position w:val="0"/>
      <w:sz w:val="22"/>
      <w:vertAlign w:val="baseline"/>
    </w:rPr>
  </w:style>
  <w:style w:type="character" w:styleId="WW8Num9z0" w:customStyle="1">
    <w:name w:val="WW8Num9z0"/>
    <w:qFormat/>
    <w:rPr>
      <w:b w:val="false"/>
      <w:bCs w:val="false"/>
      <w:color w:val="00000A"/>
      <w:position w:val="0"/>
      <w:sz w:val="20"/>
      <w:vertAlign w:val="baseline"/>
    </w:rPr>
  </w:style>
  <w:style w:type="character" w:styleId="WW8Num9z1" w:customStyle="1">
    <w:name w:val="WW8Num9z1"/>
    <w:qFormat/>
    <w:rPr>
      <w:position w:val="0"/>
      <w:sz w:val="22"/>
      <w:vertAlign w:val="baseline"/>
    </w:rPr>
  </w:style>
  <w:style w:type="character" w:styleId="WW8Num10z0" w:customStyle="1">
    <w:name w:val="WW8Num10z0"/>
    <w:qFormat/>
    <w:rPr>
      <w:rFonts w:eastAsia="Arial" w:cs="Arial"/>
      <w:b w:val="false"/>
      <w:bCs w:val="false"/>
      <w:strike w:val="false"/>
      <w:dstrike w:val="false"/>
      <w:color w:val="000000"/>
      <w:position w:val="0"/>
      <w:sz w:val="22"/>
      <w:szCs w:val="22"/>
      <w:vertAlign w:val="baseline"/>
    </w:rPr>
  </w:style>
  <w:style w:type="character" w:styleId="WW8Num10z1" w:customStyle="1">
    <w:name w:val="WW8Num10z1"/>
    <w:qFormat/>
    <w:rPr>
      <w:position w:val="0"/>
      <w:sz w:val="22"/>
      <w:vertAlign w:val="baseline"/>
    </w:rPr>
  </w:style>
  <w:style w:type="character" w:styleId="WW8Num11z0" w:customStyle="1">
    <w:name w:val="WW8Num11z0"/>
    <w:qFormat/>
    <w:rPr>
      <w:rFonts w:eastAsia="Arial" w:cs="Arial"/>
      <w:b w:val="false"/>
      <w:bCs w:val="false"/>
      <w:color w:val="000000"/>
      <w:position w:val="0"/>
      <w:sz w:val="20"/>
      <w:vertAlign w:val="baseline"/>
    </w:rPr>
  </w:style>
  <w:style w:type="character" w:styleId="WW8Num11z1" w:customStyle="1">
    <w:name w:val="WW8Num11z1"/>
    <w:qFormat/>
    <w:rPr>
      <w:b w:val="false"/>
      <w:position w:val="0"/>
      <w:sz w:val="22"/>
      <w:vertAlign w:val="baseline"/>
    </w:rPr>
  </w:style>
  <w:style w:type="character" w:styleId="WW8Num11z2" w:customStyle="1">
    <w:name w:val="WW8Num11z2"/>
    <w:qFormat/>
    <w:rPr>
      <w:position w:val="0"/>
      <w:sz w:val="22"/>
      <w:vertAlign w:val="baseline"/>
    </w:rPr>
  </w:style>
  <w:style w:type="character" w:styleId="WW8Num11z5" w:customStyle="1">
    <w:name w:val="WW8Num11z5"/>
    <w:qFormat/>
    <w:rPr>
      <w:rFonts w:eastAsia="Arial" w:cs="Arial"/>
      <w:position w:val="0"/>
      <w:sz w:val="22"/>
      <w:vertAlign w:val="baseline"/>
    </w:rPr>
  </w:style>
  <w:style w:type="character" w:styleId="WW8Num12z0" w:customStyle="1">
    <w:name w:val="WW8Num12z0"/>
    <w:qFormat/>
    <w:rPr>
      <w:b/>
      <w:position w:val="0"/>
      <w:sz w:val="20"/>
      <w:vertAlign w:val="baseline"/>
    </w:rPr>
  </w:style>
  <w:style w:type="character" w:styleId="WW8Num12z1" w:customStyle="1">
    <w:name w:val="WW8Num12z1"/>
    <w:qFormat/>
    <w:rPr>
      <w:position w:val="0"/>
      <w:sz w:val="22"/>
      <w:vertAlign w:val="baseline"/>
    </w:rPr>
  </w:style>
  <w:style w:type="character" w:styleId="WW8Num13z0" w:customStyle="1">
    <w:name w:val="WW8Num13z0"/>
    <w:qFormat/>
    <w:rPr>
      <w:b/>
      <w:color w:val="000000"/>
      <w:position w:val="0"/>
      <w:sz w:val="20"/>
      <w:vertAlign w:val="baseline"/>
    </w:rPr>
  </w:style>
  <w:style w:type="character" w:styleId="WW8Num13z1" w:customStyle="1">
    <w:name w:val="WW8Num13z1"/>
    <w:qFormat/>
    <w:rPr>
      <w:position w:val="0"/>
      <w:sz w:val="22"/>
      <w:vertAlign w:val="baseline"/>
    </w:rPr>
  </w:style>
  <w:style w:type="character" w:styleId="WW8Num14z0" w:customStyle="1">
    <w:name w:val="WW8Num14z0"/>
    <w:qFormat/>
    <w:rPr>
      <w:b/>
      <w:color w:val="000000"/>
      <w:position w:val="0"/>
      <w:sz w:val="20"/>
      <w:szCs w:val="30"/>
      <w:vertAlign w:val="baseline"/>
      <w:lang w:eastAsia="pl-PL"/>
    </w:rPr>
  </w:style>
  <w:style w:type="character" w:styleId="WW8Num14z1" w:customStyle="1">
    <w:name w:val="WW8Num14z1"/>
    <w:qFormat/>
    <w:rPr>
      <w:position w:val="0"/>
      <w:sz w:val="22"/>
      <w:vertAlign w:val="baseline"/>
    </w:rPr>
  </w:style>
  <w:style w:type="character" w:styleId="WW8Num15z0" w:customStyle="1">
    <w:name w:val="WW8Num15z0"/>
    <w:qFormat/>
    <w:rPr>
      <w:rFonts w:ascii="Calibri" w:hAnsi="Calibri" w:eastAsia="Calibri" w:cs="Calibri"/>
      <w:b w:val="false"/>
      <w:strike w:val="false"/>
      <w:dstrike w:val="false"/>
      <w:color w:val="00000A"/>
      <w:u w:val="none"/>
    </w:rPr>
  </w:style>
  <w:style w:type="character" w:styleId="WW8Num15z1" w:customStyle="1">
    <w:name w:val="WW8Num15z1"/>
    <w:qFormat/>
    <w:rPr>
      <w:color w:val="00000A"/>
      <w:u w:val="none"/>
    </w:rPr>
  </w:style>
  <w:style w:type="character" w:styleId="WW8Num16z0" w:customStyle="1">
    <w:name w:val="WW8Num16z0"/>
    <w:qFormat/>
    <w:rPr>
      <w:b/>
      <w:position w:val="0"/>
      <w:sz w:val="20"/>
      <w:vertAlign w:val="baseline"/>
    </w:rPr>
  </w:style>
  <w:style w:type="character" w:styleId="WW8Num16z1" w:customStyle="1">
    <w:name w:val="WW8Num16z1"/>
    <w:qFormat/>
    <w:rPr>
      <w:position w:val="0"/>
      <w:sz w:val="22"/>
      <w:vertAlign w:val="baseline"/>
    </w:rPr>
  </w:style>
  <w:style w:type="character" w:styleId="WW8Num17z0" w:customStyle="1">
    <w:name w:val="WW8Num17z0"/>
    <w:qFormat/>
    <w:rPr>
      <w:rFonts w:ascii="Arial" w:hAnsi="Arial" w:cs="Calibri"/>
      <w:b w:val="false"/>
      <w:bCs w:val="false"/>
      <w:strike w:val="false"/>
      <w:dstrike w:val="false"/>
      <w:color w:val="00000A"/>
      <w:sz w:val="22"/>
      <w:szCs w:val="22"/>
    </w:rPr>
  </w:style>
  <w:style w:type="character" w:styleId="WW8Num17z1" w:customStyle="1">
    <w:name w:val="WW8Num17z1"/>
    <w:qFormat/>
    <w:rPr>
      <w:position w:val="0"/>
      <w:sz w:val="22"/>
      <w:vertAlign w:val="baseline"/>
    </w:rPr>
  </w:style>
  <w:style w:type="character" w:styleId="WW8Num18z0" w:customStyle="1">
    <w:name w:val="WW8Num18z0"/>
    <w:qFormat/>
    <w:rPr>
      <w:color w:val="000000"/>
      <w:sz w:val="24"/>
      <w:szCs w:val="20"/>
      <w:u w:val="none"/>
    </w:rPr>
  </w:style>
  <w:style w:type="character" w:styleId="WW8Num19z0" w:customStyle="1">
    <w:name w:val="WW8Num19z0"/>
    <w:qFormat/>
    <w:rPr>
      <w:b w:val="false"/>
      <w:bCs w:val="false"/>
      <w:color w:val="000000"/>
      <w:position w:val="0"/>
      <w:sz w:val="20"/>
      <w:szCs w:val="30"/>
      <w:vertAlign w:val="baseline"/>
    </w:rPr>
  </w:style>
  <w:style w:type="character" w:styleId="WW8Num19z1" w:customStyle="1">
    <w:name w:val="WW8Num19z1"/>
    <w:qFormat/>
    <w:rPr>
      <w:position w:val="0"/>
      <w:sz w:val="22"/>
      <w:vertAlign w:val="baseline"/>
    </w:rPr>
  </w:style>
  <w:style w:type="character" w:styleId="WW8Num20z0" w:customStyle="1">
    <w:name w:val="WW8Num20z0"/>
    <w:qFormat/>
    <w:rPr>
      <w:b/>
      <w:bCs/>
      <w:color w:val="00000A"/>
      <w:position w:val="0"/>
      <w:sz w:val="20"/>
      <w:vertAlign w:val="baseline"/>
    </w:rPr>
  </w:style>
  <w:style w:type="character" w:styleId="WW8Num20z1" w:customStyle="1">
    <w:name w:val="WW8Num20z1"/>
    <w:qFormat/>
    <w:rPr>
      <w:position w:val="0"/>
      <w:sz w:val="22"/>
      <w:vertAlign w:val="baseline"/>
    </w:rPr>
  </w:style>
  <w:style w:type="character" w:styleId="WW8Num21z0" w:customStyle="1">
    <w:name w:val="WW8Num21z0"/>
    <w:qFormat/>
    <w:rPr>
      <w:rFonts w:eastAsia="Arial" w:cs="Arial"/>
      <w:b w:val="false"/>
      <w:bCs w:val="false"/>
      <w:color w:val="000000"/>
      <w:position w:val="0"/>
      <w:sz w:val="20"/>
      <w:szCs w:val="30"/>
      <w:vertAlign w:val="baseline"/>
    </w:rPr>
  </w:style>
  <w:style w:type="character" w:styleId="WW8Num21z1" w:customStyle="1">
    <w:name w:val="WW8Num21z1"/>
    <w:qFormat/>
    <w:rPr>
      <w:b w:val="false"/>
      <w:position w:val="0"/>
      <w:sz w:val="22"/>
      <w:vertAlign w:val="baseline"/>
    </w:rPr>
  </w:style>
  <w:style w:type="character" w:styleId="WW8Num21z2" w:customStyle="1">
    <w:name w:val="WW8Num21z2"/>
    <w:qFormat/>
    <w:rPr>
      <w:position w:val="0"/>
      <w:sz w:val="22"/>
      <w:vertAlign w:val="baseline"/>
    </w:rPr>
  </w:style>
  <w:style w:type="character" w:styleId="WW8Num21z5" w:customStyle="1">
    <w:name w:val="WW8Num21z5"/>
    <w:qFormat/>
    <w:rPr>
      <w:rFonts w:eastAsia="Arial" w:cs="Arial"/>
      <w:position w:val="0"/>
      <w:sz w:val="22"/>
      <w:vertAlign w:val="baseline"/>
    </w:rPr>
  </w:style>
  <w:style w:type="character" w:styleId="WW8Num22z0" w:customStyle="1">
    <w:name w:val="WW8Num22z0"/>
    <w:qFormat/>
    <w:rPr>
      <w:rFonts w:ascii="Symbol" w:hAnsi="Symbol" w:cs="OpenSymbol;Arial Unicode MS"/>
    </w:rPr>
  </w:style>
  <w:style w:type="character" w:styleId="WW8Num22z1" w:customStyle="1">
    <w:name w:val="WW8Num22z1"/>
    <w:qFormat/>
    <w:rPr>
      <w:rFonts w:ascii="OpenSymbol;Arial Unicode MS" w:hAnsi="OpenSymbol;Arial Unicode MS" w:cs="OpenSymbol;Arial Unicode MS"/>
    </w:rPr>
  </w:style>
  <w:style w:type="character" w:styleId="WW8Num23z0" w:customStyle="1">
    <w:name w:val="WW8Num23z0"/>
    <w:qFormat/>
    <w:rPr>
      <w:rFonts w:ascii="Symbol" w:hAnsi="Symbol" w:cs="OpenSymbol;Arial Unicode MS"/>
    </w:rPr>
  </w:style>
  <w:style w:type="character" w:styleId="WW8Num23z1" w:customStyle="1">
    <w:name w:val="WW8Num23z1"/>
    <w:qFormat/>
    <w:rPr>
      <w:rFonts w:ascii="OpenSymbol;Arial Unicode MS" w:hAnsi="OpenSymbol;Arial Unicode MS" w:cs="OpenSymbol;Arial Unicode MS"/>
    </w:rPr>
  </w:style>
  <w:style w:type="character" w:styleId="WW8Num24z0" w:customStyle="1">
    <w:name w:val="WW8Num24z0"/>
    <w:qFormat/>
    <w:rPr>
      <w:rFonts w:eastAsia="Arial" w:cs="Arial"/>
      <w:b w:val="false"/>
      <w:bCs w:val="false"/>
      <w:color w:val="000000"/>
      <w:position w:val="0"/>
      <w:sz w:val="22"/>
      <w:szCs w:val="22"/>
      <w:vertAlign w:val="baseline"/>
    </w:rPr>
  </w:style>
  <w:style w:type="character" w:styleId="WW8Num24z1" w:customStyle="1">
    <w:name w:val="WW8Num24z1"/>
    <w:qFormat/>
    <w:rPr>
      <w:position w:val="0"/>
      <w:sz w:val="22"/>
      <w:vertAlign w:val="baseline"/>
    </w:rPr>
  </w:style>
  <w:style w:type="character" w:styleId="WW8Num25z0" w:customStyle="1">
    <w:name w:val="WW8Num25z0"/>
    <w:qFormat/>
    <w:rPr>
      <w:rFonts w:ascii="Arial" w:hAnsi="Arial" w:eastAsia="Calibri" w:cs="Calibri"/>
      <w:b w:val="false"/>
      <w:bCs w:val="false"/>
      <w:sz w:val="22"/>
      <w:szCs w:val="22"/>
    </w:rPr>
  </w:style>
  <w:style w:type="character" w:styleId="WW8Num26z0" w:customStyle="1">
    <w:name w:val="WW8Num26z0"/>
    <w:qFormat/>
    <w:rPr>
      <w:rFonts w:ascii="Arial" w:hAnsi="Arial" w:eastAsia="Calibri" w:cs="Calibri"/>
      <w:b w:val="false"/>
      <w:bCs w:val="false"/>
      <w:sz w:val="22"/>
      <w:szCs w:val="22"/>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27z0" w:customStyle="1">
    <w:name w:val="WW8Num27z0"/>
    <w:qFormat/>
    <w:rPr/>
  </w:style>
  <w:style w:type="character" w:styleId="WW8Num27z1" w:customStyle="1">
    <w:name w:val="WW8Num27z1"/>
    <w:qFormat/>
    <w:rPr/>
  </w:style>
  <w:style w:type="character" w:styleId="WW8Num27z2" w:customStyle="1">
    <w:name w:val="WW8Num27z2"/>
    <w:qFormat/>
    <w:rPr/>
  </w:style>
  <w:style w:type="character" w:styleId="WW8Num27z3" w:customStyle="1">
    <w:name w:val="WW8Num27z3"/>
    <w:qFormat/>
    <w:rPr/>
  </w:style>
  <w:style w:type="character" w:styleId="WW8Num27z4" w:customStyle="1">
    <w:name w:val="WW8Num27z4"/>
    <w:qFormat/>
    <w:rPr/>
  </w:style>
  <w:style w:type="character" w:styleId="WW8Num27z5" w:customStyle="1">
    <w:name w:val="WW8Num27z5"/>
    <w:qFormat/>
    <w:rPr/>
  </w:style>
  <w:style w:type="character" w:styleId="WW8Num27z6" w:customStyle="1">
    <w:name w:val="WW8Num27z6"/>
    <w:qFormat/>
    <w:rPr/>
  </w:style>
  <w:style w:type="character" w:styleId="WW8Num27z7" w:customStyle="1">
    <w:name w:val="WW8Num27z7"/>
    <w:qFormat/>
    <w:rPr/>
  </w:style>
  <w:style w:type="character" w:styleId="WW8Num27z8" w:customStyle="1">
    <w:name w:val="WW8Num27z8"/>
    <w:qFormat/>
    <w:rPr/>
  </w:style>
  <w:style w:type="character" w:styleId="Domylnaczcionkaakapitu13" w:customStyle="1">
    <w:name w:val="Domyślna czcionka akapitu13"/>
    <w:qFormat/>
    <w:rPr/>
  </w:style>
  <w:style w:type="character" w:styleId="WW8Num25z1" w:customStyle="1">
    <w:name w:val="WW8Num25z1"/>
    <w:qFormat/>
    <w:rPr>
      <w:position w:val="0"/>
      <w:sz w:val="22"/>
      <w:vertAlign w:val="baseline"/>
    </w:rPr>
  </w:style>
  <w:style w:type="character" w:styleId="WW8Num10z2" w:customStyle="1">
    <w:name w:val="WW8Num10z2"/>
    <w:qFormat/>
    <w:rPr>
      <w:position w:val="0"/>
      <w:sz w:val="22"/>
      <w:vertAlign w:val="baseline"/>
    </w:rPr>
  </w:style>
  <w:style w:type="character" w:styleId="WW8Num10z5" w:customStyle="1">
    <w:name w:val="WW8Num10z5"/>
    <w:qFormat/>
    <w:rPr>
      <w:rFonts w:eastAsia="Arial" w:cs="Arial"/>
      <w:position w:val="0"/>
      <w:sz w:val="22"/>
      <w:vertAlign w:val="baseline"/>
    </w:rPr>
  </w:style>
  <w:style w:type="character" w:styleId="WW8Num18z1" w:customStyle="1">
    <w:name w:val="WW8Num18z1"/>
    <w:qFormat/>
    <w:rPr>
      <w:position w:val="0"/>
      <w:sz w:val="22"/>
      <w:vertAlign w:val="baseline"/>
    </w:rPr>
  </w:style>
  <w:style w:type="character" w:styleId="WW8Num20z2" w:customStyle="1">
    <w:name w:val="WW8Num20z2"/>
    <w:qFormat/>
    <w:rPr>
      <w:position w:val="0"/>
      <w:sz w:val="22"/>
      <w:vertAlign w:val="baseline"/>
    </w:rPr>
  </w:style>
  <w:style w:type="character" w:styleId="WW8Num20z5" w:customStyle="1">
    <w:name w:val="WW8Num20z5"/>
    <w:qFormat/>
    <w:rPr>
      <w:rFonts w:eastAsia="Arial" w:cs="Arial"/>
      <w:position w:val="0"/>
      <w:sz w:val="22"/>
      <w:vertAlign w:val="baseline"/>
    </w:rPr>
  </w:style>
  <w:style w:type="character" w:styleId="Domylnaczcionkaakapitu12" w:customStyle="1">
    <w:name w:val="Domyślna czcionka akapitu12"/>
    <w:qFormat/>
    <w:rPr/>
  </w:style>
  <w:style w:type="character" w:styleId="WW8Num22z2" w:customStyle="1">
    <w:name w:val="WW8Num22z2"/>
    <w:qFormat/>
    <w:rPr>
      <w:position w:val="0"/>
      <w:sz w:val="22"/>
      <w:vertAlign w:val="baseline"/>
    </w:rPr>
  </w:style>
  <w:style w:type="character" w:styleId="WW8Num22z5" w:customStyle="1">
    <w:name w:val="WW8Num22z5"/>
    <w:qFormat/>
    <w:rPr>
      <w:rFonts w:eastAsia="Arial" w:cs="Arial"/>
      <w:position w:val="0"/>
      <w:sz w:val="22"/>
      <w:vertAlign w:val="baseline"/>
    </w:rPr>
  </w:style>
  <w:style w:type="character" w:styleId="WW8Num26z1" w:customStyle="1">
    <w:name w:val="WW8Num26z1"/>
    <w:qFormat/>
    <w:rPr>
      <w:position w:val="0"/>
      <w:sz w:val="22"/>
      <w:vertAlign w:val="baseline"/>
    </w:rPr>
  </w:style>
  <w:style w:type="character" w:styleId="WW8Num28z0" w:customStyle="1">
    <w:name w:val="WW8Num28z0"/>
    <w:qFormat/>
    <w:rPr>
      <w:rFonts w:ascii="Times New Roman" w:hAnsi="Times New Roman" w:cs="Times New Roman"/>
      <w:b w:val="false"/>
      <w:bCs/>
      <w:color w:val="000000"/>
      <w:sz w:val="23"/>
      <w:szCs w:val="23"/>
    </w:rPr>
  </w:style>
  <w:style w:type="character" w:styleId="WW8Num29z0" w:customStyle="1">
    <w:name w:val="WW8Num29z0"/>
    <w:qFormat/>
    <w:rPr>
      <w:b w:val="false"/>
      <w:color w:val="000000"/>
    </w:rPr>
  </w:style>
  <w:style w:type="character" w:styleId="WW8Num30z0" w:customStyle="1">
    <w:name w:val="WW8Num30z0"/>
    <w:qFormat/>
    <w:rPr>
      <w:rFonts w:ascii="Times New Roman" w:hAnsi="Times New Roman" w:eastAsia="Times New Roman" w:cs="Times New Roman"/>
      <w:b/>
      <w:iCs/>
      <w:smallCaps/>
      <w:strike w:val="false"/>
      <w:dstrike w:val="false"/>
      <w:color w:val="000000"/>
      <w:sz w:val="24"/>
      <w:szCs w:val="24"/>
    </w:rPr>
  </w:style>
  <w:style w:type="character" w:styleId="WW8Num31z0" w:customStyle="1">
    <w:name w:val="WW8Num31z0"/>
    <w:qFormat/>
    <w:rPr>
      <w:rFonts w:ascii="Symbol" w:hAnsi="Symbol" w:cs="Symbol"/>
    </w:rPr>
  </w:style>
  <w:style w:type="character" w:styleId="WW8Num32z0" w:customStyle="1">
    <w:name w:val="WW8Num32z0"/>
    <w:qFormat/>
    <w:rPr>
      <w:rFonts w:ascii="Arial" w:hAnsi="Arial" w:eastAsia="Calibri" w:cs="Calibri"/>
      <w:b w:val="false"/>
      <w:bCs w:val="false"/>
      <w:sz w:val="22"/>
      <w:szCs w:val="22"/>
    </w:rPr>
  </w:style>
  <w:style w:type="character" w:styleId="WW8Num33z0" w:customStyle="1">
    <w:name w:val="WW8Num33z0"/>
    <w:qFormat/>
    <w:rPr>
      <w:rFonts w:ascii="Symbol" w:hAnsi="Symbol" w:cs="OpenSymbol;Arial Unicode MS"/>
    </w:rPr>
  </w:style>
  <w:style w:type="character" w:styleId="WW8Num33z3" w:customStyle="1">
    <w:name w:val="WW8Num33z3"/>
    <w:qFormat/>
    <w:rPr>
      <w:rFonts w:ascii="Symbol" w:hAnsi="Symbol" w:cs="Symbol"/>
    </w:rPr>
  </w:style>
  <w:style w:type="character" w:styleId="WW8Num34z0" w:customStyle="1">
    <w:name w:val="WW8Num34z0"/>
    <w:qFormat/>
    <w:rPr>
      <w:rFonts w:ascii="Symbol" w:hAnsi="Symbol" w:cs="OpenSymbol;Arial Unicode MS"/>
    </w:rPr>
  </w:style>
  <w:style w:type="character" w:styleId="WW8Num35z0" w:customStyle="1">
    <w:name w:val="WW8Num35z0"/>
    <w:qFormat/>
    <w:rPr>
      <w:rFonts w:ascii="Symbol" w:hAnsi="Symbol" w:cs="OpenSymbol;Arial Unicode MS"/>
    </w:rPr>
  </w:style>
  <w:style w:type="character" w:styleId="WW8Num36z0" w:customStyle="1">
    <w:name w:val="WW8Num36z0"/>
    <w:qFormat/>
    <w:rPr>
      <w:rFonts w:ascii="Symbol" w:hAnsi="Symbol" w:cs="OpenSymbol;Arial Unicode MS"/>
    </w:rPr>
  </w:style>
  <w:style w:type="character" w:styleId="WW8Num37z0" w:customStyle="1">
    <w:name w:val="WW8Num37z0"/>
    <w:qFormat/>
    <w:rPr>
      <w:rFonts w:ascii="Symbol" w:hAnsi="Symbol" w:cs="OpenSymbol;Arial Unicode MS"/>
    </w:rPr>
  </w:style>
  <w:style w:type="character" w:styleId="WW8Num38z0" w:customStyle="1">
    <w:name w:val="WW8Num38z0"/>
    <w:qFormat/>
    <w:rPr>
      <w:rFonts w:ascii="Symbol" w:hAnsi="Symbol" w:cs="OpenSymbol;Arial Unicode MS"/>
    </w:rPr>
  </w:style>
  <w:style w:type="character" w:styleId="WW8Num39z0" w:customStyle="1">
    <w:name w:val="WW8Num39z0"/>
    <w:qFormat/>
    <w:rPr>
      <w:rFonts w:ascii="Symbol" w:hAnsi="Symbol" w:cs="OpenSymbol;Arial Unicode MS"/>
    </w:rPr>
  </w:style>
  <w:style w:type="character" w:styleId="WW8Num33z1" w:customStyle="1">
    <w:name w:val="WW8Num33z1"/>
    <w:qFormat/>
    <w:rPr>
      <w:position w:val="0"/>
      <w:sz w:val="22"/>
      <w:vertAlign w:val="baseline"/>
    </w:rPr>
  </w:style>
  <w:style w:type="character" w:styleId="WW8Num34z1" w:customStyle="1">
    <w:name w:val="WW8Num34z1"/>
    <w:qFormat/>
    <w:rPr>
      <w:position w:val="0"/>
      <w:sz w:val="22"/>
      <w:vertAlign w:val="baseline"/>
    </w:rPr>
  </w:style>
  <w:style w:type="character" w:styleId="WW8Num36z1" w:customStyle="1">
    <w:name w:val="WW8Num36z1"/>
    <w:qFormat/>
    <w:rPr>
      <w:position w:val="0"/>
      <w:sz w:val="22"/>
      <w:vertAlign w:val="baseline"/>
    </w:rPr>
  </w:style>
  <w:style w:type="character" w:styleId="WW8Num37z1" w:customStyle="1">
    <w:name w:val="WW8Num37z1"/>
    <w:qFormat/>
    <w:rPr>
      <w:position w:val="0"/>
      <w:sz w:val="22"/>
      <w:vertAlign w:val="baseline"/>
    </w:rPr>
  </w:style>
  <w:style w:type="character" w:styleId="WW8Num38z1" w:customStyle="1">
    <w:name w:val="WW8Num38z1"/>
    <w:qFormat/>
    <w:rPr>
      <w:position w:val="0"/>
      <w:sz w:val="22"/>
      <w:vertAlign w:val="baseline"/>
    </w:rPr>
  </w:style>
  <w:style w:type="character" w:styleId="WW8Num39z1" w:customStyle="1">
    <w:name w:val="WW8Num39z1"/>
    <w:qFormat/>
    <w:rPr>
      <w:position w:val="0"/>
      <w:sz w:val="22"/>
      <w:vertAlign w:val="baseline"/>
    </w:rPr>
  </w:style>
  <w:style w:type="character" w:styleId="WW8Num40z0" w:customStyle="1">
    <w:name w:val="WW8Num40z0"/>
    <w:qFormat/>
    <w:rPr>
      <w:rFonts w:ascii="Symbol" w:hAnsi="Symbol" w:cs="OpenSymbol;Arial Unicode MS"/>
    </w:rPr>
  </w:style>
  <w:style w:type="character" w:styleId="WW8Num40z3" w:customStyle="1">
    <w:name w:val="WW8Num40z3"/>
    <w:qFormat/>
    <w:rPr>
      <w:rFonts w:ascii="Symbol" w:hAnsi="Symbol" w:cs="Symbol"/>
    </w:rPr>
  </w:style>
  <w:style w:type="character" w:styleId="WW8Num41z0" w:customStyle="1">
    <w:name w:val="WW8Num41z0"/>
    <w:qFormat/>
    <w:rPr>
      <w:rFonts w:ascii="Symbol" w:hAnsi="Symbol" w:cs="OpenSymbol;Arial Unicode MS"/>
    </w:rPr>
  </w:style>
  <w:style w:type="character" w:styleId="WW8Num42z0" w:customStyle="1">
    <w:name w:val="WW8Num42z0"/>
    <w:qFormat/>
    <w:rPr>
      <w:rFonts w:ascii="Symbol" w:hAnsi="Symbol" w:cs="OpenSymbol;Arial Unicode MS"/>
    </w:rPr>
  </w:style>
  <w:style w:type="character" w:styleId="WW8Num43z0" w:customStyle="1">
    <w:name w:val="WW8Num43z0"/>
    <w:qFormat/>
    <w:rPr>
      <w:rFonts w:ascii="Symbol" w:hAnsi="Symbol" w:cs="OpenSymbol;Arial Unicode MS"/>
    </w:rPr>
  </w:style>
  <w:style w:type="character" w:styleId="WW8Num44z0" w:customStyle="1">
    <w:name w:val="WW8Num44z0"/>
    <w:qFormat/>
    <w:rPr>
      <w:rFonts w:ascii="Symbol" w:hAnsi="Symbol" w:cs="OpenSymbol;Arial Unicode MS"/>
    </w:rPr>
  </w:style>
  <w:style w:type="character" w:styleId="WW8Num45z0" w:customStyle="1">
    <w:name w:val="WW8Num45z0"/>
    <w:qFormat/>
    <w:rPr>
      <w:rFonts w:ascii="Symbol" w:hAnsi="Symbol" w:cs="OpenSymbol;Arial Unicode MS"/>
    </w:rPr>
  </w:style>
  <w:style w:type="character" w:styleId="WW8Num46z0" w:customStyle="1">
    <w:name w:val="WW8Num46z0"/>
    <w:qFormat/>
    <w:rPr>
      <w:rFonts w:ascii="Symbol" w:hAnsi="Symbol" w:cs="OpenSymbol;Arial Unicode MS"/>
    </w:rPr>
  </w:style>
  <w:style w:type="character" w:styleId="Domylnaczcionkaakapitu10" w:customStyle="1">
    <w:name w:val="Domyślna czcionka akapitu10"/>
    <w:qFormat/>
    <w:rPr/>
  </w:style>
  <w:style w:type="character" w:styleId="WW8Num35z1" w:customStyle="1">
    <w:name w:val="WW8Num35z1"/>
    <w:qFormat/>
    <w:rPr>
      <w:position w:val="0"/>
      <w:sz w:val="22"/>
      <w:vertAlign w:val="baseline"/>
    </w:rPr>
  </w:style>
  <w:style w:type="character" w:styleId="WW8Num40z1" w:customStyle="1">
    <w:name w:val="WW8Num40z1"/>
    <w:qFormat/>
    <w:rPr>
      <w:position w:val="0"/>
      <w:sz w:val="22"/>
      <w:vertAlign w:val="baseline"/>
    </w:rPr>
  </w:style>
  <w:style w:type="character" w:styleId="WW8Num41z1" w:customStyle="1">
    <w:name w:val="WW8Num41z1"/>
    <w:qFormat/>
    <w:rPr>
      <w:position w:val="0"/>
      <w:sz w:val="22"/>
      <w:vertAlign w:val="baseline"/>
    </w:rPr>
  </w:style>
  <w:style w:type="character" w:styleId="WW8Num42z1" w:customStyle="1">
    <w:name w:val="WW8Num42z1"/>
    <w:qFormat/>
    <w:rPr>
      <w:position w:val="0"/>
      <w:sz w:val="22"/>
      <w:vertAlign w:val="baseline"/>
    </w:rPr>
  </w:style>
  <w:style w:type="character" w:styleId="WW8Num43z1" w:customStyle="1">
    <w:name w:val="WW8Num43z1"/>
    <w:qFormat/>
    <w:rPr>
      <w:position w:val="0"/>
      <w:sz w:val="22"/>
      <w:vertAlign w:val="baseline"/>
    </w:rPr>
  </w:style>
  <w:style w:type="character" w:styleId="WW8Num44z1" w:customStyle="1">
    <w:name w:val="WW8Num44z1"/>
    <w:qFormat/>
    <w:rPr>
      <w:position w:val="0"/>
      <w:sz w:val="22"/>
      <w:vertAlign w:val="baseline"/>
    </w:rPr>
  </w:style>
  <w:style w:type="character" w:styleId="WW8Num45z1" w:customStyle="1">
    <w:name w:val="WW8Num45z1"/>
    <w:qFormat/>
    <w:rPr>
      <w:position w:val="0"/>
      <w:sz w:val="22"/>
      <w:vertAlign w:val="baseline"/>
    </w:rPr>
  </w:style>
  <w:style w:type="character" w:styleId="WW8Num46z1" w:customStyle="1">
    <w:name w:val="WW8Num46z1"/>
    <w:qFormat/>
    <w:rPr>
      <w:position w:val="0"/>
      <w:sz w:val="22"/>
      <w:vertAlign w:val="baseline"/>
    </w:rPr>
  </w:style>
  <w:style w:type="character" w:styleId="WW8Num23z2" w:customStyle="1">
    <w:name w:val="WW8Num23z2"/>
    <w:qFormat/>
    <w:rPr>
      <w:position w:val="0"/>
      <w:sz w:val="22"/>
      <w:vertAlign w:val="baseline"/>
    </w:rPr>
  </w:style>
  <w:style w:type="character" w:styleId="WW8Num23z5" w:customStyle="1">
    <w:name w:val="WW8Num23z5"/>
    <w:qFormat/>
    <w:rPr>
      <w:rFonts w:eastAsia="Arial" w:cs="Arial"/>
      <w:position w:val="0"/>
      <w:sz w:val="22"/>
      <w:vertAlign w:val="baseline"/>
    </w:rPr>
  </w:style>
  <w:style w:type="character" w:styleId="WW8Num28z1" w:customStyle="1">
    <w:name w:val="WW8Num28z1"/>
    <w:qFormat/>
    <w:rPr>
      <w:position w:val="0"/>
      <w:sz w:val="22"/>
      <w:vertAlign w:val="baseline"/>
    </w:rPr>
  </w:style>
  <w:style w:type="character" w:styleId="WW8Num24z2" w:customStyle="1">
    <w:name w:val="WW8Num24z2"/>
    <w:qFormat/>
    <w:rPr>
      <w:position w:val="0"/>
      <w:sz w:val="22"/>
      <w:vertAlign w:val="baseline"/>
    </w:rPr>
  </w:style>
  <w:style w:type="character" w:styleId="WW8Num24z5" w:customStyle="1">
    <w:name w:val="WW8Num24z5"/>
    <w:qFormat/>
    <w:rPr>
      <w:rFonts w:eastAsia="Arial" w:cs="Arial"/>
      <w:position w:val="0"/>
      <w:sz w:val="22"/>
      <w:vertAlign w:val="baseline"/>
    </w:rPr>
  </w:style>
  <w:style w:type="character" w:styleId="WW8Num29z1" w:customStyle="1">
    <w:name w:val="WW8Num29z1"/>
    <w:qFormat/>
    <w:rPr>
      <w:position w:val="0"/>
      <w:sz w:val="22"/>
      <w:vertAlign w:val="baseline"/>
    </w:rPr>
  </w:style>
  <w:style w:type="character" w:styleId="WW8Num30z1" w:customStyle="1">
    <w:name w:val="WW8Num30z1"/>
    <w:qFormat/>
    <w:rPr>
      <w:position w:val="0"/>
      <w:sz w:val="22"/>
      <w:vertAlign w:val="baseline"/>
    </w:rPr>
  </w:style>
  <w:style w:type="character" w:styleId="WW8Num42z2" w:customStyle="1">
    <w:name w:val="WW8Num42z2"/>
    <w:qFormat/>
    <w:rPr>
      <w:rFonts w:ascii="Wingdings" w:hAnsi="Wingdings" w:cs="Wingdings"/>
    </w:rPr>
  </w:style>
  <w:style w:type="character" w:styleId="WW8Num44z2" w:customStyle="1">
    <w:name w:val="WW8Num44z2"/>
    <w:qFormat/>
    <w:rPr>
      <w:rFonts w:ascii="Wingdings" w:hAnsi="Wingdings" w:cs="Wingdings"/>
    </w:rPr>
  </w:style>
  <w:style w:type="character" w:styleId="Domylnaczcionkaakapitu9" w:customStyle="1">
    <w:name w:val="Domyślna czcionka akapitu9"/>
    <w:qFormat/>
    <w:rPr/>
  </w:style>
  <w:style w:type="character" w:styleId="WW8Num21z3" w:customStyle="1">
    <w:name w:val="WW8Num21z3"/>
    <w:qFormat/>
    <w:rPr/>
  </w:style>
  <w:style w:type="character" w:styleId="WW8Num21z4" w:customStyle="1">
    <w:name w:val="WW8Num21z4"/>
    <w:qFormat/>
    <w:rPr/>
  </w:style>
  <w:style w:type="character" w:styleId="WW8Num21z6" w:customStyle="1">
    <w:name w:val="WW8Num21z6"/>
    <w:qFormat/>
    <w:rPr/>
  </w:style>
  <w:style w:type="character" w:styleId="WW8Num21z7" w:customStyle="1">
    <w:name w:val="WW8Num21z7"/>
    <w:qFormat/>
    <w:rPr/>
  </w:style>
  <w:style w:type="character" w:styleId="WW8Num21z8" w:customStyle="1">
    <w:name w:val="WW8Num21z8"/>
    <w:qFormat/>
    <w:rPr/>
  </w:style>
  <w:style w:type="character" w:styleId="WW8Num28z2" w:customStyle="1">
    <w:name w:val="WW8Num28z2"/>
    <w:qFormat/>
    <w:rPr/>
  </w:style>
  <w:style w:type="character" w:styleId="WW8Num28z3" w:customStyle="1">
    <w:name w:val="WW8Num28z3"/>
    <w:qFormat/>
    <w:rPr/>
  </w:style>
  <w:style w:type="character" w:styleId="WW8Num28z4" w:customStyle="1">
    <w:name w:val="WW8Num28z4"/>
    <w:qFormat/>
    <w:rPr/>
  </w:style>
  <w:style w:type="character" w:styleId="WW8Num28z5" w:customStyle="1">
    <w:name w:val="WW8Num28z5"/>
    <w:qFormat/>
    <w:rPr/>
  </w:style>
  <w:style w:type="character" w:styleId="WW8Num28z6" w:customStyle="1">
    <w:name w:val="WW8Num28z6"/>
    <w:qFormat/>
    <w:rPr/>
  </w:style>
  <w:style w:type="character" w:styleId="WW8Num28z7" w:customStyle="1">
    <w:name w:val="WW8Num28z7"/>
    <w:qFormat/>
    <w:rPr/>
  </w:style>
  <w:style w:type="character" w:styleId="WW8Num28z8" w:customStyle="1">
    <w:name w:val="WW8Num28z8"/>
    <w:qFormat/>
    <w:rPr/>
  </w:style>
  <w:style w:type="character" w:styleId="WW8Num31z1" w:customStyle="1">
    <w:name w:val="WW8Num31z1"/>
    <w:qFormat/>
    <w:rPr/>
  </w:style>
  <w:style w:type="character" w:styleId="WW8Num31z2" w:customStyle="1">
    <w:name w:val="WW8Num31z2"/>
    <w:qFormat/>
    <w:rPr/>
  </w:style>
  <w:style w:type="character" w:styleId="WW8Num31z3" w:customStyle="1">
    <w:name w:val="WW8Num31z3"/>
    <w:qFormat/>
    <w:rPr/>
  </w:style>
  <w:style w:type="character" w:styleId="WW8Num31z4" w:customStyle="1">
    <w:name w:val="WW8Num31z4"/>
    <w:qFormat/>
    <w:rPr/>
  </w:style>
  <w:style w:type="character" w:styleId="WW8Num31z5" w:customStyle="1">
    <w:name w:val="WW8Num31z5"/>
    <w:qFormat/>
    <w:rPr/>
  </w:style>
  <w:style w:type="character" w:styleId="WW8Num31z6" w:customStyle="1">
    <w:name w:val="WW8Num31z6"/>
    <w:qFormat/>
    <w:rPr/>
  </w:style>
  <w:style w:type="character" w:styleId="WW8Num31z7" w:customStyle="1">
    <w:name w:val="WW8Num31z7"/>
    <w:qFormat/>
    <w:rPr/>
  </w:style>
  <w:style w:type="character" w:styleId="WW8Num31z8" w:customStyle="1">
    <w:name w:val="WW8Num31z8"/>
    <w:qFormat/>
    <w:rPr/>
  </w:style>
  <w:style w:type="character" w:styleId="WW8Num32z1" w:customStyle="1">
    <w:name w:val="WW8Num32z1"/>
    <w:qFormat/>
    <w:rPr/>
  </w:style>
  <w:style w:type="character" w:styleId="WW8Num32z2" w:customStyle="1">
    <w:name w:val="WW8Num32z2"/>
    <w:qFormat/>
    <w:rPr/>
  </w:style>
  <w:style w:type="character" w:styleId="WW8Num32z3" w:customStyle="1">
    <w:name w:val="WW8Num32z3"/>
    <w:qFormat/>
    <w:rPr/>
  </w:style>
  <w:style w:type="character" w:styleId="WW8Num32z4" w:customStyle="1">
    <w:name w:val="WW8Num32z4"/>
    <w:qFormat/>
    <w:rPr/>
  </w:style>
  <w:style w:type="character" w:styleId="WW8Num32z5" w:customStyle="1">
    <w:name w:val="WW8Num32z5"/>
    <w:qFormat/>
    <w:rPr/>
  </w:style>
  <w:style w:type="character" w:styleId="WW8Num32z6" w:customStyle="1">
    <w:name w:val="WW8Num32z6"/>
    <w:qFormat/>
    <w:rPr/>
  </w:style>
  <w:style w:type="character" w:styleId="WW8Num32z7" w:customStyle="1">
    <w:name w:val="WW8Num32z7"/>
    <w:qFormat/>
    <w:rPr/>
  </w:style>
  <w:style w:type="character" w:styleId="WW8Num32z8" w:customStyle="1">
    <w:name w:val="WW8Num32z8"/>
    <w:qFormat/>
    <w:rPr/>
  </w:style>
  <w:style w:type="character" w:styleId="WW8Num33z2" w:customStyle="1">
    <w:name w:val="WW8Num33z2"/>
    <w:qFormat/>
    <w:rPr/>
  </w:style>
  <w:style w:type="character" w:styleId="WW8Num33z4" w:customStyle="1">
    <w:name w:val="WW8Num33z4"/>
    <w:qFormat/>
    <w:rPr/>
  </w:style>
  <w:style w:type="character" w:styleId="WW8Num33z5" w:customStyle="1">
    <w:name w:val="WW8Num33z5"/>
    <w:qFormat/>
    <w:rPr/>
  </w:style>
  <w:style w:type="character" w:styleId="WW8Num33z6" w:customStyle="1">
    <w:name w:val="WW8Num33z6"/>
    <w:qFormat/>
    <w:rPr/>
  </w:style>
  <w:style w:type="character" w:styleId="WW8Num33z7" w:customStyle="1">
    <w:name w:val="WW8Num33z7"/>
    <w:qFormat/>
    <w:rPr/>
  </w:style>
  <w:style w:type="character" w:styleId="WW8Num33z8" w:customStyle="1">
    <w:name w:val="WW8Num33z8"/>
    <w:qFormat/>
    <w:rPr/>
  </w:style>
  <w:style w:type="character" w:styleId="WW8Num34z2" w:customStyle="1">
    <w:name w:val="WW8Num34z2"/>
    <w:qFormat/>
    <w:rPr/>
  </w:style>
  <w:style w:type="character" w:styleId="WW8Num34z3" w:customStyle="1">
    <w:name w:val="WW8Num34z3"/>
    <w:qFormat/>
    <w:rPr/>
  </w:style>
  <w:style w:type="character" w:styleId="WW8Num34z4" w:customStyle="1">
    <w:name w:val="WW8Num34z4"/>
    <w:qFormat/>
    <w:rPr/>
  </w:style>
  <w:style w:type="character" w:styleId="WW8Num34z5" w:customStyle="1">
    <w:name w:val="WW8Num34z5"/>
    <w:qFormat/>
    <w:rPr/>
  </w:style>
  <w:style w:type="character" w:styleId="WW8Num34z6" w:customStyle="1">
    <w:name w:val="WW8Num34z6"/>
    <w:qFormat/>
    <w:rPr/>
  </w:style>
  <w:style w:type="character" w:styleId="WW8Num34z7" w:customStyle="1">
    <w:name w:val="WW8Num34z7"/>
    <w:qFormat/>
    <w:rPr/>
  </w:style>
  <w:style w:type="character" w:styleId="WW8Num34z8" w:customStyle="1">
    <w:name w:val="WW8Num34z8"/>
    <w:qFormat/>
    <w:rPr/>
  </w:style>
  <w:style w:type="character" w:styleId="WW8Num35z2" w:customStyle="1">
    <w:name w:val="WW8Num35z2"/>
    <w:qFormat/>
    <w:rPr/>
  </w:style>
  <w:style w:type="character" w:styleId="WW8Num35z3" w:customStyle="1">
    <w:name w:val="WW8Num35z3"/>
    <w:qFormat/>
    <w:rPr/>
  </w:style>
  <w:style w:type="character" w:styleId="WW8Num35z4" w:customStyle="1">
    <w:name w:val="WW8Num35z4"/>
    <w:qFormat/>
    <w:rPr/>
  </w:style>
  <w:style w:type="character" w:styleId="WW8Num35z5" w:customStyle="1">
    <w:name w:val="WW8Num35z5"/>
    <w:qFormat/>
    <w:rPr/>
  </w:style>
  <w:style w:type="character" w:styleId="WW8Num35z6" w:customStyle="1">
    <w:name w:val="WW8Num35z6"/>
    <w:qFormat/>
    <w:rPr/>
  </w:style>
  <w:style w:type="character" w:styleId="WW8Num35z7" w:customStyle="1">
    <w:name w:val="WW8Num35z7"/>
    <w:qFormat/>
    <w:rPr/>
  </w:style>
  <w:style w:type="character" w:styleId="WW8Num35z8" w:customStyle="1">
    <w:name w:val="WW8Num35z8"/>
    <w:qFormat/>
    <w:rPr/>
  </w:style>
  <w:style w:type="character" w:styleId="WW8Num36z2" w:customStyle="1">
    <w:name w:val="WW8Num36z2"/>
    <w:qFormat/>
    <w:rPr/>
  </w:style>
  <w:style w:type="character" w:styleId="WW8Num36z3" w:customStyle="1">
    <w:name w:val="WW8Num36z3"/>
    <w:qFormat/>
    <w:rPr/>
  </w:style>
  <w:style w:type="character" w:styleId="WW8Num36z4" w:customStyle="1">
    <w:name w:val="WW8Num36z4"/>
    <w:qFormat/>
    <w:rPr/>
  </w:style>
  <w:style w:type="character" w:styleId="WW8Num36z5" w:customStyle="1">
    <w:name w:val="WW8Num36z5"/>
    <w:qFormat/>
    <w:rPr/>
  </w:style>
  <w:style w:type="character" w:styleId="WW8Num36z6" w:customStyle="1">
    <w:name w:val="WW8Num36z6"/>
    <w:qFormat/>
    <w:rPr/>
  </w:style>
  <w:style w:type="character" w:styleId="WW8Num36z7" w:customStyle="1">
    <w:name w:val="WW8Num36z7"/>
    <w:qFormat/>
    <w:rPr/>
  </w:style>
  <w:style w:type="character" w:styleId="WW8Num36z8" w:customStyle="1">
    <w:name w:val="WW8Num36z8"/>
    <w:qFormat/>
    <w:rPr/>
  </w:style>
  <w:style w:type="character" w:styleId="WW8Num37z2" w:customStyle="1">
    <w:name w:val="WW8Num37z2"/>
    <w:qFormat/>
    <w:rPr/>
  </w:style>
  <w:style w:type="character" w:styleId="WW8Num37z3" w:customStyle="1">
    <w:name w:val="WW8Num37z3"/>
    <w:qFormat/>
    <w:rPr/>
  </w:style>
  <w:style w:type="character" w:styleId="WW8Num37z4" w:customStyle="1">
    <w:name w:val="WW8Num37z4"/>
    <w:qFormat/>
    <w:rPr/>
  </w:style>
  <w:style w:type="character" w:styleId="WW8Num37z5" w:customStyle="1">
    <w:name w:val="WW8Num37z5"/>
    <w:qFormat/>
    <w:rPr/>
  </w:style>
  <w:style w:type="character" w:styleId="WW8Num37z6" w:customStyle="1">
    <w:name w:val="WW8Num37z6"/>
    <w:qFormat/>
    <w:rPr/>
  </w:style>
  <w:style w:type="character" w:styleId="WW8Num37z7" w:customStyle="1">
    <w:name w:val="WW8Num37z7"/>
    <w:qFormat/>
    <w:rPr/>
  </w:style>
  <w:style w:type="character" w:styleId="WW8Num37z8" w:customStyle="1">
    <w:name w:val="WW8Num37z8"/>
    <w:qFormat/>
    <w:rPr/>
  </w:style>
  <w:style w:type="character" w:styleId="WW8Num38z2" w:customStyle="1">
    <w:name w:val="WW8Num38z2"/>
    <w:qFormat/>
    <w:rPr/>
  </w:style>
  <w:style w:type="character" w:styleId="WW8Num38z3" w:customStyle="1">
    <w:name w:val="WW8Num38z3"/>
    <w:qFormat/>
    <w:rPr/>
  </w:style>
  <w:style w:type="character" w:styleId="WW8Num38z4" w:customStyle="1">
    <w:name w:val="WW8Num38z4"/>
    <w:qFormat/>
    <w:rPr/>
  </w:style>
  <w:style w:type="character" w:styleId="WW8Num38z5" w:customStyle="1">
    <w:name w:val="WW8Num38z5"/>
    <w:qFormat/>
    <w:rPr/>
  </w:style>
  <w:style w:type="character" w:styleId="WW8Num38z6" w:customStyle="1">
    <w:name w:val="WW8Num38z6"/>
    <w:qFormat/>
    <w:rPr/>
  </w:style>
  <w:style w:type="character" w:styleId="WW8Num38z7" w:customStyle="1">
    <w:name w:val="WW8Num38z7"/>
    <w:qFormat/>
    <w:rPr/>
  </w:style>
  <w:style w:type="character" w:styleId="WW8Num38z8" w:customStyle="1">
    <w:name w:val="WW8Num38z8"/>
    <w:qFormat/>
    <w:rPr/>
  </w:style>
  <w:style w:type="character" w:styleId="WW8Num39z2" w:customStyle="1">
    <w:name w:val="WW8Num39z2"/>
    <w:qFormat/>
    <w:rPr/>
  </w:style>
  <w:style w:type="character" w:styleId="WW8Num39z3" w:customStyle="1">
    <w:name w:val="WW8Num39z3"/>
    <w:qFormat/>
    <w:rPr/>
  </w:style>
  <w:style w:type="character" w:styleId="WW8Num39z4" w:customStyle="1">
    <w:name w:val="WW8Num39z4"/>
    <w:qFormat/>
    <w:rPr/>
  </w:style>
  <w:style w:type="character" w:styleId="WW8Num39z5" w:customStyle="1">
    <w:name w:val="WW8Num39z5"/>
    <w:qFormat/>
    <w:rPr/>
  </w:style>
  <w:style w:type="character" w:styleId="WW8Num39z6" w:customStyle="1">
    <w:name w:val="WW8Num39z6"/>
    <w:qFormat/>
    <w:rPr/>
  </w:style>
  <w:style w:type="character" w:styleId="WW8Num39z7" w:customStyle="1">
    <w:name w:val="WW8Num39z7"/>
    <w:qFormat/>
    <w:rPr/>
  </w:style>
  <w:style w:type="character" w:styleId="WW8Num39z8" w:customStyle="1">
    <w:name w:val="WW8Num39z8"/>
    <w:qFormat/>
    <w:rPr/>
  </w:style>
  <w:style w:type="character" w:styleId="WW8Num40z2" w:customStyle="1">
    <w:name w:val="WW8Num40z2"/>
    <w:qFormat/>
    <w:rPr/>
  </w:style>
  <w:style w:type="character" w:styleId="WW8Num40z4" w:customStyle="1">
    <w:name w:val="WW8Num40z4"/>
    <w:qFormat/>
    <w:rPr/>
  </w:style>
  <w:style w:type="character" w:styleId="WW8Num40z5" w:customStyle="1">
    <w:name w:val="WW8Num40z5"/>
    <w:qFormat/>
    <w:rPr/>
  </w:style>
  <w:style w:type="character" w:styleId="WW8Num40z6" w:customStyle="1">
    <w:name w:val="WW8Num40z6"/>
    <w:qFormat/>
    <w:rPr/>
  </w:style>
  <w:style w:type="character" w:styleId="WW8Num40z7" w:customStyle="1">
    <w:name w:val="WW8Num40z7"/>
    <w:qFormat/>
    <w:rPr/>
  </w:style>
  <w:style w:type="character" w:styleId="WW8Num40z8" w:customStyle="1">
    <w:name w:val="WW8Num40z8"/>
    <w:qFormat/>
    <w:rPr/>
  </w:style>
  <w:style w:type="character" w:styleId="WW8Num41z2" w:customStyle="1">
    <w:name w:val="WW8Num41z2"/>
    <w:qFormat/>
    <w:rPr/>
  </w:style>
  <w:style w:type="character" w:styleId="WW8Num41z3" w:customStyle="1">
    <w:name w:val="WW8Num41z3"/>
    <w:qFormat/>
    <w:rPr/>
  </w:style>
  <w:style w:type="character" w:styleId="WW8Num41z4" w:customStyle="1">
    <w:name w:val="WW8Num41z4"/>
    <w:qFormat/>
    <w:rPr/>
  </w:style>
  <w:style w:type="character" w:styleId="WW8Num41z5" w:customStyle="1">
    <w:name w:val="WW8Num41z5"/>
    <w:qFormat/>
    <w:rPr/>
  </w:style>
  <w:style w:type="character" w:styleId="WW8Num41z6" w:customStyle="1">
    <w:name w:val="WW8Num41z6"/>
    <w:qFormat/>
    <w:rPr/>
  </w:style>
  <w:style w:type="character" w:styleId="WW8Num41z7" w:customStyle="1">
    <w:name w:val="WW8Num41z7"/>
    <w:qFormat/>
    <w:rPr/>
  </w:style>
  <w:style w:type="character" w:styleId="WW8Num41z8" w:customStyle="1">
    <w:name w:val="WW8Num41z8"/>
    <w:qFormat/>
    <w:rPr/>
  </w:style>
  <w:style w:type="character" w:styleId="Domylnaczcionkaakapitu8" w:customStyle="1">
    <w:name w:val="Domyślna czcionka akapitu8"/>
    <w:qFormat/>
    <w:rPr/>
  </w:style>
  <w:style w:type="character" w:styleId="Domylnaczcionkaakapitu7" w:customStyle="1">
    <w:name w:val="Domyślna czcionka akapitu7"/>
    <w:qFormat/>
    <w:rPr/>
  </w:style>
  <w:style w:type="character" w:styleId="WW8Num29z2" w:customStyle="1">
    <w:name w:val="WW8Num29z2"/>
    <w:qFormat/>
    <w:rPr/>
  </w:style>
  <w:style w:type="character" w:styleId="WW8Num29z3" w:customStyle="1">
    <w:name w:val="WW8Num29z3"/>
    <w:qFormat/>
    <w:rPr/>
  </w:style>
  <w:style w:type="character" w:styleId="WW8Num29z4" w:customStyle="1">
    <w:name w:val="WW8Num29z4"/>
    <w:qFormat/>
    <w:rPr/>
  </w:style>
  <w:style w:type="character" w:styleId="WW8Num29z5" w:customStyle="1">
    <w:name w:val="WW8Num29z5"/>
    <w:qFormat/>
    <w:rPr/>
  </w:style>
  <w:style w:type="character" w:styleId="WW8Num29z6" w:customStyle="1">
    <w:name w:val="WW8Num29z6"/>
    <w:qFormat/>
    <w:rPr/>
  </w:style>
  <w:style w:type="character" w:styleId="WW8Num29z7" w:customStyle="1">
    <w:name w:val="WW8Num29z7"/>
    <w:qFormat/>
    <w:rPr/>
  </w:style>
  <w:style w:type="character" w:styleId="WW8Num29z8" w:customStyle="1">
    <w:name w:val="WW8Num29z8"/>
    <w:qFormat/>
    <w:rPr/>
  </w:style>
  <w:style w:type="character" w:styleId="WW8Num42z3" w:customStyle="1">
    <w:name w:val="WW8Num42z3"/>
    <w:qFormat/>
    <w:rPr/>
  </w:style>
  <w:style w:type="character" w:styleId="WW8Num42z4" w:customStyle="1">
    <w:name w:val="WW8Num42z4"/>
    <w:qFormat/>
    <w:rPr/>
  </w:style>
  <w:style w:type="character" w:styleId="WW8Num42z5" w:customStyle="1">
    <w:name w:val="WW8Num42z5"/>
    <w:qFormat/>
    <w:rPr/>
  </w:style>
  <w:style w:type="character" w:styleId="WW8Num42z6" w:customStyle="1">
    <w:name w:val="WW8Num42z6"/>
    <w:qFormat/>
    <w:rPr/>
  </w:style>
  <w:style w:type="character" w:styleId="WW8Num42z7" w:customStyle="1">
    <w:name w:val="WW8Num42z7"/>
    <w:qFormat/>
    <w:rPr/>
  </w:style>
  <w:style w:type="character" w:styleId="WW8Num42z8" w:customStyle="1">
    <w:name w:val="WW8Num42z8"/>
    <w:qFormat/>
    <w:rPr/>
  </w:style>
  <w:style w:type="character" w:styleId="WW8Num43z2" w:customStyle="1">
    <w:name w:val="WW8Num43z2"/>
    <w:qFormat/>
    <w:rPr>
      <w:rFonts w:ascii="Wingdings" w:hAnsi="Wingdings" w:cs="Wingdings"/>
    </w:rPr>
  </w:style>
  <w:style w:type="character" w:styleId="Domylnaczcionkaakapitu6" w:customStyle="1">
    <w:name w:val="Domyślna czcionka akapitu6"/>
    <w:qFormat/>
    <w:rPr/>
  </w:style>
  <w:style w:type="character" w:styleId="WW8Num25z2" w:customStyle="1">
    <w:name w:val="WW8Num25z2"/>
    <w:qFormat/>
    <w:rPr>
      <w:position w:val="0"/>
      <w:sz w:val="22"/>
      <w:vertAlign w:val="baseline"/>
    </w:rPr>
  </w:style>
  <w:style w:type="character" w:styleId="WW8Num25z5" w:customStyle="1">
    <w:name w:val="WW8Num25z5"/>
    <w:qFormat/>
    <w:rPr>
      <w:rFonts w:eastAsia="Arial" w:cs="Arial"/>
      <w:position w:val="0"/>
      <w:sz w:val="22"/>
      <w:vertAlign w:val="baseline"/>
    </w:rPr>
  </w:style>
  <w:style w:type="character" w:styleId="WW8Num30z2" w:customStyle="1">
    <w:name w:val="WW8Num30z2"/>
    <w:qFormat/>
    <w:rPr/>
  </w:style>
  <w:style w:type="character" w:styleId="WW8Num30z3" w:customStyle="1">
    <w:name w:val="WW8Num30z3"/>
    <w:qFormat/>
    <w:rPr/>
  </w:style>
  <w:style w:type="character" w:styleId="WW8Num30z4" w:customStyle="1">
    <w:name w:val="WW8Num30z4"/>
    <w:qFormat/>
    <w:rPr/>
  </w:style>
  <w:style w:type="character" w:styleId="WW8Num30z5" w:customStyle="1">
    <w:name w:val="WW8Num30z5"/>
    <w:qFormat/>
    <w:rPr/>
  </w:style>
  <w:style w:type="character" w:styleId="WW8Num30z6" w:customStyle="1">
    <w:name w:val="WW8Num30z6"/>
    <w:qFormat/>
    <w:rPr/>
  </w:style>
  <w:style w:type="character" w:styleId="WW8Num30z7" w:customStyle="1">
    <w:name w:val="WW8Num30z7"/>
    <w:qFormat/>
    <w:rPr/>
  </w:style>
  <w:style w:type="character" w:styleId="WW8Num30z8" w:customStyle="1">
    <w:name w:val="WW8Num30z8"/>
    <w:qFormat/>
    <w:rPr/>
  </w:style>
  <w:style w:type="character" w:styleId="WW8Num43z3" w:customStyle="1">
    <w:name w:val="WW8Num43z3"/>
    <w:qFormat/>
    <w:rPr/>
  </w:style>
  <w:style w:type="character" w:styleId="WW8Num43z4" w:customStyle="1">
    <w:name w:val="WW8Num43z4"/>
    <w:qFormat/>
    <w:rPr/>
  </w:style>
  <w:style w:type="character" w:styleId="WW8Num43z5" w:customStyle="1">
    <w:name w:val="WW8Num43z5"/>
    <w:qFormat/>
    <w:rPr/>
  </w:style>
  <w:style w:type="character" w:styleId="WW8Num43z6" w:customStyle="1">
    <w:name w:val="WW8Num43z6"/>
    <w:qFormat/>
    <w:rPr/>
  </w:style>
  <w:style w:type="character" w:styleId="WW8Num43z7" w:customStyle="1">
    <w:name w:val="WW8Num43z7"/>
    <w:qFormat/>
    <w:rPr/>
  </w:style>
  <w:style w:type="character" w:styleId="WW8Num43z8" w:customStyle="1">
    <w:name w:val="WW8Num43z8"/>
    <w:qFormat/>
    <w:rPr/>
  </w:style>
  <w:style w:type="character" w:styleId="WW8Num22z3" w:customStyle="1">
    <w:name w:val="WW8Num22z3"/>
    <w:qFormat/>
    <w:rPr/>
  </w:style>
  <w:style w:type="character" w:styleId="WW8Num22z4" w:customStyle="1">
    <w:name w:val="WW8Num22z4"/>
    <w:qFormat/>
    <w:rPr/>
  </w:style>
  <w:style w:type="character" w:styleId="WW8Num22z6" w:customStyle="1">
    <w:name w:val="WW8Num22z6"/>
    <w:qFormat/>
    <w:rPr/>
  </w:style>
  <w:style w:type="character" w:styleId="WW8Num22z7" w:customStyle="1">
    <w:name w:val="WW8Num22z7"/>
    <w:qFormat/>
    <w:rPr/>
  </w:style>
  <w:style w:type="character" w:styleId="WW8Num22z8" w:customStyle="1">
    <w:name w:val="WW8Num22z8"/>
    <w:qFormat/>
    <w:rPr/>
  </w:style>
  <w:style w:type="character" w:styleId="WW8Num26z2" w:customStyle="1">
    <w:name w:val="WW8Num26z2"/>
    <w:qFormat/>
    <w:rPr>
      <w:position w:val="0"/>
      <w:sz w:val="22"/>
      <w:vertAlign w:val="baseline"/>
    </w:rPr>
  </w:style>
  <w:style w:type="character" w:styleId="WW8Num26z5" w:customStyle="1">
    <w:name w:val="WW8Num26z5"/>
    <w:qFormat/>
    <w:rPr>
      <w:rFonts w:eastAsia="Arial" w:cs="Arial"/>
      <w:position w:val="0"/>
      <w:sz w:val="22"/>
      <w:vertAlign w:val="baseline"/>
    </w:rPr>
  </w:style>
  <w:style w:type="character" w:styleId="WW8Num44z3" w:customStyle="1">
    <w:name w:val="WW8Num44z3"/>
    <w:qFormat/>
    <w:rPr/>
  </w:style>
  <w:style w:type="character" w:styleId="WW8Num44z4" w:customStyle="1">
    <w:name w:val="WW8Num44z4"/>
    <w:qFormat/>
    <w:rPr/>
  </w:style>
  <w:style w:type="character" w:styleId="WW8Num44z5" w:customStyle="1">
    <w:name w:val="WW8Num44z5"/>
    <w:qFormat/>
    <w:rPr/>
  </w:style>
  <w:style w:type="character" w:styleId="WW8Num44z6" w:customStyle="1">
    <w:name w:val="WW8Num44z6"/>
    <w:qFormat/>
    <w:rPr/>
  </w:style>
  <w:style w:type="character" w:styleId="WW8Num44z7" w:customStyle="1">
    <w:name w:val="WW8Num44z7"/>
    <w:qFormat/>
    <w:rPr/>
  </w:style>
  <w:style w:type="character" w:styleId="WW8Num44z8" w:customStyle="1">
    <w:name w:val="WW8Num44z8"/>
    <w:qFormat/>
    <w:rPr/>
  </w:style>
  <w:style w:type="character" w:styleId="WW8Num45z2" w:customStyle="1">
    <w:name w:val="WW8Num45z2"/>
    <w:qFormat/>
    <w:rPr/>
  </w:style>
  <w:style w:type="character" w:styleId="WW8Num45z3" w:customStyle="1">
    <w:name w:val="WW8Num45z3"/>
    <w:qFormat/>
    <w:rPr/>
  </w:style>
  <w:style w:type="character" w:styleId="WW8Num45z4" w:customStyle="1">
    <w:name w:val="WW8Num45z4"/>
    <w:qFormat/>
    <w:rPr/>
  </w:style>
  <w:style w:type="character" w:styleId="WW8Num45z5" w:customStyle="1">
    <w:name w:val="WW8Num45z5"/>
    <w:qFormat/>
    <w:rPr/>
  </w:style>
  <w:style w:type="character" w:styleId="WW8Num45z6" w:customStyle="1">
    <w:name w:val="WW8Num45z6"/>
    <w:qFormat/>
    <w:rPr/>
  </w:style>
  <w:style w:type="character" w:styleId="WW8Num45z7" w:customStyle="1">
    <w:name w:val="WW8Num45z7"/>
    <w:qFormat/>
    <w:rPr/>
  </w:style>
  <w:style w:type="character" w:styleId="WW8Num45z8" w:customStyle="1">
    <w:name w:val="WW8Num45z8"/>
    <w:qFormat/>
    <w:rPr/>
  </w:style>
  <w:style w:type="character" w:styleId="WW8Num46z2" w:customStyle="1">
    <w:name w:val="WW8Num46z2"/>
    <w:qFormat/>
    <w:rPr/>
  </w:style>
  <w:style w:type="character" w:styleId="WW8Num46z3" w:customStyle="1">
    <w:name w:val="WW8Num46z3"/>
    <w:qFormat/>
    <w:rPr/>
  </w:style>
  <w:style w:type="character" w:styleId="WW8Num46z4" w:customStyle="1">
    <w:name w:val="WW8Num46z4"/>
    <w:qFormat/>
    <w:rPr/>
  </w:style>
  <w:style w:type="character" w:styleId="WW8Num46z5" w:customStyle="1">
    <w:name w:val="WW8Num46z5"/>
    <w:qFormat/>
    <w:rPr/>
  </w:style>
  <w:style w:type="character" w:styleId="WW8Num46z6" w:customStyle="1">
    <w:name w:val="WW8Num46z6"/>
    <w:qFormat/>
    <w:rPr/>
  </w:style>
  <w:style w:type="character" w:styleId="WW8Num46z7" w:customStyle="1">
    <w:name w:val="WW8Num46z7"/>
    <w:qFormat/>
    <w:rPr/>
  </w:style>
  <w:style w:type="character" w:styleId="WW8Num46z8" w:customStyle="1">
    <w:name w:val="WW8Num46z8"/>
    <w:qFormat/>
    <w:rPr/>
  </w:style>
  <w:style w:type="character" w:styleId="WW8Num47z0" w:customStyle="1">
    <w:name w:val="WW8Num47z0"/>
    <w:qFormat/>
    <w:rPr/>
  </w:style>
  <w:style w:type="character" w:styleId="WW8Num47z1" w:customStyle="1">
    <w:name w:val="WW8Num47z1"/>
    <w:qFormat/>
    <w:rPr>
      <w:rFonts w:ascii="Arial" w:hAnsi="Arial" w:eastAsia="Calibri" w:cs="Calibri"/>
      <w:b w:val="false"/>
      <w:bCs w:val="false"/>
      <w:sz w:val="22"/>
      <w:szCs w:val="22"/>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24z3" w:customStyle="1">
    <w:name w:val="WW8Num24z3"/>
    <w:qFormat/>
    <w:rPr/>
  </w:style>
  <w:style w:type="character" w:styleId="WW8Num24z4" w:customStyle="1">
    <w:name w:val="WW8Num24z4"/>
    <w:qFormat/>
    <w:rPr/>
  </w:style>
  <w:style w:type="character" w:styleId="WW8Num24z6" w:customStyle="1">
    <w:name w:val="WW8Num24z6"/>
    <w:qFormat/>
    <w:rPr/>
  </w:style>
  <w:style w:type="character" w:styleId="WW8Num24z7" w:customStyle="1">
    <w:name w:val="WW8Num24z7"/>
    <w:qFormat/>
    <w:rPr/>
  </w:style>
  <w:style w:type="character" w:styleId="WW8Num24z8" w:customStyle="1">
    <w:name w:val="WW8Num24z8"/>
    <w:qFormat/>
    <w:rPr/>
  </w:style>
  <w:style w:type="character" w:styleId="WW8Num47z2" w:customStyle="1">
    <w:name w:val="WW8Num47z2"/>
    <w:qFormat/>
    <w:rPr/>
  </w:style>
  <w:style w:type="character" w:styleId="WW8Num47z3" w:customStyle="1">
    <w:name w:val="WW8Num47z3"/>
    <w:qFormat/>
    <w:rPr/>
  </w:style>
  <w:style w:type="character" w:styleId="WW8Num47z4" w:customStyle="1">
    <w:name w:val="WW8Num47z4"/>
    <w:qFormat/>
    <w:rPr/>
  </w:style>
  <w:style w:type="character" w:styleId="WW8Num47z5" w:customStyle="1">
    <w:name w:val="WW8Num47z5"/>
    <w:qFormat/>
    <w:rPr/>
  </w:style>
  <w:style w:type="character" w:styleId="WW8Num47z6" w:customStyle="1">
    <w:name w:val="WW8Num47z6"/>
    <w:qFormat/>
    <w:rPr/>
  </w:style>
  <w:style w:type="character" w:styleId="WW8Num47z7" w:customStyle="1">
    <w:name w:val="WW8Num47z7"/>
    <w:qFormat/>
    <w:rPr/>
  </w:style>
  <w:style w:type="character" w:styleId="WW8Num47z8" w:customStyle="1">
    <w:name w:val="WW8Num47z8"/>
    <w:qFormat/>
    <w:rPr/>
  </w:style>
  <w:style w:type="character" w:styleId="WW8Num48z0" w:customStyle="1">
    <w:name w:val="WW8Num48z0"/>
    <w:qFormat/>
    <w:rPr>
      <w:rFonts w:ascii="Times New Roman" w:hAnsi="Times New Roman" w:cs="Times New Roman"/>
      <w:sz w:val="23"/>
      <w:szCs w:val="23"/>
    </w:rPr>
  </w:style>
  <w:style w:type="character" w:styleId="WW8Num48z1" w:customStyle="1">
    <w:name w:val="WW8Num48z1"/>
    <w:qFormat/>
    <w:rPr>
      <w:sz w:val="23"/>
      <w:szCs w:val="23"/>
    </w:rPr>
  </w:style>
  <w:style w:type="character" w:styleId="WW8Num48z2" w:customStyle="1">
    <w:name w:val="WW8Num48z2"/>
    <w:qFormat/>
    <w:rPr/>
  </w:style>
  <w:style w:type="character" w:styleId="WW8Num48z3" w:customStyle="1">
    <w:name w:val="WW8Num48z3"/>
    <w:qFormat/>
    <w:rPr/>
  </w:style>
  <w:style w:type="character" w:styleId="WW8Num48z4" w:customStyle="1">
    <w:name w:val="WW8Num48z4"/>
    <w:qFormat/>
    <w:rPr/>
  </w:style>
  <w:style w:type="character" w:styleId="WW8Num48z5" w:customStyle="1">
    <w:name w:val="WW8Num48z5"/>
    <w:qFormat/>
    <w:rPr/>
  </w:style>
  <w:style w:type="character" w:styleId="WW8Num48z6" w:customStyle="1">
    <w:name w:val="WW8Num48z6"/>
    <w:qFormat/>
    <w:rPr/>
  </w:style>
  <w:style w:type="character" w:styleId="WW8Num48z7" w:customStyle="1">
    <w:name w:val="WW8Num48z7"/>
    <w:qFormat/>
    <w:rPr/>
  </w:style>
  <w:style w:type="character" w:styleId="WW8Num48z8" w:customStyle="1">
    <w:name w:val="WW8Num48z8"/>
    <w:qFormat/>
    <w:rPr/>
  </w:style>
  <w:style w:type="character" w:styleId="WW8Num49z0" w:customStyle="1">
    <w:name w:val="WW8Num49z0"/>
    <w:qFormat/>
    <w:rPr>
      <w:rFonts w:eastAsia="Times New Roman"/>
      <w:color w:val="000000"/>
      <w:lang w:bidi="ar-SA"/>
    </w:rPr>
  </w:style>
  <w:style w:type="character" w:styleId="WW8Num49z1" w:customStyle="1">
    <w:name w:val="WW8Num49z1"/>
    <w:qFormat/>
    <w:rPr/>
  </w:style>
  <w:style w:type="character" w:styleId="WW8Num49z2" w:customStyle="1">
    <w:name w:val="WW8Num49z2"/>
    <w:qFormat/>
    <w:rPr/>
  </w:style>
  <w:style w:type="character" w:styleId="WW8Num49z3" w:customStyle="1">
    <w:name w:val="WW8Num49z3"/>
    <w:qFormat/>
    <w:rPr/>
  </w:style>
  <w:style w:type="character" w:styleId="WW8Num49z4" w:customStyle="1">
    <w:name w:val="WW8Num49z4"/>
    <w:qFormat/>
    <w:rPr/>
  </w:style>
  <w:style w:type="character" w:styleId="WW8Num49z5" w:customStyle="1">
    <w:name w:val="WW8Num49z5"/>
    <w:qFormat/>
    <w:rPr/>
  </w:style>
  <w:style w:type="character" w:styleId="WW8Num49z6" w:customStyle="1">
    <w:name w:val="WW8Num49z6"/>
    <w:qFormat/>
    <w:rPr/>
  </w:style>
  <w:style w:type="character" w:styleId="WW8Num49z7" w:customStyle="1">
    <w:name w:val="WW8Num49z7"/>
    <w:qFormat/>
    <w:rPr/>
  </w:style>
  <w:style w:type="character" w:styleId="WW8Num49z8" w:customStyle="1">
    <w:name w:val="WW8Num49z8"/>
    <w:qFormat/>
    <w:rPr/>
  </w:style>
  <w:style w:type="character" w:styleId="Domylnaczcionkaakapitu4" w:customStyle="1">
    <w:name w:val="Domyślna czcionka akapitu4"/>
    <w:qFormat/>
    <w:rPr/>
  </w:style>
  <w:style w:type="character" w:styleId="WW8Num5z2" w:customStyle="1">
    <w:name w:val="WW8Num5z2"/>
    <w:qFormat/>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13z2" w:customStyle="1">
    <w:name w:val="WW8Num13z2"/>
    <w:qFormat/>
    <w:rPr>
      <w:position w:val="0"/>
      <w:sz w:val="22"/>
      <w:vertAlign w:val="baseline"/>
    </w:rPr>
  </w:style>
  <w:style w:type="character" w:styleId="WW8Num13z5" w:customStyle="1">
    <w:name w:val="WW8Num13z5"/>
    <w:qFormat/>
    <w:rPr>
      <w:rFonts w:eastAsia="Arial" w:cs="Arial"/>
      <w:position w:val="0"/>
      <w:sz w:val="22"/>
      <w:vertAlign w:val="baseline"/>
    </w:rPr>
  </w:style>
  <w:style w:type="character" w:styleId="WW8Num26z3" w:customStyle="1">
    <w:name w:val="WW8Num26z3"/>
    <w:qFormat/>
    <w:rPr/>
  </w:style>
  <w:style w:type="character" w:styleId="WW8Num26z4" w:customStyle="1">
    <w:name w:val="WW8Num26z4"/>
    <w:qFormat/>
    <w:rPr/>
  </w:style>
  <w:style w:type="character" w:styleId="WW8Num26z6" w:customStyle="1">
    <w:name w:val="WW8Num26z6"/>
    <w:qFormat/>
    <w:rPr/>
  </w:style>
  <w:style w:type="character" w:styleId="WW8Num26z7" w:customStyle="1">
    <w:name w:val="WW8Num26z7"/>
    <w:qFormat/>
    <w:rPr/>
  </w:style>
  <w:style w:type="character" w:styleId="WW8Num26z8" w:customStyle="1">
    <w:name w:val="WW8Num26z8"/>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14z2" w:customStyle="1">
    <w:name w:val="WW8Num14z2"/>
    <w:qFormat/>
    <w:rPr>
      <w:position w:val="0"/>
      <w:sz w:val="22"/>
      <w:vertAlign w:val="baseline"/>
    </w:rPr>
  </w:style>
  <w:style w:type="character" w:styleId="WW8Num14z5" w:customStyle="1">
    <w:name w:val="WW8Num14z5"/>
    <w:qFormat/>
    <w:rPr>
      <w:rFonts w:eastAsia="Arial" w:cs="Arial"/>
      <w:position w:val="0"/>
      <w:sz w:val="22"/>
      <w:vertAlign w:val="baseline"/>
    </w:rPr>
  </w:style>
  <w:style w:type="character" w:styleId="WW8Num15z2" w:customStyle="1">
    <w:name w:val="WW8Num15z2"/>
    <w:qFormat/>
    <w:rPr>
      <w:position w:val="0"/>
      <w:sz w:val="22"/>
      <w:vertAlign w:val="baseline"/>
    </w:rPr>
  </w:style>
  <w:style w:type="character" w:styleId="WW8Num15z5" w:customStyle="1">
    <w:name w:val="WW8Num15z5"/>
    <w:qFormat/>
    <w:rPr>
      <w:rFonts w:eastAsia="Arial" w:cs="Arial"/>
      <w:position w:val="0"/>
      <w:sz w:val="22"/>
      <w:vertAlign w:val="baseline"/>
    </w:rPr>
  </w:style>
  <w:style w:type="character" w:styleId="WW8Num50z0" w:customStyle="1">
    <w:name w:val="WW8Num50z0"/>
    <w:qFormat/>
    <w:rPr>
      <w:color w:val="000000"/>
    </w:rPr>
  </w:style>
  <w:style w:type="character" w:styleId="WW8Num50z1" w:customStyle="1">
    <w:name w:val="WW8Num50z1"/>
    <w:qFormat/>
    <w:rPr/>
  </w:style>
  <w:style w:type="character" w:styleId="WW8Num50z2" w:customStyle="1">
    <w:name w:val="WW8Num50z2"/>
    <w:qFormat/>
    <w:rPr/>
  </w:style>
  <w:style w:type="character" w:styleId="WW8Num50z3" w:customStyle="1">
    <w:name w:val="WW8Num50z3"/>
    <w:qFormat/>
    <w:rPr/>
  </w:style>
  <w:style w:type="character" w:styleId="WW8Num50z4" w:customStyle="1">
    <w:name w:val="WW8Num50z4"/>
    <w:qFormat/>
    <w:rPr/>
  </w:style>
  <w:style w:type="character" w:styleId="WW8Num50z5" w:customStyle="1">
    <w:name w:val="WW8Num50z5"/>
    <w:qFormat/>
    <w:rPr/>
  </w:style>
  <w:style w:type="character" w:styleId="WW8Num50z6" w:customStyle="1">
    <w:name w:val="WW8Num50z6"/>
    <w:qFormat/>
    <w:rPr/>
  </w:style>
  <w:style w:type="character" w:styleId="WW8Num50z7" w:customStyle="1">
    <w:name w:val="WW8Num50z7"/>
    <w:qFormat/>
    <w:rPr/>
  </w:style>
  <w:style w:type="character" w:styleId="WW8Num50z8" w:customStyle="1">
    <w:name w:val="WW8Num50z8"/>
    <w:qFormat/>
    <w:rPr/>
  </w:style>
  <w:style w:type="character" w:styleId="WW8Num51z0" w:customStyle="1">
    <w:name w:val="WW8Num51z0"/>
    <w:qFormat/>
    <w:rPr>
      <w:rFonts w:ascii="Times New Roman" w:hAnsi="Times New Roman" w:eastAsia="Times New Roman" w:cs="Times New Roman"/>
      <w:b/>
      <w:iCs/>
      <w:smallCaps/>
      <w:strike w:val="false"/>
      <w:dstrike w:val="false"/>
      <w:color w:val="000000"/>
    </w:rPr>
  </w:style>
  <w:style w:type="character" w:styleId="WW8Num51z1" w:customStyle="1">
    <w:name w:val="WW8Num51z1"/>
    <w:qFormat/>
    <w:rPr/>
  </w:style>
  <w:style w:type="character" w:styleId="WW8Num51z2" w:customStyle="1">
    <w:name w:val="WW8Num51z2"/>
    <w:qFormat/>
    <w:rPr/>
  </w:style>
  <w:style w:type="character" w:styleId="WW8Num51z3" w:customStyle="1">
    <w:name w:val="WW8Num51z3"/>
    <w:qFormat/>
    <w:rPr/>
  </w:style>
  <w:style w:type="character" w:styleId="WW8Num51z4" w:customStyle="1">
    <w:name w:val="WW8Num51z4"/>
    <w:qFormat/>
    <w:rPr/>
  </w:style>
  <w:style w:type="character" w:styleId="WW8Num51z5" w:customStyle="1">
    <w:name w:val="WW8Num51z5"/>
    <w:qFormat/>
    <w:rPr/>
  </w:style>
  <w:style w:type="character" w:styleId="WW8Num51z6" w:customStyle="1">
    <w:name w:val="WW8Num51z6"/>
    <w:qFormat/>
    <w:rPr/>
  </w:style>
  <w:style w:type="character" w:styleId="WW8Num51z7" w:customStyle="1">
    <w:name w:val="WW8Num51z7"/>
    <w:qFormat/>
    <w:rPr/>
  </w:style>
  <w:style w:type="character" w:styleId="WW8Num51z8" w:customStyle="1">
    <w:name w:val="WW8Num51z8"/>
    <w:qFormat/>
    <w:rPr/>
  </w:style>
  <w:style w:type="character" w:styleId="WW8Num52z0" w:customStyle="1">
    <w:name w:val="WW8Num52z0"/>
    <w:qFormat/>
    <w:rPr>
      <w:color w:val="000000"/>
    </w:rPr>
  </w:style>
  <w:style w:type="character" w:styleId="WW8Num52z1" w:customStyle="1">
    <w:name w:val="WW8Num52z1"/>
    <w:qFormat/>
    <w:rPr/>
  </w:style>
  <w:style w:type="character" w:styleId="WW8Num52z2" w:customStyle="1">
    <w:name w:val="WW8Num52z2"/>
    <w:qFormat/>
    <w:rPr/>
  </w:style>
  <w:style w:type="character" w:styleId="WW8Num52z3" w:customStyle="1">
    <w:name w:val="WW8Num52z3"/>
    <w:qFormat/>
    <w:rPr/>
  </w:style>
  <w:style w:type="character" w:styleId="WW8Num52z4" w:customStyle="1">
    <w:name w:val="WW8Num52z4"/>
    <w:qFormat/>
    <w:rPr/>
  </w:style>
  <w:style w:type="character" w:styleId="WW8Num52z5" w:customStyle="1">
    <w:name w:val="WW8Num52z5"/>
    <w:qFormat/>
    <w:rPr/>
  </w:style>
  <w:style w:type="character" w:styleId="WW8Num52z6" w:customStyle="1">
    <w:name w:val="WW8Num52z6"/>
    <w:qFormat/>
    <w:rPr/>
  </w:style>
  <w:style w:type="character" w:styleId="WW8Num52z7" w:customStyle="1">
    <w:name w:val="WW8Num52z7"/>
    <w:qFormat/>
    <w:rPr/>
  </w:style>
  <w:style w:type="character" w:styleId="WW8Num52z8" w:customStyle="1">
    <w:name w:val="WW8Num52z8"/>
    <w:qFormat/>
    <w:rPr/>
  </w:style>
  <w:style w:type="character" w:styleId="Domylnaczcionkaakapitu3" w:customStyle="1">
    <w:name w:val="Domyślna czcionka akapitu3"/>
    <w:qFormat/>
    <w:rPr/>
  </w:style>
  <w:style w:type="character" w:styleId="WW8Num7z2" w:customStyle="1">
    <w:name w:val="WW8Num7z2"/>
    <w:qFormat/>
    <w:rPr/>
  </w:style>
  <w:style w:type="character" w:styleId="WW8Num7z3" w:customStyle="1">
    <w:name w:val="WW8Num7z3"/>
    <w:qFormat/>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8Num16z2" w:customStyle="1">
    <w:name w:val="WW8Num16z2"/>
    <w:qFormat/>
    <w:rPr>
      <w:position w:val="0"/>
      <w:sz w:val="22"/>
      <w:vertAlign w:val="baseline"/>
    </w:rPr>
  </w:style>
  <w:style w:type="character" w:styleId="WW8Num16z5" w:customStyle="1">
    <w:name w:val="WW8Num16z5"/>
    <w:qFormat/>
    <w:rPr>
      <w:rFonts w:eastAsia="Arial" w:cs="Arial"/>
      <w:position w:val="0"/>
      <w:sz w:val="22"/>
      <w:vertAlign w:val="baseline"/>
    </w:rPr>
  </w:style>
  <w:style w:type="character" w:styleId="WW8Num25z3" w:customStyle="1">
    <w:name w:val="WW8Num25z3"/>
    <w:qFormat/>
    <w:rPr/>
  </w:style>
  <w:style w:type="character" w:styleId="WW8Num25z4" w:customStyle="1">
    <w:name w:val="WW8Num25z4"/>
    <w:qFormat/>
    <w:rPr/>
  </w:style>
  <w:style w:type="character" w:styleId="WW8Num25z6" w:customStyle="1">
    <w:name w:val="WW8Num25z6"/>
    <w:qFormat/>
    <w:rPr/>
  </w:style>
  <w:style w:type="character" w:styleId="WW8Num25z7" w:customStyle="1">
    <w:name w:val="WW8Num25z7"/>
    <w:qFormat/>
    <w:rPr/>
  </w:style>
  <w:style w:type="character" w:styleId="WW8Num25z8" w:customStyle="1">
    <w:name w:val="WW8Num25z8"/>
    <w:qFormat/>
    <w:rPr/>
  </w:style>
  <w:style w:type="character" w:styleId="WW8Num4z2" w:customStyle="1">
    <w:name w:val="WW8Num4z2"/>
    <w:qFormat/>
    <w:rPr>
      <w:position w:val="0"/>
      <w:sz w:val="22"/>
      <w:vertAlign w:val="baseline"/>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17z2" w:customStyle="1">
    <w:name w:val="WW8Num17z2"/>
    <w:qFormat/>
    <w:rPr>
      <w:position w:val="0"/>
      <w:sz w:val="22"/>
      <w:vertAlign w:val="baseline"/>
    </w:rPr>
  </w:style>
  <w:style w:type="character" w:styleId="WW8Num17z5" w:customStyle="1">
    <w:name w:val="WW8Num17z5"/>
    <w:qFormat/>
    <w:rPr>
      <w:rFonts w:eastAsia="Arial" w:cs="Arial"/>
      <w:position w:val="0"/>
      <w:sz w:val="22"/>
      <w:vertAlign w:val="baseline"/>
    </w:rPr>
  </w:style>
  <w:style w:type="character" w:styleId="WW8Num17z3" w:customStyle="1">
    <w:name w:val="WW8Num17z3"/>
    <w:qFormat/>
    <w:rPr>
      <w:b/>
      <w:position w:val="0"/>
      <w:sz w:val="20"/>
      <w:vertAlign w:val="baseline"/>
    </w:rPr>
  </w:style>
  <w:style w:type="character" w:styleId="WW8Num20z3" w:customStyle="1">
    <w:name w:val="WW8Num20z3"/>
    <w:qFormat/>
    <w:rPr>
      <w:b/>
      <w:position w:val="0"/>
      <w:sz w:val="22"/>
      <w:vertAlign w:val="baseline"/>
    </w:rPr>
  </w:style>
  <w:style w:type="character" w:styleId="WW8Num53z0" w:customStyle="1">
    <w:name w:val="WW8Num53z0"/>
    <w:qFormat/>
    <w:rPr/>
  </w:style>
  <w:style w:type="character" w:styleId="WW8Num53z1" w:customStyle="1">
    <w:name w:val="WW8Num53z1"/>
    <w:qFormat/>
    <w:rPr/>
  </w:style>
  <w:style w:type="character" w:styleId="WW8Num53z2" w:customStyle="1">
    <w:name w:val="WW8Num53z2"/>
    <w:qFormat/>
    <w:rPr/>
  </w:style>
  <w:style w:type="character" w:styleId="WW8Num53z3" w:customStyle="1">
    <w:name w:val="WW8Num53z3"/>
    <w:qFormat/>
    <w:rPr/>
  </w:style>
  <w:style w:type="character" w:styleId="WW8Num53z4" w:customStyle="1">
    <w:name w:val="WW8Num53z4"/>
    <w:qFormat/>
    <w:rPr/>
  </w:style>
  <w:style w:type="character" w:styleId="WW8Num53z5" w:customStyle="1">
    <w:name w:val="WW8Num53z5"/>
    <w:qFormat/>
    <w:rPr/>
  </w:style>
  <w:style w:type="character" w:styleId="WW8Num53z6" w:customStyle="1">
    <w:name w:val="WW8Num53z6"/>
    <w:qFormat/>
    <w:rPr/>
  </w:style>
  <w:style w:type="character" w:styleId="WW8Num53z7" w:customStyle="1">
    <w:name w:val="WW8Num53z7"/>
    <w:qFormat/>
    <w:rPr/>
  </w:style>
  <w:style w:type="character" w:styleId="WW8Num53z8" w:customStyle="1">
    <w:name w:val="WW8Num53z8"/>
    <w:qFormat/>
    <w:rPr/>
  </w:style>
  <w:style w:type="character" w:styleId="WW8Num54z0" w:customStyle="1">
    <w:name w:val="WW8Num54z0"/>
    <w:qFormat/>
    <w:rPr>
      <w:rFonts w:ascii="Calibri" w:hAnsi="Calibri" w:cs="Calibri"/>
      <w:b/>
      <w:bCs/>
      <w:color w:val="FF0000"/>
      <w:sz w:val="22"/>
      <w:szCs w:val="22"/>
    </w:rPr>
  </w:style>
  <w:style w:type="character" w:styleId="WW8Num54z1" w:customStyle="1">
    <w:name w:val="WW8Num54z1"/>
    <w:qFormat/>
    <w:rPr>
      <w:position w:val="0"/>
      <w:sz w:val="22"/>
      <w:vertAlign w:val="baseline"/>
    </w:rPr>
  </w:style>
  <w:style w:type="character" w:styleId="WW8Num55z0" w:customStyle="1">
    <w:name w:val="WW8Num55z0"/>
    <w:qFormat/>
    <w:rPr>
      <w:color w:val="FF0000"/>
      <w:sz w:val="22"/>
      <w:szCs w:val="22"/>
    </w:rPr>
  </w:style>
  <w:style w:type="character" w:styleId="WW8Num55z1" w:customStyle="1">
    <w:name w:val="WW8Num55z1"/>
    <w:qFormat/>
    <w:rPr/>
  </w:style>
  <w:style w:type="character" w:styleId="WW8Num55z2" w:customStyle="1">
    <w:name w:val="WW8Num55z2"/>
    <w:qFormat/>
    <w:rPr/>
  </w:style>
  <w:style w:type="character" w:styleId="WW8Num55z3" w:customStyle="1">
    <w:name w:val="WW8Num55z3"/>
    <w:qFormat/>
    <w:rPr/>
  </w:style>
  <w:style w:type="character" w:styleId="WW8Num55z4" w:customStyle="1">
    <w:name w:val="WW8Num55z4"/>
    <w:qFormat/>
    <w:rPr/>
  </w:style>
  <w:style w:type="character" w:styleId="WW8Num55z5" w:customStyle="1">
    <w:name w:val="WW8Num55z5"/>
    <w:qFormat/>
    <w:rPr/>
  </w:style>
  <w:style w:type="character" w:styleId="WW8Num55z6" w:customStyle="1">
    <w:name w:val="WW8Num55z6"/>
    <w:qFormat/>
    <w:rPr/>
  </w:style>
  <w:style w:type="character" w:styleId="WW8Num55z7" w:customStyle="1">
    <w:name w:val="WW8Num55z7"/>
    <w:qFormat/>
    <w:rPr/>
  </w:style>
  <w:style w:type="character" w:styleId="WW8Num55z8" w:customStyle="1">
    <w:name w:val="WW8Num55z8"/>
    <w:qFormat/>
    <w:rPr/>
  </w:style>
  <w:style w:type="character" w:styleId="WW8Num56z0" w:customStyle="1">
    <w:name w:val="WW8Num56z0"/>
    <w:qFormat/>
    <w:rPr>
      <w:color w:val="000000"/>
      <w:sz w:val="24"/>
      <w:szCs w:val="20"/>
      <w:u w:val="none"/>
    </w:rPr>
  </w:style>
  <w:style w:type="character" w:styleId="WW8Num57z0" w:customStyle="1">
    <w:name w:val="WW8Num57z0"/>
    <w:qFormat/>
    <w:rPr>
      <w:b/>
      <w:color w:val="000000"/>
      <w:position w:val="0"/>
      <w:sz w:val="20"/>
      <w:vertAlign w:val="baseline"/>
    </w:rPr>
  </w:style>
  <w:style w:type="character" w:styleId="WW8Num57z1" w:customStyle="1">
    <w:name w:val="WW8Num57z1"/>
    <w:qFormat/>
    <w:rPr>
      <w:position w:val="0"/>
      <w:sz w:val="22"/>
      <w:vertAlign w:val="baseline"/>
    </w:rPr>
  </w:style>
  <w:style w:type="character" w:styleId="WW8Num58z0" w:customStyle="1">
    <w:name w:val="WW8Num58z0"/>
    <w:qFormat/>
    <w:rPr>
      <w:rFonts w:eastAsia="Arial" w:cs="Arial"/>
      <w:b w:val="false"/>
      <w:bCs w:val="false"/>
      <w:color w:val="000000"/>
      <w:position w:val="0"/>
      <w:sz w:val="20"/>
      <w:vertAlign w:val="baseline"/>
    </w:rPr>
  </w:style>
  <w:style w:type="character" w:styleId="WW8Num58z1" w:customStyle="1">
    <w:name w:val="WW8Num58z1"/>
    <w:qFormat/>
    <w:rPr>
      <w:b w:val="false"/>
      <w:position w:val="0"/>
      <w:sz w:val="22"/>
      <w:vertAlign w:val="baseline"/>
    </w:rPr>
  </w:style>
  <w:style w:type="character" w:styleId="WW8Num58z2" w:customStyle="1">
    <w:name w:val="WW8Num58z2"/>
    <w:qFormat/>
    <w:rPr>
      <w:position w:val="0"/>
      <w:sz w:val="22"/>
      <w:vertAlign w:val="baseline"/>
    </w:rPr>
  </w:style>
  <w:style w:type="character" w:styleId="WW8Num58z5" w:customStyle="1">
    <w:name w:val="WW8Num58z5"/>
    <w:qFormat/>
    <w:rPr>
      <w:rFonts w:eastAsia="Arial" w:cs="Arial"/>
      <w:position w:val="0"/>
      <w:sz w:val="22"/>
      <w:vertAlign w:val="baseline"/>
    </w:rPr>
  </w:style>
  <w:style w:type="character" w:styleId="WW8Num59z0" w:customStyle="1">
    <w:name w:val="WW8Num59z0"/>
    <w:qFormat/>
    <w:rPr/>
  </w:style>
  <w:style w:type="character" w:styleId="WW8Num59z1" w:customStyle="1">
    <w:name w:val="WW8Num59z1"/>
    <w:qFormat/>
    <w:rPr/>
  </w:style>
  <w:style w:type="character" w:styleId="WW8Num59z2" w:customStyle="1">
    <w:name w:val="WW8Num59z2"/>
    <w:qFormat/>
    <w:rPr/>
  </w:style>
  <w:style w:type="character" w:styleId="WW8Num59z3" w:customStyle="1">
    <w:name w:val="WW8Num59z3"/>
    <w:qFormat/>
    <w:rPr/>
  </w:style>
  <w:style w:type="character" w:styleId="WW8Num59z4" w:customStyle="1">
    <w:name w:val="WW8Num59z4"/>
    <w:qFormat/>
    <w:rPr/>
  </w:style>
  <w:style w:type="character" w:styleId="WW8Num59z5" w:customStyle="1">
    <w:name w:val="WW8Num59z5"/>
    <w:qFormat/>
    <w:rPr/>
  </w:style>
  <w:style w:type="character" w:styleId="WW8Num59z6" w:customStyle="1">
    <w:name w:val="WW8Num59z6"/>
    <w:qFormat/>
    <w:rPr/>
  </w:style>
  <w:style w:type="character" w:styleId="WW8Num59z7" w:customStyle="1">
    <w:name w:val="WW8Num59z7"/>
    <w:qFormat/>
    <w:rPr/>
  </w:style>
  <w:style w:type="character" w:styleId="WW8Num59z8" w:customStyle="1">
    <w:name w:val="WW8Num59z8"/>
    <w:qFormat/>
    <w:rPr/>
  </w:style>
  <w:style w:type="character" w:styleId="WW8Num60z0" w:customStyle="1">
    <w:name w:val="WW8Num60z0"/>
    <w:qFormat/>
    <w:rPr>
      <w:rFonts w:ascii="Symbol" w:hAnsi="Symbol" w:cs="Symbol"/>
    </w:rPr>
  </w:style>
  <w:style w:type="character" w:styleId="WW8Num60z1" w:customStyle="1">
    <w:name w:val="WW8Num60z1"/>
    <w:qFormat/>
    <w:rPr>
      <w:rFonts w:ascii="Courier New" w:hAnsi="Courier New" w:cs="Courier New"/>
    </w:rPr>
  </w:style>
  <w:style w:type="character" w:styleId="WW8Num60z2" w:customStyle="1">
    <w:name w:val="WW8Num60z2"/>
    <w:qFormat/>
    <w:rPr>
      <w:rFonts w:ascii="Wingdings" w:hAnsi="Wingdings" w:cs="Wingdings"/>
    </w:rPr>
  </w:style>
  <w:style w:type="character" w:styleId="WW8Num61z0" w:customStyle="1">
    <w:name w:val="WW8Num61z0"/>
    <w:qFormat/>
    <w:rPr>
      <w:rFonts w:ascii="Times New Roman" w:hAnsi="Times New Roman" w:eastAsia="Times New Roman" w:cs="Times New Roman"/>
      <w:b/>
      <w:iCs/>
      <w:smallCaps/>
      <w:strike w:val="false"/>
      <w:dstrike w:val="false"/>
      <w:color w:val="000000"/>
    </w:rPr>
  </w:style>
  <w:style w:type="character" w:styleId="WW8Num61z1" w:customStyle="1">
    <w:name w:val="WW8Num61z1"/>
    <w:qFormat/>
    <w:rPr/>
  </w:style>
  <w:style w:type="character" w:styleId="WW8Num61z2" w:customStyle="1">
    <w:name w:val="WW8Num61z2"/>
    <w:qFormat/>
    <w:rPr/>
  </w:style>
  <w:style w:type="character" w:styleId="WW8Num61z3" w:customStyle="1">
    <w:name w:val="WW8Num61z3"/>
    <w:qFormat/>
    <w:rPr/>
  </w:style>
  <w:style w:type="character" w:styleId="WW8Num61z4" w:customStyle="1">
    <w:name w:val="WW8Num61z4"/>
    <w:qFormat/>
    <w:rPr/>
  </w:style>
  <w:style w:type="character" w:styleId="WW8Num61z5" w:customStyle="1">
    <w:name w:val="WW8Num61z5"/>
    <w:qFormat/>
    <w:rPr/>
  </w:style>
  <w:style w:type="character" w:styleId="WW8Num61z6" w:customStyle="1">
    <w:name w:val="WW8Num61z6"/>
    <w:qFormat/>
    <w:rPr/>
  </w:style>
  <w:style w:type="character" w:styleId="WW8Num61z7" w:customStyle="1">
    <w:name w:val="WW8Num61z7"/>
    <w:qFormat/>
    <w:rPr/>
  </w:style>
  <w:style w:type="character" w:styleId="WW8Num61z8" w:customStyle="1">
    <w:name w:val="WW8Num61z8"/>
    <w:qFormat/>
    <w:rPr/>
  </w:style>
  <w:style w:type="character" w:styleId="WW8Num62z0" w:customStyle="1">
    <w:name w:val="WW8Num62z0"/>
    <w:qFormat/>
    <w:rPr>
      <w:b/>
      <w:bCs/>
      <w:position w:val="0"/>
      <w:sz w:val="20"/>
      <w:vertAlign w:val="baseline"/>
    </w:rPr>
  </w:style>
  <w:style w:type="character" w:styleId="WW8Num62z1" w:customStyle="1">
    <w:name w:val="WW8Num62z1"/>
    <w:qFormat/>
    <w:rPr>
      <w:position w:val="0"/>
      <w:sz w:val="22"/>
      <w:vertAlign w:val="baseline"/>
    </w:rPr>
  </w:style>
  <w:style w:type="character" w:styleId="WW8Num63z0" w:customStyle="1">
    <w:name w:val="WW8Num63z0"/>
    <w:qFormat/>
    <w:rPr>
      <w:rFonts w:ascii="Symbol" w:hAnsi="Symbol" w:cs="Symbol"/>
    </w:rPr>
  </w:style>
  <w:style w:type="character" w:styleId="WW8Num63z1" w:customStyle="1">
    <w:name w:val="WW8Num63z1"/>
    <w:qFormat/>
    <w:rPr>
      <w:rFonts w:ascii="Courier New" w:hAnsi="Courier New" w:cs="Courier New"/>
    </w:rPr>
  </w:style>
  <w:style w:type="character" w:styleId="WW8Num63z2" w:customStyle="1">
    <w:name w:val="WW8Num63z2"/>
    <w:qFormat/>
    <w:rPr>
      <w:rFonts w:ascii="Wingdings" w:hAnsi="Wingdings" w:cs="Wingdings"/>
    </w:rPr>
  </w:style>
  <w:style w:type="character" w:styleId="WW8Num64z0" w:customStyle="1">
    <w:name w:val="WW8Num64z0"/>
    <w:qFormat/>
    <w:rPr/>
  </w:style>
  <w:style w:type="character" w:styleId="WW8Num64z1" w:customStyle="1">
    <w:name w:val="WW8Num64z1"/>
    <w:qFormat/>
    <w:rPr/>
  </w:style>
  <w:style w:type="character" w:styleId="WW8Num64z2" w:customStyle="1">
    <w:name w:val="WW8Num64z2"/>
    <w:qFormat/>
    <w:rPr/>
  </w:style>
  <w:style w:type="character" w:styleId="WW8Num64z3" w:customStyle="1">
    <w:name w:val="WW8Num64z3"/>
    <w:qFormat/>
    <w:rPr/>
  </w:style>
  <w:style w:type="character" w:styleId="WW8Num64z4" w:customStyle="1">
    <w:name w:val="WW8Num64z4"/>
    <w:qFormat/>
    <w:rPr/>
  </w:style>
  <w:style w:type="character" w:styleId="WW8Num64z5" w:customStyle="1">
    <w:name w:val="WW8Num64z5"/>
    <w:qFormat/>
    <w:rPr/>
  </w:style>
  <w:style w:type="character" w:styleId="WW8Num64z6" w:customStyle="1">
    <w:name w:val="WW8Num64z6"/>
    <w:qFormat/>
    <w:rPr/>
  </w:style>
  <w:style w:type="character" w:styleId="WW8Num64z7" w:customStyle="1">
    <w:name w:val="WW8Num64z7"/>
    <w:qFormat/>
    <w:rPr/>
  </w:style>
  <w:style w:type="character" w:styleId="WW8Num64z8" w:customStyle="1">
    <w:name w:val="WW8Num64z8"/>
    <w:qFormat/>
    <w:rPr/>
  </w:style>
  <w:style w:type="character" w:styleId="WW8Num65z0" w:customStyle="1">
    <w:name w:val="WW8Num65z0"/>
    <w:qFormat/>
    <w:rPr>
      <w:rFonts w:ascii="Symbol" w:hAnsi="Symbol" w:cs="Symbol"/>
    </w:rPr>
  </w:style>
  <w:style w:type="character" w:styleId="WW8Num65z1" w:customStyle="1">
    <w:name w:val="WW8Num65z1"/>
    <w:qFormat/>
    <w:rPr>
      <w:rFonts w:ascii="Courier New" w:hAnsi="Courier New" w:cs="Courier New"/>
    </w:rPr>
  </w:style>
  <w:style w:type="character" w:styleId="WW8Num65z2" w:customStyle="1">
    <w:name w:val="WW8Num65z2"/>
    <w:qFormat/>
    <w:rPr>
      <w:rFonts w:ascii="Wingdings" w:hAnsi="Wingdings" w:cs="Wingdings"/>
    </w:rPr>
  </w:style>
  <w:style w:type="character" w:styleId="WW8Num66z0" w:customStyle="1">
    <w:name w:val="WW8Num66z0"/>
    <w:qFormat/>
    <w:rPr>
      <w:rFonts w:eastAsia="Arial" w:cs="Arial"/>
      <w:b w:val="false"/>
      <w:bCs w:val="false"/>
      <w:color w:val="000000"/>
      <w:position w:val="0"/>
      <w:sz w:val="20"/>
      <w:vertAlign w:val="baseline"/>
    </w:rPr>
  </w:style>
  <w:style w:type="character" w:styleId="WW8Num66z1" w:customStyle="1">
    <w:name w:val="WW8Num66z1"/>
    <w:qFormat/>
    <w:rPr>
      <w:b w:val="false"/>
      <w:position w:val="0"/>
      <w:sz w:val="22"/>
      <w:vertAlign w:val="baseline"/>
    </w:rPr>
  </w:style>
  <w:style w:type="character" w:styleId="WW8Num66z2" w:customStyle="1">
    <w:name w:val="WW8Num66z2"/>
    <w:qFormat/>
    <w:rPr>
      <w:position w:val="0"/>
      <w:sz w:val="22"/>
      <w:vertAlign w:val="baseline"/>
    </w:rPr>
  </w:style>
  <w:style w:type="character" w:styleId="WW8Num66z5" w:customStyle="1">
    <w:name w:val="WW8Num66z5"/>
    <w:qFormat/>
    <w:rPr>
      <w:rFonts w:eastAsia="Arial" w:cs="Arial"/>
      <w:position w:val="0"/>
      <w:sz w:val="22"/>
      <w:vertAlign w:val="baseline"/>
    </w:rPr>
  </w:style>
  <w:style w:type="character" w:styleId="WW8Num67z0" w:customStyle="1">
    <w:name w:val="WW8Num67z0"/>
    <w:qFormat/>
    <w:rPr>
      <w:rFonts w:ascii="Symbol" w:hAnsi="Symbol" w:eastAsia="Liberation Serif;Times New Roma" w:cs="Symbol"/>
      <w:color w:val="FF0000"/>
    </w:rPr>
  </w:style>
  <w:style w:type="character" w:styleId="WW8Num67z1" w:customStyle="1">
    <w:name w:val="WW8Num67z1"/>
    <w:qFormat/>
    <w:rPr>
      <w:rFonts w:ascii="Courier New" w:hAnsi="Courier New" w:cs="Courier New"/>
    </w:rPr>
  </w:style>
  <w:style w:type="character" w:styleId="WW8Num67z2" w:customStyle="1">
    <w:name w:val="WW8Num67z2"/>
    <w:qFormat/>
    <w:rPr>
      <w:rFonts w:ascii="Wingdings" w:hAnsi="Wingdings" w:cs="Wingdings"/>
    </w:rPr>
  </w:style>
  <w:style w:type="character" w:styleId="WW8Num68z0" w:customStyle="1">
    <w:name w:val="WW8Num68z0"/>
    <w:qFormat/>
    <w:rPr>
      <w:u w:val="none"/>
    </w:rPr>
  </w:style>
  <w:style w:type="character" w:styleId="Domylnaczcionkaakapitu2" w:customStyle="1">
    <w:name w:val="Domyślna czcionka akapitu2"/>
    <w:qFormat/>
    <w:rPr/>
  </w:style>
  <w:style w:type="character" w:styleId="Domylnaczcionkaakapitu1" w:customStyle="1">
    <w:name w:val="Domyślna czcionka akapitu1"/>
    <w:qFormat/>
    <w:rPr/>
  </w:style>
  <w:style w:type="character" w:styleId="Hyperlink" w:customStyle="1">
    <w:name w:val="Hyperlink"/>
    <w:qFormat/>
    <w:rPr>
      <w:color w:val="000080"/>
      <w:u w:val="single"/>
    </w:rPr>
  </w:style>
  <w:style w:type="character" w:styleId="czeindeksu" w:customStyle="1">
    <w:name w:val="Łącze indeksu"/>
    <w:qFormat/>
    <w:rPr/>
  </w:style>
  <w:style w:type="character" w:styleId="Znakiprzypiswdolnych" w:customStyle="1">
    <w:name w:val="Znaki przypisów dolnych"/>
    <w:qFormat/>
    <w:rPr/>
  </w:style>
  <w:style w:type="character" w:styleId="Odwoanieprzypisudolnego1" w:customStyle="1">
    <w:name w:val="Odwołanie przypisu dolnego1"/>
    <w:qFormat/>
    <w:rPr>
      <w:sz w:val="14"/>
      <w:vertAlign w:val="superscript"/>
    </w:rPr>
  </w:style>
  <w:style w:type="character" w:styleId="Znakinumeracji" w:customStyle="1">
    <w:name w:val="Znaki numeracji"/>
    <w:qFormat/>
    <w:rPr>
      <w:rFonts w:ascii="Arial" w:hAnsi="Arial" w:eastAsia="Calibri" w:cs="Calibri"/>
      <w:b w:val="false"/>
      <w:bCs w:val="false"/>
      <w:sz w:val="22"/>
      <w:szCs w:val="22"/>
    </w:rPr>
  </w:style>
  <w:style w:type="character" w:styleId="Znakiwypunktowania" w:customStyle="1">
    <w:name w:val="Znaki wypunktowania"/>
    <w:qFormat/>
    <w:rPr>
      <w:rFonts w:ascii="OpenSymbol;Arial Unicode MS" w:hAnsi="OpenSymbol;Arial Unicode MS" w:eastAsia="OpenSymbol;Arial Unicode MS" w:cs="OpenSymbol;Arial Unicode MS"/>
    </w:rPr>
  </w:style>
  <w:style w:type="character" w:styleId="Odwoaniedokomentarza1" w:customStyle="1">
    <w:name w:val="Odwołanie do komentarza1"/>
    <w:qFormat/>
    <w:rPr>
      <w:sz w:val="16"/>
      <w:szCs w:val="16"/>
    </w:rPr>
  </w:style>
  <w:style w:type="character" w:styleId="TekstkomentarzaZnak" w:customStyle="1">
    <w:name w:val="Tekst komentarza Znak"/>
    <w:qFormat/>
    <w:rPr>
      <w:rFonts w:cs="Mangal;Courier New"/>
      <w:sz w:val="20"/>
      <w:szCs w:val="18"/>
    </w:rPr>
  </w:style>
  <w:style w:type="character" w:styleId="TematkomentarzaZnak" w:customStyle="1">
    <w:name w:val="Temat komentarza Znak"/>
    <w:qFormat/>
    <w:rPr>
      <w:rFonts w:cs="Mangal;Courier New"/>
      <w:b/>
      <w:bCs/>
      <w:sz w:val="20"/>
      <w:szCs w:val="18"/>
    </w:rPr>
  </w:style>
  <w:style w:type="character" w:styleId="TekstdymkaZnak" w:customStyle="1">
    <w:name w:val="Tekst dymka Znak"/>
    <w:qFormat/>
    <w:rPr>
      <w:rFonts w:ascii="Segoe UI" w:hAnsi="Segoe UI" w:cs="Mangal;Courier New"/>
      <w:sz w:val="18"/>
      <w:szCs w:val="16"/>
    </w:rPr>
  </w:style>
  <w:style w:type="character" w:styleId="Hipercze1" w:customStyle="1">
    <w:name w:val="Hiperłącze1"/>
    <w:qFormat/>
    <w:rPr>
      <w:color w:val="0563C1"/>
      <w:u w:val="single"/>
    </w:rPr>
  </w:style>
  <w:style w:type="character" w:styleId="WWCharLFO1LVL1" w:customStyle="1">
    <w:name w:val="WW_CharLFO1LVL1"/>
    <w:qFormat/>
    <w:rPr>
      <w:b/>
      <w:position w:val="0"/>
      <w:sz w:val="20"/>
      <w:vertAlign w:val="baseline"/>
    </w:rPr>
  </w:style>
  <w:style w:type="character" w:styleId="WWCharLFO1LVL2" w:customStyle="1">
    <w:name w:val="WW_CharLFO1LVL2"/>
    <w:qFormat/>
    <w:rPr>
      <w:position w:val="0"/>
      <w:sz w:val="22"/>
      <w:vertAlign w:val="baseline"/>
    </w:rPr>
  </w:style>
  <w:style w:type="character" w:styleId="WWCharLFO1LVL3" w:customStyle="1">
    <w:name w:val="WW_CharLFO1LVL3"/>
    <w:qFormat/>
    <w:rPr>
      <w:position w:val="0"/>
      <w:sz w:val="22"/>
      <w:vertAlign w:val="baseline"/>
    </w:rPr>
  </w:style>
  <w:style w:type="character" w:styleId="WWCharLFO1LVL4" w:customStyle="1">
    <w:name w:val="WW_CharLFO1LVL4"/>
    <w:qFormat/>
    <w:rPr>
      <w:position w:val="0"/>
      <w:sz w:val="22"/>
      <w:vertAlign w:val="baseline"/>
    </w:rPr>
  </w:style>
  <w:style w:type="character" w:styleId="WWCharLFO1LVL5" w:customStyle="1">
    <w:name w:val="WW_CharLFO1LVL5"/>
    <w:qFormat/>
    <w:rPr>
      <w:position w:val="0"/>
      <w:sz w:val="22"/>
      <w:vertAlign w:val="baseline"/>
    </w:rPr>
  </w:style>
  <w:style w:type="character" w:styleId="WWCharLFO1LVL6" w:customStyle="1">
    <w:name w:val="WW_CharLFO1LVL6"/>
    <w:qFormat/>
    <w:rPr>
      <w:position w:val="0"/>
      <w:sz w:val="22"/>
      <w:vertAlign w:val="baseline"/>
    </w:rPr>
  </w:style>
  <w:style w:type="character" w:styleId="WWCharLFO1LVL7" w:customStyle="1">
    <w:name w:val="WW_CharLFO1LVL7"/>
    <w:qFormat/>
    <w:rPr>
      <w:position w:val="0"/>
      <w:sz w:val="22"/>
      <w:vertAlign w:val="baseline"/>
    </w:rPr>
  </w:style>
  <w:style w:type="character" w:styleId="WWCharLFO1LVL8" w:customStyle="1">
    <w:name w:val="WW_CharLFO1LVL8"/>
    <w:qFormat/>
    <w:rPr>
      <w:position w:val="0"/>
      <w:sz w:val="22"/>
      <w:vertAlign w:val="baseline"/>
    </w:rPr>
  </w:style>
  <w:style w:type="character" w:styleId="WWCharLFO1LVL9" w:customStyle="1">
    <w:name w:val="WW_CharLFO1LVL9"/>
    <w:qFormat/>
    <w:rPr>
      <w:position w:val="0"/>
      <w:sz w:val="22"/>
      <w:vertAlign w:val="baseline"/>
    </w:rPr>
  </w:style>
  <w:style w:type="character" w:styleId="WWCharLFO2LVL1" w:customStyle="1">
    <w:name w:val="WW_CharLFO2LVL1"/>
    <w:qFormat/>
    <w:rPr>
      <w:b/>
      <w:position w:val="0"/>
      <w:sz w:val="20"/>
      <w:vertAlign w:val="baseline"/>
    </w:rPr>
  </w:style>
  <w:style w:type="character" w:styleId="WWCharLFO2LVL2" w:customStyle="1">
    <w:name w:val="WW_CharLFO2LVL2"/>
    <w:qFormat/>
    <w:rPr>
      <w:rFonts w:eastAsia="Arial" w:cs="Arial"/>
      <w:position w:val="0"/>
      <w:sz w:val="22"/>
      <w:vertAlign w:val="baseline"/>
    </w:rPr>
  </w:style>
  <w:style w:type="character" w:styleId="WWCharLFO2LVL3" w:customStyle="1">
    <w:name w:val="WW_CharLFO2LVL3"/>
    <w:qFormat/>
    <w:rPr>
      <w:position w:val="0"/>
      <w:sz w:val="22"/>
      <w:vertAlign w:val="baseline"/>
    </w:rPr>
  </w:style>
  <w:style w:type="character" w:styleId="WWCharLFO2LVL4" w:customStyle="1">
    <w:name w:val="WW_CharLFO2LVL4"/>
    <w:qFormat/>
    <w:rPr>
      <w:b/>
      <w:position w:val="0"/>
      <w:sz w:val="20"/>
      <w:vertAlign w:val="baseline"/>
    </w:rPr>
  </w:style>
  <w:style w:type="character" w:styleId="WWCharLFO2LVL5" w:customStyle="1">
    <w:name w:val="WW_CharLFO2LVL5"/>
    <w:qFormat/>
    <w:rPr>
      <w:position w:val="0"/>
      <w:sz w:val="22"/>
      <w:vertAlign w:val="baseline"/>
    </w:rPr>
  </w:style>
  <w:style w:type="character" w:styleId="WWCharLFO2LVL6" w:customStyle="1">
    <w:name w:val="WW_CharLFO2LVL6"/>
    <w:qFormat/>
    <w:rPr>
      <w:position w:val="0"/>
      <w:sz w:val="22"/>
      <w:vertAlign w:val="baseline"/>
    </w:rPr>
  </w:style>
  <w:style w:type="character" w:styleId="WWCharLFO2LVL7" w:customStyle="1">
    <w:name w:val="WW_CharLFO2LVL7"/>
    <w:qFormat/>
    <w:rPr>
      <w:position w:val="0"/>
      <w:sz w:val="22"/>
      <w:vertAlign w:val="baseline"/>
    </w:rPr>
  </w:style>
  <w:style w:type="character" w:styleId="WWCharLFO2LVL8" w:customStyle="1">
    <w:name w:val="WW_CharLFO2LVL8"/>
    <w:qFormat/>
    <w:rPr>
      <w:position w:val="0"/>
      <w:sz w:val="22"/>
      <w:vertAlign w:val="baseline"/>
    </w:rPr>
  </w:style>
  <w:style w:type="character" w:styleId="WWCharLFO2LVL9" w:customStyle="1">
    <w:name w:val="WW_CharLFO2LVL9"/>
    <w:qFormat/>
    <w:rPr>
      <w:position w:val="0"/>
      <w:sz w:val="22"/>
      <w:vertAlign w:val="baseline"/>
    </w:rPr>
  </w:style>
  <w:style w:type="character" w:styleId="WWCharLFO3LVL1" w:customStyle="1">
    <w:name w:val="WW_CharLFO3LVL1"/>
    <w:qFormat/>
    <w:rPr>
      <w:u w:val="none"/>
    </w:rPr>
  </w:style>
  <w:style w:type="character" w:styleId="WWCharLFO3LVL2" w:customStyle="1">
    <w:name w:val="WW_CharLFO3LVL2"/>
    <w:qFormat/>
    <w:rPr>
      <w:u w:val="none"/>
    </w:rPr>
  </w:style>
  <w:style w:type="character" w:styleId="WWCharLFO3LVL3" w:customStyle="1">
    <w:name w:val="WW_CharLFO3LVL3"/>
    <w:qFormat/>
    <w:rPr>
      <w:u w:val="none"/>
    </w:rPr>
  </w:style>
  <w:style w:type="character" w:styleId="WWCharLFO3LVL4" w:customStyle="1">
    <w:name w:val="WW_CharLFO3LVL4"/>
    <w:qFormat/>
    <w:rPr>
      <w:u w:val="none"/>
    </w:rPr>
  </w:style>
  <w:style w:type="character" w:styleId="WWCharLFO3LVL5" w:customStyle="1">
    <w:name w:val="WW_CharLFO3LVL5"/>
    <w:qFormat/>
    <w:rPr>
      <w:u w:val="none"/>
    </w:rPr>
  </w:style>
  <w:style w:type="character" w:styleId="WWCharLFO3LVL6" w:customStyle="1">
    <w:name w:val="WW_CharLFO3LVL6"/>
    <w:qFormat/>
    <w:rPr>
      <w:u w:val="none"/>
    </w:rPr>
  </w:style>
  <w:style w:type="character" w:styleId="WWCharLFO3LVL7" w:customStyle="1">
    <w:name w:val="WW_CharLFO3LVL7"/>
    <w:qFormat/>
    <w:rPr>
      <w:u w:val="none"/>
    </w:rPr>
  </w:style>
  <w:style w:type="character" w:styleId="WWCharLFO3LVL8" w:customStyle="1">
    <w:name w:val="WW_CharLFO3LVL8"/>
    <w:qFormat/>
    <w:rPr>
      <w:u w:val="none"/>
    </w:rPr>
  </w:style>
  <w:style w:type="character" w:styleId="WWCharLFO3LVL9" w:customStyle="1">
    <w:name w:val="WW_CharLFO3LVL9"/>
    <w:qFormat/>
    <w:rPr>
      <w:u w:val="none"/>
    </w:rPr>
  </w:style>
  <w:style w:type="character" w:styleId="WWCharLFO4LVL1" w:customStyle="1">
    <w:name w:val="WW_CharLFO4LVL1"/>
    <w:qFormat/>
    <w:rPr>
      <w:b/>
      <w:position w:val="0"/>
      <w:sz w:val="20"/>
      <w:vertAlign w:val="baseline"/>
    </w:rPr>
  </w:style>
  <w:style w:type="character" w:styleId="WWCharLFO4LVL2" w:customStyle="1">
    <w:name w:val="WW_CharLFO4LVL2"/>
    <w:qFormat/>
    <w:rPr>
      <w:position w:val="0"/>
      <w:sz w:val="22"/>
      <w:vertAlign w:val="baseline"/>
    </w:rPr>
  </w:style>
  <w:style w:type="character" w:styleId="WWCharLFO4LVL3" w:customStyle="1">
    <w:name w:val="WW_CharLFO4LVL3"/>
    <w:qFormat/>
    <w:rPr>
      <w:position w:val="0"/>
      <w:sz w:val="22"/>
      <w:vertAlign w:val="baseline"/>
    </w:rPr>
  </w:style>
  <w:style w:type="character" w:styleId="WWCharLFO4LVL4" w:customStyle="1">
    <w:name w:val="WW_CharLFO4LVL4"/>
    <w:qFormat/>
    <w:rPr>
      <w:position w:val="0"/>
      <w:sz w:val="22"/>
      <w:vertAlign w:val="baseline"/>
    </w:rPr>
  </w:style>
  <w:style w:type="character" w:styleId="WWCharLFO4LVL5" w:customStyle="1">
    <w:name w:val="WW_CharLFO4LVL5"/>
    <w:qFormat/>
    <w:rPr>
      <w:position w:val="0"/>
      <w:sz w:val="22"/>
      <w:vertAlign w:val="baseline"/>
    </w:rPr>
  </w:style>
  <w:style w:type="character" w:styleId="WWCharLFO4LVL6" w:customStyle="1">
    <w:name w:val="WW_CharLFO4LVL6"/>
    <w:qFormat/>
    <w:rPr>
      <w:position w:val="0"/>
      <w:sz w:val="22"/>
      <w:vertAlign w:val="baseline"/>
    </w:rPr>
  </w:style>
  <w:style w:type="character" w:styleId="WWCharLFO4LVL7" w:customStyle="1">
    <w:name w:val="WW_CharLFO4LVL7"/>
    <w:qFormat/>
    <w:rPr>
      <w:position w:val="0"/>
      <w:sz w:val="22"/>
      <w:vertAlign w:val="baseline"/>
    </w:rPr>
  </w:style>
  <w:style w:type="character" w:styleId="WWCharLFO4LVL8" w:customStyle="1">
    <w:name w:val="WW_CharLFO4LVL8"/>
    <w:qFormat/>
    <w:rPr>
      <w:position w:val="0"/>
      <w:sz w:val="22"/>
      <w:vertAlign w:val="baseline"/>
    </w:rPr>
  </w:style>
  <w:style w:type="character" w:styleId="WWCharLFO4LVL9" w:customStyle="1">
    <w:name w:val="WW_CharLFO4LVL9"/>
    <w:qFormat/>
    <w:rPr>
      <w:position w:val="0"/>
      <w:sz w:val="22"/>
      <w:vertAlign w:val="baseline"/>
    </w:rPr>
  </w:style>
  <w:style w:type="character" w:styleId="WWCharLFO5LVL1" w:customStyle="1">
    <w:name w:val="WW_CharLFO5LVL1"/>
    <w:qFormat/>
    <w:rPr>
      <w:b/>
      <w:i w:val="false"/>
      <w:color w:val="000000"/>
      <w:position w:val="0"/>
      <w:sz w:val="20"/>
      <w:szCs w:val="20"/>
      <w:vertAlign w:val="baseline"/>
    </w:rPr>
  </w:style>
  <w:style w:type="character" w:styleId="WWCharLFO5LVL2" w:customStyle="1">
    <w:name w:val="WW_CharLFO5LVL2"/>
    <w:qFormat/>
    <w:rPr>
      <w:rFonts w:eastAsia="Arial" w:cs="Arial"/>
      <w:b w:val="false"/>
      <w:bCs w:val="false"/>
      <w:color w:val="000000"/>
      <w:position w:val="0"/>
      <w:sz w:val="20"/>
      <w:szCs w:val="20"/>
      <w:vertAlign w:val="baseline"/>
    </w:rPr>
  </w:style>
  <w:style w:type="character" w:styleId="WWCharLFO5LVL3" w:customStyle="1">
    <w:name w:val="WW_CharLFO5LVL3"/>
    <w:qFormat/>
    <w:rPr>
      <w:position w:val="0"/>
      <w:sz w:val="22"/>
      <w:vertAlign w:val="baseline"/>
    </w:rPr>
  </w:style>
  <w:style w:type="character" w:styleId="WWCharLFO5LVL4" w:customStyle="1">
    <w:name w:val="WW_CharLFO5LVL4"/>
    <w:qFormat/>
    <w:rPr>
      <w:position w:val="0"/>
      <w:sz w:val="22"/>
      <w:vertAlign w:val="baseline"/>
    </w:rPr>
  </w:style>
  <w:style w:type="character" w:styleId="WWCharLFO5LVL5" w:customStyle="1">
    <w:name w:val="WW_CharLFO5LVL5"/>
    <w:qFormat/>
    <w:rPr>
      <w:position w:val="0"/>
      <w:sz w:val="22"/>
      <w:vertAlign w:val="baseline"/>
    </w:rPr>
  </w:style>
  <w:style w:type="character" w:styleId="WWCharLFO5LVL6" w:customStyle="1">
    <w:name w:val="WW_CharLFO5LVL6"/>
    <w:qFormat/>
    <w:rPr>
      <w:position w:val="0"/>
      <w:sz w:val="22"/>
      <w:vertAlign w:val="baseline"/>
    </w:rPr>
  </w:style>
  <w:style w:type="character" w:styleId="WWCharLFO5LVL7" w:customStyle="1">
    <w:name w:val="WW_CharLFO5LVL7"/>
    <w:qFormat/>
    <w:rPr>
      <w:position w:val="0"/>
      <w:sz w:val="22"/>
      <w:vertAlign w:val="baseline"/>
    </w:rPr>
  </w:style>
  <w:style w:type="character" w:styleId="WWCharLFO5LVL8" w:customStyle="1">
    <w:name w:val="WW_CharLFO5LVL8"/>
    <w:qFormat/>
    <w:rPr>
      <w:position w:val="0"/>
      <w:sz w:val="22"/>
      <w:vertAlign w:val="baseline"/>
    </w:rPr>
  </w:style>
  <w:style w:type="character" w:styleId="WWCharLFO5LVL9" w:customStyle="1">
    <w:name w:val="WW_CharLFO5LVL9"/>
    <w:qFormat/>
    <w:rPr>
      <w:position w:val="0"/>
      <w:sz w:val="22"/>
      <w:vertAlign w:val="baseline"/>
    </w:rPr>
  </w:style>
  <w:style w:type="character" w:styleId="WWCharLFO6LVL1" w:customStyle="1">
    <w:name w:val="WW_CharLFO6LVL1"/>
    <w:qFormat/>
    <w:rPr>
      <w:rFonts w:eastAsia="Arial" w:cs="Arial"/>
      <w:b w:val="false"/>
      <w:bCs w:val="false"/>
      <w:color w:val="000000"/>
      <w:position w:val="0"/>
      <w:sz w:val="20"/>
      <w:vertAlign w:val="baseline"/>
    </w:rPr>
  </w:style>
  <w:style w:type="character" w:styleId="WWCharLFO6LVL2" w:customStyle="1">
    <w:name w:val="WW_CharLFO6LVL2"/>
    <w:qFormat/>
    <w:rPr>
      <w:b w:val="false"/>
      <w:position w:val="0"/>
      <w:sz w:val="22"/>
      <w:vertAlign w:val="baseline"/>
    </w:rPr>
  </w:style>
  <w:style w:type="character" w:styleId="WWCharLFO6LVL3" w:customStyle="1">
    <w:name w:val="WW_CharLFO6LVL3"/>
    <w:qFormat/>
    <w:rPr>
      <w:position w:val="0"/>
      <w:sz w:val="22"/>
      <w:vertAlign w:val="baseline"/>
    </w:rPr>
  </w:style>
  <w:style w:type="character" w:styleId="WWCharLFO6LVL4" w:customStyle="1">
    <w:name w:val="WW_CharLFO6LVL4"/>
    <w:qFormat/>
    <w:rPr>
      <w:position w:val="0"/>
      <w:sz w:val="22"/>
      <w:vertAlign w:val="baseline"/>
    </w:rPr>
  </w:style>
  <w:style w:type="character" w:styleId="WWCharLFO6LVL5" w:customStyle="1">
    <w:name w:val="WW_CharLFO6LVL5"/>
    <w:qFormat/>
    <w:rPr>
      <w:position w:val="0"/>
      <w:sz w:val="22"/>
      <w:vertAlign w:val="baseline"/>
    </w:rPr>
  </w:style>
  <w:style w:type="character" w:styleId="WWCharLFO6LVL6" w:customStyle="1">
    <w:name w:val="WW_CharLFO6LVL6"/>
    <w:qFormat/>
    <w:rPr>
      <w:rFonts w:eastAsia="Arial" w:cs="Arial"/>
      <w:position w:val="0"/>
      <w:sz w:val="22"/>
      <w:vertAlign w:val="baseline"/>
    </w:rPr>
  </w:style>
  <w:style w:type="character" w:styleId="WWCharLFO6LVL7" w:customStyle="1">
    <w:name w:val="WW_CharLFO6LVL7"/>
    <w:qFormat/>
    <w:rPr>
      <w:position w:val="0"/>
      <w:sz w:val="22"/>
      <w:vertAlign w:val="baseline"/>
    </w:rPr>
  </w:style>
  <w:style w:type="character" w:styleId="WWCharLFO6LVL8" w:customStyle="1">
    <w:name w:val="WW_CharLFO6LVL8"/>
    <w:qFormat/>
    <w:rPr>
      <w:position w:val="0"/>
      <w:sz w:val="22"/>
      <w:vertAlign w:val="baseline"/>
    </w:rPr>
  </w:style>
  <w:style w:type="character" w:styleId="WWCharLFO6LVL9" w:customStyle="1">
    <w:name w:val="WW_CharLFO6LVL9"/>
    <w:qFormat/>
    <w:rPr>
      <w:position w:val="0"/>
      <w:sz w:val="22"/>
      <w:vertAlign w:val="baseline"/>
    </w:rPr>
  </w:style>
  <w:style w:type="character" w:styleId="WWCharLFO7LVL1" w:customStyle="1">
    <w:name w:val="WW_CharLFO7LVL1"/>
    <w:qFormat/>
    <w:rPr>
      <w:b/>
      <w:position w:val="0"/>
      <w:sz w:val="20"/>
      <w:vertAlign w:val="baseline"/>
    </w:rPr>
  </w:style>
  <w:style w:type="character" w:styleId="WWCharLFO7LVL2" w:customStyle="1">
    <w:name w:val="WW_CharLFO7LVL2"/>
    <w:qFormat/>
    <w:rPr>
      <w:position w:val="0"/>
      <w:sz w:val="22"/>
      <w:vertAlign w:val="baseline"/>
    </w:rPr>
  </w:style>
  <w:style w:type="character" w:styleId="WWCharLFO7LVL3" w:customStyle="1">
    <w:name w:val="WW_CharLFO7LVL3"/>
    <w:qFormat/>
    <w:rPr>
      <w:position w:val="0"/>
      <w:sz w:val="22"/>
      <w:vertAlign w:val="baseline"/>
    </w:rPr>
  </w:style>
  <w:style w:type="character" w:styleId="WWCharLFO7LVL4" w:customStyle="1">
    <w:name w:val="WW_CharLFO7LVL4"/>
    <w:qFormat/>
    <w:rPr>
      <w:position w:val="0"/>
      <w:sz w:val="22"/>
      <w:vertAlign w:val="baseline"/>
    </w:rPr>
  </w:style>
  <w:style w:type="character" w:styleId="WWCharLFO7LVL5" w:customStyle="1">
    <w:name w:val="WW_CharLFO7LVL5"/>
    <w:qFormat/>
    <w:rPr>
      <w:position w:val="0"/>
      <w:sz w:val="22"/>
      <w:vertAlign w:val="baseline"/>
    </w:rPr>
  </w:style>
  <w:style w:type="character" w:styleId="WWCharLFO7LVL6" w:customStyle="1">
    <w:name w:val="WW_CharLFO7LVL6"/>
    <w:qFormat/>
    <w:rPr>
      <w:position w:val="0"/>
      <w:sz w:val="22"/>
      <w:vertAlign w:val="baseline"/>
    </w:rPr>
  </w:style>
  <w:style w:type="character" w:styleId="WWCharLFO7LVL7" w:customStyle="1">
    <w:name w:val="WW_CharLFO7LVL7"/>
    <w:qFormat/>
    <w:rPr>
      <w:position w:val="0"/>
      <w:sz w:val="22"/>
      <w:vertAlign w:val="baseline"/>
    </w:rPr>
  </w:style>
  <w:style w:type="character" w:styleId="WWCharLFO7LVL8" w:customStyle="1">
    <w:name w:val="WW_CharLFO7LVL8"/>
    <w:qFormat/>
    <w:rPr>
      <w:position w:val="0"/>
      <w:sz w:val="22"/>
      <w:vertAlign w:val="baseline"/>
    </w:rPr>
  </w:style>
  <w:style w:type="character" w:styleId="WWCharLFO7LVL9" w:customStyle="1">
    <w:name w:val="WW_CharLFO7LVL9"/>
    <w:qFormat/>
    <w:rPr>
      <w:position w:val="0"/>
      <w:sz w:val="22"/>
      <w:vertAlign w:val="baseline"/>
    </w:rPr>
  </w:style>
  <w:style w:type="character" w:styleId="WWCharLFO8LVL1" w:customStyle="1">
    <w:name w:val="WW_CharLFO8LVL1"/>
    <w:qFormat/>
    <w:rPr>
      <w:b/>
      <w:position w:val="0"/>
      <w:sz w:val="20"/>
      <w:vertAlign w:val="baseline"/>
    </w:rPr>
  </w:style>
  <w:style w:type="character" w:styleId="WWCharLFO8LVL2" w:customStyle="1">
    <w:name w:val="WW_CharLFO8LVL2"/>
    <w:qFormat/>
    <w:rPr>
      <w:position w:val="0"/>
      <w:sz w:val="22"/>
      <w:vertAlign w:val="baseline"/>
    </w:rPr>
  </w:style>
  <w:style w:type="character" w:styleId="WWCharLFO8LVL3" w:customStyle="1">
    <w:name w:val="WW_CharLFO8LVL3"/>
    <w:qFormat/>
    <w:rPr>
      <w:position w:val="0"/>
      <w:sz w:val="22"/>
      <w:vertAlign w:val="baseline"/>
    </w:rPr>
  </w:style>
  <w:style w:type="character" w:styleId="WWCharLFO8LVL4" w:customStyle="1">
    <w:name w:val="WW_CharLFO8LVL4"/>
    <w:qFormat/>
    <w:rPr>
      <w:position w:val="0"/>
      <w:sz w:val="22"/>
      <w:vertAlign w:val="baseline"/>
    </w:rPr>
  </w:style>
  <w:style w:type="character" w:styleId="WWCharLFO8LVL5" w:customStyle="1">
    <w:name w:val="WW_CharLFO8LVL5"/>
    <w:qFormat/>
    <w:rPr>
      <w:position w:val="0"/>
      <w:sz w:val="22"/>
      <w:vertAlign w:val="baseline"/>
    </w:rPr>
  </w:style>
  <w:style w:type="character" w:styleId="WWCharLFO8LVL6" w:customStyle="1">
    <w:name w:val="WW_CharLFO8LVL6"/>
    <w:qFormat/>
    <w:rPr>
      <w:position w:val="0"/>
      <w:sz w:val="22"/>
      <w:vertAlign w:val="baseline"/>
    </w:rPr>
  </w:style>
  <w:style w:type="character" w:styleId="WWCharLFO8LVL7" w:customStyle="1">
    <w:name w:val="WW_CharLFO8LVL7"/>
    <w:qFormat/>
    <w:rPr>
      <w:position w:val="0"/>
      <w:sz w:val="22"/>
      <w:vertAlign w:val="baseline"/>
    </w:rPr>
  </w:style>
  <w:style w:type="character" w:styleId="WWCharLFO8LVL8" w:customStyle="1">
    <w:name w:val="WW_CharLFO8LVL8"/>
    <w:qFormat/>
    <w:rPr>
      <w:position w:val="0"/>
      <w:sz w:val="22"/>
      <w:vertAlign w:val="baseline"/>
    </w:rPr>
  </w:style>
  <w:style w:type="character" w:styleId="WWCharLFO8LVL9" w:customStyle="1">
    <w:name w:val="WW_CharLFO8LVL9"/>
    <w:qFormat/>
    <w:rPr>
      <w:position w:val="0"/>
      <w:sz w:val="22"/>
      <w:vertAlign w:val="baseline"/>
    </w:rPr>
  </w:style>
  <w:style w:type="character" w:styleId="WWCharLFO9LVL1" w:customStyle="1">
    <w:name w:val="WW_CharLFO9LVL1"/>
    <w:qFormat/>
    <w:rPr>
      <w:b/>
      <w:position w:val="0"/>
      <w:sz w:val="20"/>
      <w:vertAlign w:val="baseline"/>
    </w:rPr>
  </w:style>
  <w:style w:type="character" w:styleId="WWCharLFO9LVL2" w:customStyle="1">
    <w:name w:val="WW_CharLFO9LVL2"/>
    <w:qFormat/>
    <w:rPr>
      <w:position w:val="0"/>
      <w:sz w:val="22"/>
      <w:vertAlign w:val="baseline"/>
    </w:rPr>
  </w:style>
  <w:style w:type="character" w:styleId="WWCharLFO9LVL3" w:customStyle="1">
    <w:name w:val="WW_CharLFO9LVL3"/>
    <w:qFormat/>
    <w:rPr>
      <w:position w:val="0"/>
      <w:sz w:val="22"/>
      <w:vertAlign w:val="baseline"/>
    </w:rPr>
  </w:style>
  <w:style w:type="character" w:styleId="WWCharLFO9LVL4" w:customStyle="1">
    <w:name w:val="WW_CharLFO9LVL4"/>
    <w:qFormat/>
    <w:rPr>
      <w:position w:val="0"/>
      <w:sz w:val="22"/>
      <w:vertAlign w:val="baseline"/>
    </w:rPr>
  </w:style>
  <w:style w:type="character" w:styleId="WWCharLFO9LVL5" w:customStyle="1">
    <w:name w:val="WW_CharLFO9LVL5"/>
    <w:qFormat/>
    <w:rPr>
      <w:position w:val="0"/>
      <w:sz w:val="22"/>
      <w:vertAlign w:val="baseline"/>
    </w:rPr>
  </w:style>
  <w:style w:type="character" w:styleId="WWCharLFO9LVL6" w:customStyle="1">
    <w:name w:val="WW_CharLFO9LVL6"/>
    <w:qFormat/>
    <w:rPr>
      <w:position w:val="0"/>
      <w:sz w:val="22"/>
      <w:vertAlign w:val="baseline"/>
    </w:rPr>
  </w:style>
  <w:style w:type="character" w:styleId="WWCharLFO9LVL7" w:customStyle="1">
    <w:name w:val="WW_CharLFO9LVL7"/>
    <w:qFormat/>
    <w:rPr>
      <w:position w:val="0"/>
      <w:sz w:val="22"/>
      <w:vertAlign w:val="baseline"/>
    </w:rPr>
  </w:style>
  <w:style w:type="character" w:styleId="WWCharLFO9LVL8" w:customStyle="1">
    <w:name w:val="WW_CharLFO9LVL8"/>
    <w:qFormat/>
    <w:rPr>
      <w:position w:val="0"/>
      <w:sz w:val="22"/>
      <w:vertAlign w:val="baseline"/>
    </w:rPr>
  </w:style>
  <w:style w:type="character" w:styleId="WWCharLFO9LVL9" w:customStyle="1">
    <w:name w:val="WW_CharLFO9LVL9"/>
    <w:qFormat/>
    <w:rPr>
      <w:position w:val="0"/>
      <w:sz w:val="22"/>
      <w:vertAlign w:val="baseline"/>
    </w:rPr>
  </w:style>
  <w:style w:type="character" w:styleId="WWCharLFO10LVL1" w:customStyle="1">
    <w:name w:val="WW_CharLFO10LVL1"/>
    <w:qFormat/>
    <w:rPr>
      <w:rFonts w:eastAsia="Arial" w:cs="Arial"/>
      <w:b w:val="false"/>
      <w:bCs w:val="false"/>
      <w:position w:val="0"/>
      <w:sz w:val="22"/>
      <w:szCs w:val="22"/>
      <w:vertAlign w:val="baseline"/>
    </w:rPr>
  </w:style>
  <w:style w:type="character" w:styleId="WWCharLFO10LVL2" w:customStyle="1">
    <w:name w:val="WW_CharLFO10LVL2"/>
    <w:qFormat/>
    <w:rPr>
      <w:position w:val="0"/>
      <w:sz w:val="22"/>
      <w:vertAlign w:val="baseline"/>
    </w:rPr>
  </w:style>
  <w:style w:type="character" w:styleId="WWCharLFO10LVL3" w:customStyle="1">
    <w:name w:val="WW_CharLFO10LVL3"/>
    <w:qFormat/>
    <w:rPr>
      <w:position w:val="0"/>
      <w:sz w:val="22"/>
      <w:vertAlign w:val="baseline"/>
    </w:rPr>
  </w:style>
  <w:style w:type="character" w:styleId="WWCharLFO10LVL4" w:customStyle="1">
    <w:name w:val="WW_CharLFO10LVL4"/>
    <w:qFormat/>
    <w:rPr>
      <w:position w:val="0"/>
      <w:sz w:val="22"/>
      <w:vertAlign w:val="baseline"/>
    </w:rPr>
  </w:style>
  <w:style w:type="character" w:styleId="WWCharLFO10LVL5" w:customStyle="1">
    <w:name w:val="WW_CharLFO10LVL5"/>
    <w:qFormat/>
    <w:rPr>
      <w:position w:val="0"/>
      <w:sz w:val="22"/>
      <w:vertAlign w:val="baseline"/>
    </w:rPr>
  </w:style>
  <w:style w:type="character" w:styleId="WWCharLFO10LVL6" w:customStyle="1">
    <w:name w:val="WW_CharLFO10LVL6"/>
    <w:qFormat/>
    <w:rPr>
      <w:position w:val="0"/>
      <w:sz w:val="22"/>
      <w:vertAlign w:val="baseline"/>
    </w:rPr>
  </w:style>
  <w:style w:type="character" w:styleId="WWCharLFO10LVL7" w:customStyle="1">
    <w:name w:val="WW_CharLFO10LVL7"/>
    <w:qFormat/>
    <w:rPr>
      <w:position w:val="0"/>
      <w:sz w:val="22"/>
      <w:vertAlign w:val="baseline"/>
    </w:rPr>
  </w:style>
  <w:style w:type="character" w:styleId="WWCharLFO10LVL8" w:customStyle="1">
    <w:name w:val="WW_CharLFO10LVL8"/>
    <w:qFormat/>
    <w:rPr>
      <w:position w:val="0"/>
      <w:sz w:val="22"/>
      <w:vertAlign w:val="baseline"/>
    </w:rPr>
  </w:style>
  <w:style w:type="character" w:styleId="WWCharLFO10LVL9" w:customStyle="1">
    <w:name w:val="WW_CharLFO10LVL9"/>
    <w:qFormat/>
    <w:rPr>
      <w:position w:val="0"/>
      <w:sz w:val="22"/>
      <w:vertAlign w:val="baseline"/>
    </w:rPr>
  </w:style>
  <w:style w:type="character" w:styleId="WWCharLFO11LVL1" w:customStyle="1">
    <w:name w:val="WW_CharLFO11LVL1"/>
    <w:qFormat/>
    <w:rPr>
      <w:b/>
      <w:color w:val="000000"/>
      <w:position w:val="0"/>
      <w:sz w:val="20"/>
      <w:vertAlign w:val="baseline"/>
    </w:rPr>
  </w:style>
  <w:style w:type="character" w:styleId="WWCharLFO11LVL2" w:customStyle="1">
    <w:name w:val="WW_CharLFO11LVL2"/>
    <w:qFormat/>
    <w:rPr>
      <w:position w:val="0"/>
      <w:sz w:val="22"/>
      <w:vertAlign w:val="baseline"/>
    </w:rPr>
  </w:style>
  <w:style w:type="character" w:styleId="WWCharLFO11LVL3" w:customStyle="1">
    <w:name w:val="WW_CharLFO11LVL3"/>
    <w:qFormat/>
    <w:rPr>
      <w:position w:val="0"/>
      <w:sz w:val="22"/>
      <w:vertAlign w:val="baseline"/>
    </w:rPr>
  </w:style>
  <w:style w:type="character" w:styleId="WWCharLFO11LVL4" w:customStyle="1">
    <w:name w:val="WW_CharLFO11LVL4"/>
    <w:qFormat/>
    <w:rPr>
      <w:position w:val="0"/>
      <w:sz w:val="22"/>
      <w:vertAlign w:val="baseline"/>
    </w:rPr>
  </w:style>
  <w:style w:type="character" w:styleId="WWCharLFO11LVL5" w:customStyle="1">
    <w:name w:val="WW_CharLFO11LVL5"/>
    <w:qFormat/>
    <w:rPr>
      <w:position w:val="0"/>
      <w:sz w:val="22"/>
      <w:vertAlign w:val="baseline"/>
    </w:rPr>
  </w:style>
  <w:style w:type="character" w:styleId="WWCharLFO11LVL6" w:customStyle="1">
    <w:name w:val="WW_CharLFO11LVL6"/>
    <w:qFormat/>
    <w:rPr>
      <w:position w:val="0"/>
      <w:sz w:val="22"/>
      <w:vertAlign w:val="baseline"/>
    </w:rPr>
  </w:style>
  <w:style w:type="character" w:styleId="WWCharLFO11LVL7" w:customStyle="1">
    <w:name w:val="WW_CharLFO11LVL7"/>
    <w:qFormat/>
    <w:rPr>
      <w:position w:val="0"/>
      <w:sz w:val="22"/>
      <w:vertAlign w:val="baseline"/>
    </w:rPr>
  </w:style>
  <w:style w:type="character" w:styleId="WWCharLFO11LVL8" w:customStyle="1">
    <w:name w:val="WW_CharLFO11LVL8"/>
    <w:qFormat/>
    <w:rPr>
      <w:position w:val="0"/>
      <w:sz w:val="22"/>
      <w:vertAlign w:val="baseline"/>
    </w:rPr>
  </w:style>
  <w:style w:type="character" w:styleId="WWCharLFO11LVL9" w:customStyle="1">
    <w:name w:val="WW_CharLFO11LVL9"/>
    <w:qFormat/>
    <w:rPr>
      <w:position w:val="0"/>
      <w:sz w:val="22"/>
      <w:vertAlign w:val="baseline"/>
    </w:rPr>
  </w:style>
  <w:style w:type="character" w:styleId="WWCharLFO12LVL1" w:customStyle="1">
    <w:name w:val="WW_CharLFO12LVL1"/>
    <w:qFormat/>
    <w:rPr>
      <w:rFonts w:ascii="Calibri" w:hAnsi="Calibri" w:cs="Calibri"/>
      <w:sz w:val="22"/>
      <w:szCs w:val="22"/>
    </w:rPr>
  </w:style>
  <w:style w:type="character" w:styleId="WWCharLFO12LVL2" w:customStyle="1">
    <w:name w:val="WW_CharLFO12LVL2"/>
    <w:qFormat/>
    <w:rPr>
      <w:position w:val="0"/>
      <w:sz w:val="22"/>
      <w:vertAlign w:val="baseline"/>
    </w:rPr>
  </w:style>
  <w:style w:type="character" w:styleId="WWCharLFO12LVL3" w:customStyle="1">
    <w:name w:val="WW_CharLFO12LVL3"/>
    <w:qFormat/>
    <w:rPr>
      <w:position w:val="0"/>
      <w:sz w:val="22"/>
      <w:vertAlign w:val="baseline"/>
    </w:rPr>
  </w:style>
  <w:style w:type="character" w:styleId="WWCharLFO12LVL4" w:customStyle="1">
    <w:name w:val="WW_CharLFO12LVL4"/>
    <w:qFormat/>
    <w:rPr>
      <w:position w:val="0"/>
      <w:sz w:val="22"/>
      <w:vertAlign w:val="baseline"/>
    </w:rPr>
  </w:style>
  <w:style w:type="character" w:styleId="WWCharLFO12LVL5" w:customStyle="1">
    <w:name w:val="WW_CharLFO12LVL5"/>
    <w:qFormat/>
    <w:rPr>
      <w:position w:val="0"/>
      <w:sz w:val="22"/>
      <w:vertAlign w:val="baseline"/>
    </w:rPr>
  </w:style>
  <w:style w:type="character" w:styleId="WWCharLFO12LVL6" w:customStyle="1">
    <w:name w:val="WW_CharLFO12LVL6"/>
    <w:qFormat/>
    <w:rPr>
      <w:position w:val="0"/>
      <w:sz w:val="22"/>
      <w:vertAlign w:val="baseline"/>
    </w:rPr>
  </w:style>
  <w:style w:type="character" w:styleId="WWCharLFO12LVL7" w:customStyle="1">
    <w:name w:val="WW_CharLFO12LVL7"/>
    <w:qFormat/>
    <w:rPr>
      <w:position w:val="0"/>
      <w:sz w:val="22"/>
      <w:vertAlign w:val="baseline"/>
    </w:rPr>
  </w:style>
  <w:style w:type="character" w:styleId="WWCharLFO12LVL8" w:customStyle="1">
    <w:name w:val="WW_CharLFO12LVL8"/>
    <w:qFormat/>
    <w:rPr>
      <w:position w:val="0"/>
      <w:sz w:val="22"/>
      <w:vertAlign w:val="baseline"/>
    </w:rPr>
  </w:style>
  <w:style w:type="character" w:styleId="WWCharLFO12LVL9" w:customStyle="1">
    <w:name w:val="WW_CharLFO12LVL9"/>
    <w:qFormat/>
    <w:rPr>
      <w:position w:val="0"/>
      <w:sz w:val="22"/>
      <w:vertAlign w:val="baseline"/>
    </w:rPr>
  </w:style>
  <w:style w:type="character" w:styleId="WWCharLFO13LVL1" w:customStyle="1">
    <w:name w:val="WW_CharLFO13LVL1"/>
    <w:qFormat/>
    <w:rPr>
      <w:b/>
      <w:position w:val="0"/>
      <w:sz w:val="20"/>
      <w:vertAlign w:val="baseline"/>
    </w:rPr>
  </w:style>
  <w:style w:type="character" w:styleId="WWCharLFO13LVL2" w:customStyle="1">
    <w:name w:val="WW_CharLFO13LVL2"/>
    <w:qFormat/>
    <w:rPr>
      <w:position w:val="0"/>
      <w:sz w:val="22"/>
      <w:vertAlign w:val="baseline"/>
    </w:rPr>
  </w:style>
  <w:style w:type="character" w:styleId="WWCharLFO13LVL3" w:customStyle="1">
    <w:name w:val="WW_CharLFO13LVL3"/>
    <w:qFormat/>
    <w:rPr>
      <w:position w:val="0"/>
      <w:sz w:val="22"/>
      <w:vertAlign w:val="baseline"/>
    </w:rPr>
  </w:style>
  <w:style w:type="character" w:styleId="WWCharLFO13LVL4" w:customStyle="1">
    <w:name w:val="WW_CharLFO13LVL4"/>
    <w:qFormat/>
    <w:rPr>
      <w:position w:val="0"/>
      <w:sz w:val="22"/>
      <w:vertAlign w:val="baseline"/>
    </w:rPr>
  </w:style>
  <w:style w:type="character" w:styleId="WWCharLFO13LVL5" w:customStyle="1">
    <w:name w:val="WW_CharLFO13LVL5"/>
    <w:qFormat/>
    <w:rPr>
      <w:position w:val="0"/>
      <w:sz w:val="22"/>
      <w:vertAlign w:val="baseline"/>
    </w:rPr>
  </w:style>
  <w:style w:type="character" w:styleId="WWCharLFO13LVL6" w:customStyle="1">
    <w:name w:val="WW_CharLFO13LVL6"/>
    <w:qFormat/>
    <w:rPr>
      <w:position w:val="0"/>
      <w:sz w:val="22"/>
      <w:vertAlign w:val="baseline"/>
    </w:rPr>
  </w:style>
  <w:style w:type="character" w:styleId="WWCharLFO13LVL7" w:customStyle="1">
    <w:name w:val="WW_CharLFO13LVL7"/>
    <w:qFormat/>
    <w:rPr>
      <w:position w:val="0"/>
      <w:sz w:val="22"/>
      <w:vertAlign w:val="baseline"/>
    </w:rPr>
  </w:style>
  <w:style w:type="character" w:styleId="WWCharLFO13LVL8" w:customStyle="1">
    <w:name w:val="WW_CharLFO13LVL8"/>
    <w:qFormat/>
    <w:rPr>
      <w:position w:val="0"/>
      <w:sz w:val="22"/>
      <w:vertAlign w:val="baseline"/>
    </w:rPr>
  </w:style>
  <w:style w:type="character" w:styleId="WWCharLFO13LVL9" w:customStyle="1">
    <w:name w:val="WW_CharLFO13LVL9"/>
    <w:qFormat/>
    <w:rPr>
      <w:position w:val="0"/>
      <w:sz w:val="22"/>
      <w:vertAlign w:val="baseline"/>
    </w:rPr>
  </w:style>
  <w:style w:type="character" w:styleId="WWCharLFO14LVL1" w:customStyle="1">
    <w:name w:val="WW_CharLFO14LVL1"/>
    <w:qFormat/>
    <w:rPr>
      <w:b/>
      <w:strike w:val="false"/>
      <w:dstrike w:val="false"/>
      <w:position w:val="0"/>
      <w:sz w:val="20"/>
      <w:vertAlign w:val="baseline"/>
    </w:rPr>
  </w:style>
  <w:style w:type="character" w:styleId="WWCharLFO14LVL2" w:customStyle="1">
    <w:name w:val="WW_CharLFO14LVL2"/>
    <w:qFormat/>
    <w:rPr>
      <w:position w:val="0"/>
      <w:sz w:val="22"/>
      <w:vertAlign w:val="baseline"/>
    </w:rPr>
  </w:style>
  <w:style w:type="character" w:styleId="WWCharLFO14LVL3" w:customStyle="1">
    <w:name w:val="WW_CharLFO14LVL3"/>
    <w:qFormat/>
    <w:rPr>
      <w:position w:val="0"/>
      <w:sz w:val="22"/>
      <w:vertAlign w:val="baseline"/>
    </w:rPr>
  </w:style>
  <w:style w:type="character" w:styleId="WWCharLFO14LVL4" w:customStyle="1">
    <w:name w:val="WW_CharLFO14LVL4"/>
    <w:qFormat/>
    <w:rPr>
      <w:position w:val="0"/>
      <w:sz w:val="22"/>
      <w:vertAlign w:val="baseline"/>
    </w:rPr>
  </w:style>
  <w:style w:type="character" w:styleId="WWCharLFO14LVL5" w:customStyle="1">
    <w:name w:val="WW_CharLFO14LVL5"/>
    <w:qFormat/>
    <w:rPr>
      <w:position w:val="0"/>
      <w:sz w:val="22"/>
      <w:vertAlign w:val="baseline"/>
    </w:rPr>
  </w:style>
  <w:style w:type="character" w:styleId="WWCharLFO14LVL6" w:customStyle="1">
    <w:name w:val="WW_CharLFO14LVL6"/>
    <w:qFormat/>
    <w:rPr>
      <w:position w:val="0"/>
      <w:sz w:val="22"/>
      <w:vertAlign w:val="baseline"/>
    </w:rPr>
  </w:style>
  <w:style w:type="character" w:styleId="WWCharLFO14LVL7" w:customStyle="1">
    <w:name w:val="WW_CharLFO14LVL7"/>
    <w:qFormat/>
    <w:rPr>
      <w:position w:val="0"/>
      <w:sz w:val="22"/>
      <w:vertAlign w:val="baseline"/>
    </w:rPr>
  </w:style>
  <w:style w:type="character" w:styleId="WWCharLFO14LVL8" w:customStyle="1">
    <w:name w:val="WW_CharLFO14LVL8"/>
    <w:qFormat/>
    <w:rPr>
      <w:position w:val="0"/>
      <w:sz w:val="22"/>
      <w:vertAlign w:val="baseline"/>
    </w:rPr>
  </w:style>
  <w:style w:type="character" w:styleId="WWCharLFO14LVL9" w:customStyle="1">
    <w:name w:val="WW_CharLFO14LVL9"/>
    <w:qFormat/>
    <w:rPr>
      <w:position w:val="0"/>
      <w:sz w:val="22"/>
      <w:vertAlign w:val="baseline"/>
    </w:rPr>
  </w:style>
  <w:style w:type="character" w:styleId="WWCharLFO15LVL1" w:customStyle="1">
    <w:name w:val="WW_CharLFO15LVL1"/>
    <w:qFormat/>
    <w:rPr>
      <w:position w:val="0"/>
      <w:sz w:val="20"/>
      <w:vertAlign w:val="baseline"/>
    </w:rPr>
  </w:style>
  <w:style w:type="character" w:styleId="WWCharLFO15LVL2" w:customStyle="1">
    <w:name w:val="WW_CharLFO15LVL2"/>
    <w:qFormat/>
    <w:rPr>
      <w:position w:val="0"/>
      <w:sz w:val="22"/>
      <w:vertAlign w:val="baseline"/>
    </w:rPr>
  </w:style>
  <w:style w:type="character" w:styleId="WWCharLFO15LVL3" w:customStyle="1">
    <w:name w:val="WW_CharLFO15LVL3"/>
    <w:qFormat/>
    <w:rPr>
      <w:position w:val="0"/>
      <w:sz w:val="22"/>
      <w:vertAlign w:val="baseline"/>
    </w:rPr>
  </w:style>
  <w:style w:type="character" w:styleId="WWCharLFO15LVL4" w:customStyle="1">
    <w:name w:val="WW_CharLFO15LVL4"/>
    <w:qFormat/>
    <w:rPr>
      <w:position w:val="0"/>
      <w:sz w:val="22"/>
      <w:vertAlign w:val="baseline"/>
    </w:rPr>
  </w:style>
  <w:style w:type="character" w:styleId="WWCharLFO15LVL5" w:customStyle="1">
    <w:name w:val="WW_CharLFO15LVL5"/>
    <w:qFormat/>
    <w:rPr>
      <w:position w:val="0"/>
      <w:sz w:val="22"/>
      <w:vertAlign w:val="baseline"/>
    </w:rPr>
  </w:style>
  <w:style w:type="character" w:styleId="WWCharLFO15LVL6" w:customStyle="1">
    <w:name w:val="WW_CharLFO15LVL6"/>
    <w:qFormat/>
    <w:rPr>
      <w:position w:val="0"/>
      <w:sz w:val="22"/>
      <w:vertAlign w:val="baseline"/>
    </w:rPr>
  </w:style>
  <w:style w:type="character" w:styleId="WWCharLFO15LVL7" w:customStyle="1">
    <w:name w:val="WW_CharLFO15LVL7"/>
    <w:qFormat/>
    <w:rPr>
      <w:position w:val="0"/>
      <w:sz w:val="22"/>
      <w:vertAlign w:val="baseline"/>
    </w:rPr>
  </w:style>
  <w:style w:type="character" w:styleId="WWCharLFO15LVL8" w:customStyle="1">
    <w:name w:val="WW_CharLFO15LVL8"/>
    <w:qFormat/>
    <w:rPr>
      <w:position w:val="0"/>
      <w:sz w:val="22"/>
      <w:vertAlign w:val="baseline"/>
    </w:rPr>
  </w:style>
  <w:style w:type="character" w:styleId="WWCharLFO15LVL9" w:customStyle="1">
    <w:name w:val="WW_CharLFO15LVL9"/>
    <w:qFormat/>
    <w:rPr>
      <w:position w:val="0"/>
      <w:sz w:val="22"/>
      <w:vertAlign w:val="baseline"/>
    </w:rPr>
  </w:style>
  <w:style w:type="character" w:styleId="WWCharLFO16LVL1" w:customStyle="1">
    <w:name w:val="WW_CharLFO16LVL1"/>
    <w:qFormat/>
    <w:rPr>
      <w:u w:val="none"/>
    </w:rPr>
  </w:style>
  <w:style w:type="character" w:styleId="WWCharLFO16LVL2" w:customStyle="1">
    <w:name w:val="WW_CharLFO16LVL2"/>
    <w:qFormat/>
    <w:rPr>
      <w:u w:val="none"/>
    </w:rPr>
  </w:style>
  <w:style w:type="character" w:styleId="WWCharLFO16LVL3" w:customStyle="1">
    <w:name w:val="WW_CharLFO16LVL3"/>
    <w:qFormat/>
    <w:rPr>
      <w:u w:val="none"/>
    </w:rPr>
  </w:style>
  <w:style w:type="character" w:styleId="WWCharLFO16LVL4" w:customStyle="1">
    <w:name w:val="WW_CharLFO16LVL4"/>
    <w:qFormat/>
    <w:rPr>
      <w:u w:val="none"/>
    </w:rPr>
  </w:style>
  <w:style w:type="character" w:styleId="WWCharLFO16LVL5" w:customStyle="1">
    <w:name w:val="WW_CharLFO16LVL5"/>
    <w:qFormat/>
    <w:rPr>
      <w:u w:val="none"/>
    </w:rPr>
  </w:style>
  <w:style w:type="character" w:styleId="WWCharLFO16LVL6" w:customStyle="1">
    <w:name w:val="WW_CharLFO16LVL6"/>
    <w:qFormat/>
    <w:rPr>
      <w:u w:val="none"/>
    </w:rPr>
  </w:style>
  <w:style w:type="character" w:styleId="WWCharLFO16LVL7" w:customStyle="1">
    <w:name w:val="WW_CharLFO16LVL7"/>
    <w:qFormat/>
    <w:rPr>
      <w:u w:val="none"/>
    </w:rPr>
  </w:style>
  <w:style w:type="character" w:styleId="WWCharLFO16LVL8" w:customStyle="1">
    <w:name w:val="WW_CharLFO16LVL8"/>
    <w:qFormat/>
    <w:rPr>
      <w:u w:val="none"/>
    </w:rPr>
  </w:style>
  <w:style w:type="character" w:styleId="WWCharLFO16LVL9" w:customStyle="1">
    <w:name w:val="WW_CharLFO16LVL9"/>
    <w:qFormat/>
    <w:rPr>
      <w:u w:val="none"/>
    </w:rPr>
  </w:style>
  <w:style w:type="character" w:styleId="WWCharLFO17LVL1" w:customStyle="1">
    <w:name w:val="WW_CharLFO17LVL1"/>
    <w:qFormat/>
    <w:rPr>
      <w:b/>
      <w:position w:val="0"/>
      <w:sz w:val="20"/>
      <w:vertAlign w:val="baseline"/>
    </w:rPr>
  </w:style>
  <w:style w:type="character" w:styleId="WWCharLFO17LVL2" w:customStyle="1">
    <w:name w:val="WW_CharLFO17LVL2"/>
    <w:qFormat/>
    <w:rPr>
      <w:position w:val="0"/>
      <w:sz w:val="22"/>
      <w:vertAlign w:val="baseline"/>
    </w:rPr>
  </w:style>
  <w:style w:type="character" w:styleId="WWCharLFO17LVL3" w:customStyle="1">
    <w:name w:val="WW_CharLFO17LVL3"/>
    <w:qFormat/>
    <w:rPr>
      <w:position w:val="0"/>
      <w:sz w:val="22"/>
      <w:vertAlign w:val="baseline"/>
    </w:rPr>
  </w:style>
  <w:style w:type="character" w:styleId="WWCharLFO17LVL4" w:customStyle="1">
    <w:name w:val="WW_CharLFO17LVL4"/>
    <w:qFormat/>
    <w:rPr>
      <w:position w:val="0"/>
      <w:sz w:val="22"/>
      <w:vertAlign w:val="baseline"/>
    </w:rPr>
  </w:style>
  <w:style w:type="character" w:styleId="WWCharLFO17LVL5" w:customStyle="1">
    <w:name w:val="WW_CharLFO17LVL5"/>
    <w:qFormat/>
    <w:rPr>
      <w:position w:val="0"/>
      <w:sz w:val="22"/>
      <w:vertAlign w:val="baseline"/>
    </w:rPr>
  </w:style>
  <w:style w:type="character" w:styleId="WWCharLFO17LVL6" w:customStyle="1">
    <w:name w:val="WW_CharLFO17LVL6"/>
    <w:qFormat/>
    <w:rPr>
      <w:position w:val="0"/>
      <w:sz w:val="22"/>
      <w:vertAlign w:val="baseline"/>
    </w:rPr>
  </w:style>
  <w:style w:type="character" w:styleId="WWCharLFO17LVL7" w:customStyle="1">
    <w:name w:val="WW_CharLFO17LVL7"/>
    <w:qFormat/>
    <w:rPr>
      <w:position w:val="0"/>
      <w:sz w:val="22"/>
      <w:vertAlign w:val="baseline"/>
    </w:rPr>
  </w:style>
  <w:style w:type="character" w:styleId="WWCharLFO17LVL8" w:customStyle="1">
    <w:name w:val="WW_CharLFO17LVL8"/>
    <w:qFormat/>
    <w:rPr>
      <w:position w:val="0"/>
      <w:sz w:val="22"/>
      <w:vertAlign w:val="baseline"/>
    </w:rPr>
  </w:style>
  <w:style w:type="character" w:styleId="WWCharLFO17LVL9" w:customStyle="1">
    <w:name w:val="WW_CharLFO17LVL9"/>
    <w:qFormat/>
    <w:rPr>
      <w:position w:val="0"/>
      <w:sz w:val="22"/>
      <w:vertAlign w:val="baseline"/>
    </w:rPr>
  </w:style>
  <w:style w:type="character" w:styleId="WWCharLFO18LVL1" w:customStyle="1">
    <w:name w:val="WW_CharLFO18LVL1"/>
    <w:qFormat/>
    <w:rPr>
      <w:rFonts w:eastAsia="Arial" w:cs="Arial"/>
      <w:b/>
      <w:position w:val="0"/>
      <w:sz w:val="20"/>
      <w:vertAlign w:val="baseline"/>
    </w:rPr>
  </w:style>
  <w:style w:type="character" w:styleId="WWCharLFO18LVL2" w:customStyle="1">
    <w:name w:val="WW_CharLFO18LVL2"/>
    <w:qFormat/>
    <w:rPr>
      <w:position w:val="0"/>
      <w:sz w:val="22"/>
      <w:vertAlign w:val="baseline"/>
    </w:rPr>
  </w:style>
  <w:style w:type="character" w:styleId="WWCharLFO18LVL3" w:customStyle="1">
    <w:name w:val="WW_CharLFO18LVL3"/>
    <w:qFormat/>
    <w:rPr>
      <w:position w:val="0"/>
      <w:sz w:val="22"/>
      <w:vertAlign w:val="baseline"/>
    </w:rPr>
  </w:style>
  <w:style w:type="character" w:styleId="WWCharLFO18LVL4" w:customStyle="1">
    <w:name w:val="WW_CharLFO18LVL4"/>
    <w:qFormat/>
    <w:rPr>
      <w:position w:val="0"/>
      <w:sz w:val="22"/>
      <w:vertAlign w:val="baseline"/>
    </w:rPr>
  </w:style>
  <w:style w:type="character" w:styleId="WWCharLFO18LVL5" w:customStyle="1">
    <w:name w:val="WW_CharLFO18LVL5"/>
    <w:qFormat/>
    <w:rPr>
      <w:position w:val="0"/>
      <w:sz w:val="22"/>
      <w:vertAlign w:val="baseline"/>
    </w:rPr>
  </w:style>
  <w:style w:type="character" w:styleId="WWCharLFO18LVL6" w:customStyle="1">
    <w:name w:val="WW_CharLFO18LVL6"/>
    <w:qFormat/>
    <w:rPr>
      <w:position w:val="0"/>
      <w:sz w:val="22"/>
      <w:vertAlign w:val="baseline"/>
    </w:rPr>
  </w:style>
  <w:style w:type="character" w:styleId="WWCharLFO18LVL7" w:customStyle="1">
    <w:name w:val="WW_CharLFO18LVL7"/>
    <w:qFormat/>
    <w:rPr>
      <w:position w:val="0"/>
      <w:sz w:val="22"/>
      <w:vertAlign w:val="baseline"/>
    </w:rPr>
  </w:style>
  <w:style w:type="character" w:styleId="WWCharLFO18LVL8" w:customStyle="1">
    <w:name w:val="WW_CharLFO18LVL8"/>
    <w:qFormat/>
    <w:rPr>
      <w:position w:val="0"/>
      <w:sz w:val="22"/>
      <w:vertAlign w:val="baseline"/>
    </w:rPr>
  </w:style>
  <w:style w:type="character" w:styleId="WWCharLFO18LVL9" w:customStyle="1">
    <w:name w:val="WW_CharLFO18LVL9"/>
    <w:qFormat/>
    <w:rPr>
      <w:position w:val="0"/>
      <w:sz w:val="22"/>
      <w:vertAlign w:val="baseline"/>
    </w:rPr>
  </w:style>
  <w:style w:type="character" w:styleId="WWCharLFO19LVL1" w:customStyle="1">
    <w:name w:val="WW_CharLFO19LVL1"/>
    <w:qFormat/>
    <w:rPr>
      <w:rFonts w:eastAsia="Calibri" w:cs="Calibri"/>
      <w:b w:val="false"/>
      <w:position w:val="0"/>
      <w:sz w:val="22"/>
      <w:vertAlign w:val="baseline"/>
    </w:rPr>
  </w:style>
  <w:style w:type="character" w:styleId="WWCharLFO19LVL2" w:customStyle="1">
    <w:name w:val="WW_CharLFO19LVL2"/>
    <w:qFormat/>
    <w:rPr>
      <w:position w:val="0"/>
      <w:sz w:val="22"/>
      <w:vertAlign w:val="baseline"/>
    </w:rPr>
  </w:style>
  <w:style w:type="character" w:styleId="WWCharLFO19LVL3" w:customStyle="1">
    <w:name w:val="WW_CharLFO19LVL3"/>
    <w:qFormat/>
    <w:rPr>
      <w:position w:val="0"/>
      <w:sz w:val="22"/>
      <w:vertAlign w:val="baseline"/>
    </w:rPr>
  </w:style>
  <w:style w:type="character" w:styleId="WWCharLFO19LVL4" w:customStyle="1">
    <w:name w:val="WW_CharLFO19LVL4"/>
    <w:qFormat/>
    <w:rPr>
      <w:b/>
      <w:position w:val="0"/>
      <w:sz w:val="20"/>
      <w:vertAlign w:val="baseline"/>
    </w:rPr>
  </w:style>
  <w:style w:type="character" w:styleId="WWCharLFO19LVL5" w:customStyle="1">
    <w:name w:val="WW_CharLFO19LVL5"/>
    <w:qFormat/>
    <w:rPr>
      <w:position w:val="0"/>
      <w:sz w:val="22"/>
      <w:vertAlign w:val="baseline"/>
    </w:rPr>
  </w:style>
  <w:style w:type="character" w:styleId="WWCharLFO19LVL6" w:customStyle="1">
    <w:name w:val="WW_CharLFO19LVL6"/>
    <w:qFormat/>
    <w:rPr>
      <w:position w:val="0"/>
      <w:sz w:val="22"/>
      <w:vertAlign w:val="baseline"/>
    </w:rPr>
  </w:style>
  <w:style w:type="character" w:styleId="WWCharLFO19LVL7" w:customStyle="1">
    <w:name w:val="WW_CharLFO19LVL7"/>
    <w:qFormat/>
    <w:rPr>
      <w:position w:val="0"/>
      <w:sz w:val="22"/>
      <w:vertAlign w:val="baseline"/>
    </w:rPr>
  </w:style>
  <w:style w:type="character" w:styleId="WWCharLFO19LVL8" w:customStyle="1">
    <w:name w:val="WW_CharLFO19LVL8"/>
    <w:qFormat/>
    <w:rPr>
      <w:position w:val="0"/>
      <w:sz w:val="22"/>
      <w:vertAlign w:val="baseline"/>
    </w:rPr>
  </w:style>
  <w:style w:type="character" w:styleId="WWCharLFO19LVL9" w:customStyle="1">
    <w:name w:val="WW_CharLFO19LVL9"/>
    <w:qFormat/>
    <w:rPr>
      <w:position w:val="0"/>
      <w:sz w:val="22"/>
      <w:vertAlign w:val="baseline"/>
    </w:rPr>
  </w:style>
  <w:style w:type="character" w:styleId="WWCharLFO20LVL1" w:customStyle="1">
    <w:name w:val="WW_CharLFO20LVL1"/>
    <w:qFormat/>
    <w:rPr>
      <w:rFonts w:ascii="Calibri" w:hAnsi="Calibri" w:cs="Calibri"/>
      <w:u w:val="none"/>
    </w:rPr>
  </w:style>
  <w:style w:type="character" w:styleId="WWCharLFO20LVL2" w:customStyle="1">
    <w:name w:val="WW_CharLFO20LVL2"/>
    <w:qFormat/>
    <w:rPr>
      <w:u w:val="none"/>
    </w:rPr>
  </w:style>
  <w:style w:type="character" w:styleId="WWCharLFO20LVL3" w:customStyle="1">
    <w:name w:val="WW_CharLFO20LVL3"/>
    <w:qFormat/>
    <w:rPr>
      <w:u w:val="none"/>
    </w:rPr>
  </w:style>
  <w:style w:type="character" w:styleId="WWCharLFO20LVL4" w:customStyle="1">
    <w:name w:val="WW_CharLFO20LVL4"/>
    <w:qFormat/>
    <w:rPr>
      <w:u w:val="none"/>
    </w:rPr>
  </w:style>
  <w:style w:type="character" w:styleId="WWCharLFO20LVL5" w:customStyle="1">
    <w:name w:val="WW_CharLFO20LVL5"/>
    <w:qFormat/>
    <w:rPr>
      <w:u w:val="none"/>
    </w:rPr>
  </w:style>
  <w:style w:type="character" w:styleId="WWCharLFO20LVL6" w:customStyle="1">
    <w:name w:val="WW_CharLFO20LVL6"/>
    <w:qFormat/>
    <w:rPr>
      <w:u w:val="none"/>
    </w:rPr>
  </w:style>
  <w:style w:type="character" w:styleId="WWCharLFO20LVL7" w:customStyle="1">
    <w:name w:val="WW_CharLFO20LVL7"/>
    <w:qFormat/>
    <w:rPr>
      <w:u w:val="none"/>
    </w:rPr>
  </w:style>
  <w:style w:type="character" w:styleId="WWCharLFO20LVL8" w:customStyle="1">
    <w:name w:val="WW_CharLFO20LVL8"/>
    <w:qFormat/>
    <w:rPr>
      <w:u w:val="none"/>
    </w:rPr>
  </w:style>
  <w:style w:type="character" w:styleId="WWCharLFO20LVL9" w:customStyle="1">
    <w:name w:val="WW_CharLFO20LVL9"/>
    <w:qFormat/>
    <w:rPr>
      <w:u w:val="none"/>
    </w:rPr>
  </w:style>
  <w:style w:type="character" w:styleId="WWCharLFO21LVL1" w:customStyle="1">
    <w:name w:val="WW_CharLFO21LVL1"/>
    <w:qFormat/>
    <w:rPr>
      <w:rFonts w:eastAsia="Arial" w:cs="Arial"/>
      <w:b w:val="false"/>
      <w:bCs w:val="false"/>
      <w:i w:val="false"/>
      <w:position w:val="0"/>
      <w:sz w:val="20"/>
      <w:szCs w:val="20"/>
      <w:vertAlign w:val="baseline"/>
    </w:rPr>
  </w:style>
  <w:style w:type="character" w:styleId="WWCharLFO21LVL2" w:customStyle="1">
    <w:name w:val="WW_CharLFO21LVL2"/>
    <w:qFormat/>
    <w:rPr>
      <w:position w:val="0"/>
      <w:sz w:val="22"/>
      <w:vertAlign w:val="baseline"/>
    </w:rPr>
  </w:style>
  <w:style w:type="character" w:styleId="WWCharLFO21LVL3" w:customStyle="1">
    <w:name w:val="WW_CharLFO21LVL3"/>
    <w:qFormat/>
    <w:rPr>
      <w:position w:val="0"/>
      <w:sz w:val="22"/>
      <w:vertAlign w:val="baseline"/>
    </w:rPr>
  </w:style>
  <w:style w:type="character" w:styleId="WWCharLFO21LVL4" w:customStyle="1">
    <w:name w:val="WW_CharLFO21LVL4"/>
    <w:qFormat/>
    <w:rPr>
      <w:position w:val="0"/>
      <w:sz w:val="22"/>
      <w:vertAlign w:val="baseline"/>
    </w:rPr>
  </w:style>
  <w:style w:type="character" w:styleId="WWCharLFO21LVL5" w:customStyle="1">
    <w:name w:val="WW_CharLFO21LVL5"/>
    <w:qFormat/>
    <w:rPr>
      <w:position w:val="0"/>
      <w:sz w:val="22"/>
      <w:vertAlign w:val="baseline"/>
    </w:rPr>
  </w:style>
  <w:style w:type="character" w:styleId="WWCharLFO21LVL6" w:customStyle="1">
    <w:name w:val="WW_CharLFO21LVL6"/>
    <w:qFormat/>
    <w:rPr>
      <w:position w:val="0"/>
      <w:sz w:val="22"/>
      <w:vertAlign w:val="baseline"/>
    </w:rPr>
  </w:style>
  <w:style w:type="character" w:styleId="WWCharLFO21LVL7" w:customStyle="1">
    <w:name w:val="WW_CharLFO21LVL7"/>
    <w:qFormat/>
    <w:rPr>
      <w:position w:val="0"/>
      <w:sz w:val="22"/>
      <w:vertAlign w:val="baseline"/>
    </w:rPr>
  </w:style>
  <w:style w:type="character" w:styleId="WWCharLFO21LVL8" w:customStyle="1">
    <w:name w:val="WW_CharLFO21LVL8"/>
    <w:qFormat/>
    <w:rPr>
      <w:position w:val="0"/>
      <w:sz w:val="22"/>
      <w:vertAlign w:val="baseline"/>
    </w:rPr>
  </w:style>
  <w:style w:type="character" w:styleId="WWCharLFO21LVL9" w:customStyle="1">
    <w:name w:val="WW_CharLFO21LVL9"/>
    <w:qFormat/>
    <w:rPr>
      <w:position w:val="0"/>
      <w:sz w:val="22"/>
      <w:vertAlign w:val="baseline"/>
    </w:rPr>
  </w:style>
  <w:style w:type="character" w:styleId="WWCharLFO22LVL1" w:customStyle="1">
    <w:name w:val="WW_CharLFO22LVL1"/>
    <w:qFormat/>
    <w:rPr>
      <w:rFonts w:ascii="Calibri" w:hAnsi="Calibri" w:cs="Calibri"/>
      <w:u w:val="none"/>
    </w:rPr>
  </w:style>
  <w:style w:type="character" w:styleId="WWCharLFO22LVL2" w:customStyle="1">
    <w:name w:val="WW_CharLFO22LVL2"/>
    <w:qFormat/>
    <w:rPr>
      <w:u w:val="none"/>
    </w:rPr>
  </w:style>
  <w:style w:type="character" w:styleId="WWCharLFO22LVL3" w:customStyle="1">
    <w:name w:val="WW_CharLFO22LVL3"/>
    <w:qFormat/>
    <w:rPr>
      <w:u w:val="none"/>
    </w:rPr>
  </w:style>
  <w:style w:type="character" w:styleId="WWCharLFO22LVL4" w:customStyle="1">
    <w:name w:val="WW_CharLFO22LVL4"/>
    <w:qFormat/>
    <w:rPr>
      <w:u w:val="none"/>
    </w:rPr>
  </w:style>
  <w:style w:type="character" w:styleId="WWCharLFO22LVL5" w:customStyle="1">
    <w:name w:val="WW_CharLFO22LVL5"/>
    <w:qFormat/>
    <w:rPr>
      <w:u w:val="none"/>
    </w:rPr>
  </w:style>
  <w:style w:type="character" w:styleId="WWCharLFO22LVL6" w:customStyle="1">
    <w:name w:val="WW_CharLFO22LVL6"/>
    <w:qFormat/>
    <w:rPr>
      <w:u w:val="none"/>
    </w:rPr>
  </w:style>
  <w:style w:type="character" w:styleId="WWCharLFO22LVL7" w:customStyle="1">
    <w:name w:val="WW_CharLFO22LVL7"/>
    <w:qFormat/>
    <w:rPr>
      <w:u w:val="none"/>
    </w:rPr>
  </w:style>
  <w:style w:type="character" w:styleId="WWCharLFO22LVL8" w:customStyle="1">
    <w:name w:val="WW_CharLFO22LVL8"/>
    <w:qFormat/>
    <w:rPr>
      <w:u w:val="none"/>
    </w:rPr>
  </w:style>
  <w:style w:type="character" w:styleId="WWCharLFO22LVL9" w:customStyle="1">
    <w:name w:val="WW_CharLFO22LVL9"/>
    <w:qFormat/>
    <w:rPr>
      <w:u w:val="none"/>
    </w:rPr>
  </w:style>
  <w:style w:type="character" w:styleId="WWCharLFO23LVL1" w:customStyle="1">
    <w:name w:val="WW_CharLFO23LVL1"/>
    <w:qFormat/>
    <w:rPr>
      <w:rFonts w:ascii="Calibri" w:hAnsi="Calibri" w:cs="Calibri"/>
      <w:u w:val="none"/>
    </w:rPr>
  </w:style>
  <w:style w:type="character" w:styleId="WWCharLFO23LVL2" w:customStyle="1">
    <w:name w:val="WW_CharLFO23LVL2"/>
    <w:qFormat/>
    <w:rPr>
      <w:u w:val="none"/>
    </w:rPr>
  </w:style>
  <w:style w:type="character" w:styleId="WWCharLFO23LVL3" w:customStyle="1">
    <w:name w:val="WW_CharLFO23LVL3"/>
    <w:qFormat/>
    <w:rPr>
      <w:u w:val="none"/>
    </w:rPr>
  </w:style>
  <w:style w:type="character" w:styleId="WWCharLFO23LVL4" w:customStyle="1">
    <w:name w:val="WW_CharLFO23LVL4"/>
    <w:qFormat/>
    <w:rPr>
      <w:u w:val="none"/>
    </w:rPr>
  </w:style>
  <w:style w:type="character" w:styleId="WWCharLFO23LVL5" w:customStyle="1">
    <w:name w:val="WW_CharLFO23LVL5"/>
    <w:qFormat/>
    <w:rPr>
      <w:u w:val="none"/>
    </w:rPr>
  </w:style>
  <w:style w:type="character" w:styleId="WWCharLFO23LVL6" w:customStyle="1">
    <w:name w:val="WW_CharLFO23LVL6"/>
    <w:qFormat/>
    <w:rPr>
      <w:u w:val="none"/>
    </w:rPr>
  </w:style>
  <w:style w:type="character" w:styleId="WWCharLFO23LVL7" w:customStyle="1">
    <w:name w:val="WW_CharLFO23LVL7"/>
    <w:qFormat/>
    <w:rPr>
      <w:u w:val="none"/>
    </w:rPr>
  </w:style>
  <w:style w:type="character" w:styleId="WWCharLFO23LVL8" w:customStyle="1">
    <w:name w:val="WW_CharLFO23LVL8"/>
    <w:qFormat/>
    <w:rPr>
      <w:u w:val="none"/>
    </w:rPr>
  </w:style>
  <w:style w:type="character" w:styleId="WWCharLFO23LVL9" w:customStyle="1">
    <w:name w:val="WW_CharLFO23LVL9"/>
    <w:qFormat/>
    <w:rPr>
      <w:u w:val="none"/>
    </w:rPr>
  </w:style>
  <w:style w:type="character" w:styleId="WWCharLFO24LVL1" w:customStyle="1">
    <w:name w:val="WW_CharLFO24LVL1"/>
    <w:qFormat/>
    <w:rPr>
      <w:b/>
      <w:position w:val="0"/>
      <w:sz w:val="20"/>
      <w:vertAlign w:val="baseline"/>
    </w:rPr>
  </w:style>
  <w:style w:type="character" w:styleId="WWCharLFO24LVL2" w:customStyle="1">
    <w:name w:val="WW_CharLFO24LVL2"/>
    <w:qFormat/>
    <w:rPr>
      <w:position w:val="0"/>
      <w:sz w:val="22"/>
      <w:vertAlign w:val="baseline"/>
    </w:rPr>
  </w:style>
  <w:style w:type="character" w:styleId="WWCharLFO24LVL3" w:customStyle="1">
    <w:name w:val="WW_CharLFO24LVL3"/>
    <w:qFormat/>
    <w:rPr>
      <w:b/>
      <w:position w:val="0"/>
      <w:sz w:val="20"/>
      <w:vertAlign w:val="baseline"/>
    </w:rPr>
  </w:style>
  <w:style w:type="character" w:styleId="WWCharLFO24LVL4" w:customStyle="1">
    <w:name w:val="WW_CharLFO24LVL4"/>
    <w:qFormat/>
    <w:rPr>
      <w:b/>
      <w:position w:val="0"/>
      <w:sz w:val="22"/>
      <w:vertAlign w:val="baseline"/>
    </w:rPr>
  </w:style>
  <w:style w:type="character" w:styleId="WWCharLFO24LVL5" w:customStyle="1">
    <w:name w:val="WW_CharLFO24LVL5"/>
    <w:qFormat/>
    <w:rPr>
      <w:position w:val="0"/>
      <w:sz w:val="22"/>
      <w:vertAlign w:val="baseline"/>
    </w:rPr>
  </w:style>
  <w:style w:type="character" w:styleId="WWCharLFO24LVL6" w:customStyle="1">
    <w:name w:val="WW_CharLFO24LVL6"/>
    <w:qFormat/>
    <w:rPr>
      <w:position w:val="0"/>
      <w:sz w:val="22"/>
      <w:vertAlign w:val="baseline"/>
    </w:rPr>
  </w:style>
  <w:style w:type="character" w:styleId="WWCharLFO24LVL7" w:customStyle="1">
    <w:name w:val="WW_CharLFO24LVL7"/>
    <w:qFormat/>
    <w:rPr>
      <w:position w:val="0"/>
      <w:sz w:val="22"/>
      <w:vertAlign w:val="baseline"/>
    </w:rPr>
  </w:style>
  <w:style w:type="character" w:styleId="WWCharLFO24LVL8" w:customStyle="1">
    <w:name w:val="WW_CharLFO24LVL8"/>
    <w:qFormat/>
    <w:rPr>
      <w:position w:val="0"/>
      <w:sz w:val="22"/>
      <w:vertAlign w:val="baseline"/>
    </w:rPr>
  </w:style>
  <w:style w:type="character" w:styleId="WWCharLFO24LVL9" w:customStyle="1">
    <w:name w:val="WW_CharLFO24LVL9"/>
    <w:qFormat/>
    <w:rPr>
      <w:position w:val="0"/>
      <w:sz w:val="22"/>
      <w:vertAlign w:val="baseline"/>
    </w:rPr>
  </w:style>
  <w:style w:type="character" w:styleId="WWCharLFO25LVL1" w:customStyle="1">
    <w:name w:val="WW_CharLFO25LVL1"/>
    <w:qFormat/>
    <w:rPr>
      <w:b/>
      <w:position w:val="0"/>
      <w:sz w:val="20"/>
      <w:vertAlign w:val="baseline"/>
    </w:rPr>
  </w:style>
  <w:style w:type="character" w:styleId="WWCharLFO25LVL2" w:customStyle="1">
    <w:name w:val="WW_CharLFO25LVL2"/>
    <w:qFormat/>
    <w:rPr>
      <w:position w:val="0"/>
      <w:sz w:val="22"/>
      <w:vertAlign w:val="baseline"/>
    </w:rPr>
  </w:style>
  <w:style w:type="character" w:styleId="WWCharLFO25LVL3" w:customStyle="1">
    <w:name w:val="WW_CharLFO25LVL3"/>
    <w:qFormat/>
    <w:rPr>
      <w:position w:val="0"/>
      <w:sz w:val="22"/>
      <w:vertAlign w:val="baseline"/>
    </w:rPr>
  </w:style>
  <w:style w:type="character" w:styleId="WWCharLFO25LVL4" w:customStyle="1">
    <w:name w:val="WW_CharLFO25LVL4"/>
    <w:qFormat/>
    <w:rPr>
      <w:position w:val="0"/>
      <w:sz w:val="22"/>
      <w:vertAlign w:val="baseline"/>
    </w:rPr>
  </w:style>
  <w:style w:type="character" w:styleId="WWCharLFO25LVL5" w:customStyle="1">
    <w:name w:val="WW_CharLFO25LVL5"/>
    <w:qFormat/>
    <w:rPr>
      <w:position w:val="0"/>
      <w:sz w:val="22"/>
      <w:vertAlign w:val="baseline"/>
    </w:rPr>
  </w:style>
  <w:style w:type="character" w:styleId="WWCharLFO25LVL6" w:customStyle="1">
    <w:name w:val="WW_CharLFO25LVL6"/>
    <w:qFormat/>
    <w:rPr>
      <w:position w:val="0"/>
      <w:sz w:val="22"/>
      <w:vertAlign w:val="baseline"/>
    </w:rPr>
  </w:style>
  <w:style w:type="character" w:styleId="WWCharLFO25LVL7" w:customStyle="1">
    <w:name w:val="WW_CharLFO25LVL7"/>
    <w:qFormat/>
    <w:rPr>
      <w:position w:val="0"/>
      <w:sz w:val="22"/>
      <w:vertAlign w:val="baseline"/>
    </w:rPr>
  </w:style>
  <w:style w:type="character" w:styleId="WWCharLFO25LVL8" w:customStyle="1">
    <w:name w:val="WW_CharLFO25LVL8"/>
    <w:qFormat/>
    <w:rPr>
      <w:position w:val="0"/>
      <w:sz w:val="22"/>
      <w:vertAlign w:val="baseline"/>
    </w:rPr>
  </w:style>
  <w:style w:type="character" w:styleId="WWCharLFO25LVL9" w:customStyle="1">
    <w:name w:val="WW_CharLFO25LVL9"/>
    <w:qFormat/>
    <w:rPr>
      <w:position w:val="0"/>
      <w:sz w:val="22"/>
      <w:vertAlign w:val="baseline"/>
    </w:rPr>
  </w:style>
  <w:style w:type="character" w:styleId="WWCharLFO26LVL1" w:customStyle="1">
    <w:name w:val="WW_CharLFO26LVL1"/>
    <w:qFormat/>
    <w:rPr>
      <w:b w:val="false"/>
      <w:bCs w:val="false"/>
      <w:position w:val="0"/>
      <w:sz w:val="20"/>
      <w:vertAlign w:val="baseline"/>
    </w:rPr>
  </w:style>
  <w:style w:type="character" w:styleId="WWCharLFO26LVL2" w:customStyle="1">
    <w:name w:val="WW_CharLFO26LVL2"/>
    <w:qFormat/>
    <w:rPr>
      <w:position w:val="0"/>
      <w:sz w:val="22"/>
      <w:vertAlign w:val="baseline"/>
    </w:rPr>
  </w:style>
  <w:style w:type="character" w:styleId="WWCharLFO26LVL3" w:customStyle="1">
    <w:name w:val="WW_CharLFO26LVL3"/>
    <w:qFormat/>
    <w:rPr>
      <w:position w:val="0"/>
      <w:sz w:val="22"/>
      <w:vertAlign w:val="baseline"/>
    </w:rPr>
  </w:style>
  <w:style w:type="character" w:styleId="WWCharLFO26LVL4" w:customStyle="1">
    <w:name w:val="WW_CharLFO26LVL4"/>
    <w:qFormat/>
    <w:rPr>
      <w:position w:val="0"/>
      <w:sz w:val="22"/>
      <w:vertAlign w:val="baseline"/>
    </w:rPr>
  </w:style>
  <w:style w:type="character" w:styleId="WWCharLFO26LVL5" w:customStyle="1">
    <w:name w:val="WW_CharLFO26LVL5"/>
    <w:qFormat/>
    <w:rPr>
      <w:position w:val="0"/>
      <w:sz w:val="22"/>
      <w:vertAlign w:val="baseline"/>
    </w:rPr>
  </w:style>
  <w:style w:type="character" w:styleId="WWCharLFO26LVL6" w:customStyle="1">
    <w:name w:val="WW_CharLFO26LVL6"/>
    <w:qFormat/>
    <w:rPr>
      <w:position w:val="0"/>
      <w:sz w:val="22"/>
      <w:vertAlign w:val="baseline"/>
    </w:rPr>
  </w:style>
  <w:style w:type="character" w:styleId="WWCharLFO26LVL7" w:customStyle="1">
    <w:name w:val="WW_CharLFO26LVL7"/>
    <w:qFormat/>
    <w:rPr>
      <w:position w:val="0"/>
      <w:sz w:val="22"/>
      <w:vertAlign w:val="baseline"/>
    </w:rPr>
  </w:style>
  <w:style w:type="character" w:styleId="WWCharLFO26LVL8" w:customStyle="1">
    <w:name w:val="WW_CharLFO26LVL8"/>
    <w:qFormat/>
    <w:rPr>
      <w:position w:val="0"/>
      <w:sz w:val="22"/>
      <w:vertAlign w:val="baseline"/>
    </w:rPr>
  </w:style>
  <w:style w:type="character" w:styleId="WWCharLFO26LVL9" w:customStyle="1">
    <w:name w:val="WW_CharLFO26LVL9"/>
    <w:qFormat/>
    <w:rPr>
      <w:position w:val="0"/>
      <w:sz w:val="22"/>
      <w:vertAlign w:val="baseline"/>
    </w:rPr>
  </w:style>
  <w:style w:type="character" w:styleId="WWCharLFO27LVL1" w:customStyle="1">
    <w:name w:val="WW_CharLFO27LVL1"/>
    <w:qFormat/>
    <w:rPr>
      <w:rFonts w:eastAsia="Arial" w:cs="Arial"/>
      <w:b/>
      <w:position w:val="0"/>
      <w:sz w:val="20"/>
      <w:vertAlign w:val="baseline"/>
    </w:rPr>
  </w:style>
  <w:style w:type="character" w:styleId="WWCharLFO27LVL2" w:customStyle="1">
    <w:name w:val="WW_CharLFO27LVL2"/>
    <w:qFormat/>
    <w:rPr>
      <w:position w:val="0"/>
      <w:sz w:val="22"/>
      <w:vertAlign w:val="baseline"/>
    </w:rPr>
  </w:style>
  <w:style w:type="character" w:styleId="WWCharLFO27LVL3" w:customStyle="1">
    <w:name w:val="WW_CharLFO27LVL3"/>
    <w:qFormat/>
    <w:rPr>
      <w:position w:val="0"/>
      <w:sz w:val="22"/>
      <w:vertAlign w:val="baseline"/>
    </w:rPr>
  </w:style>
  <w:style w:type="character" w:styleId="WWCharLFO27LVL4" w:customStyle="1">
    <w:name w:val="WW_CharLFO27LVL4"/>
    <w:qFormat/>
    <w:rPr>
      <w:position w:val="0"/>
      <w:sz w:val="22"/>
      <w:vertAlign w:val="baseline"/>
    </w:rPr>
  </w:style>
  <w:style w:type="character" w:styleId="WWCharLFO27LVL5" w:customStyle="1">
    <w:name w:val="WW_CharLFO27LVL5"/>
    <w:qFormat/>
    <w:rPr>
      <w:position w:val="0"/>
      <w:sz w:val="22"/>
      <w:vertAlign w:val="baseline"/>
    </w:rPr>
  </w:style>
  <w:style w:type="character" w:styleId="WWCharLFO27LVL6" w:customStyle="1">
    <w:name w:val="WW_CharLFO27LVL6"/>
    <w:qFormat/>
    <w:rPr>
      <w:position w:val="0"/>
      <w:sz w:val="22"/>
      <w:vertAlign w:val="baseline"/>
    </w:rPr>
  </w:style>
  <w:style w:type="character" w:styleId="WWCharLFO27LVL7" w:customStyle="1">
    <w:name w:val="WW_CharLFO27LVL7"/>
    <w:qFormat/>
    <w:rPr>
      <w:position w:val="0"/>
      <w:sz w:val="22"/>
      <w:vertAlign w:val="baseline"/>
    </w:rPr>
  </w:style>
  <w:style w:type="character" w:styleId="WWCharLFO27LVL8" w:customStyle="1">
    <w:name w:val="WW_CharLFO27LVL8"/>
    <w:qFormat/>
    <w:rPr>
      <w:position w:val="0"/>
      <w:sz w:val="22"/>
      <w:vertAlign w:val="baseline"/>
    </w:rPr>
  </w:style>
  <w:style w:type="character" w:styleId="WWCharLFO27LVL9" w:customStyle="1">
    <w:name w:val="WW_CharLFO27LVL9"/>
    <w:qFormat/>
    <w:rPr>
      <w:position w:val="0"/>
      <w:sz w:val="22"/>
      <w:vertAlign w:val="baseline"/>
    </w:rPr>
  </w:style>
  <w:style w:type="character" w:styleId="WWCharLFO28LVL1" w:customStyle="1">
    <w:name w:val="WW_CharLFO28LVL1"/>
    <w:qFormat/>
    <w:rPr>
      <w:u w:val="none"/>
    </w:rPr>
  </w:style>
  <w:style w:type="character" w:styleId="WWCharLFO28LVL2" w:customStyle="1">
    <w:name w:val="WW_CharLFO28LVL2"/>
    <w:qFormat/>
    <w:rPr>
      <w:u w:val="none"/>
    </w:rPr>
  </w:style>
  <w:style w:type="character" w:styleId="WWCharLFO28LVL3" w:customStyle="1">
    <w:name w:val="WW_CharLFO28LVL3"/>
    <w:qFormat/>
    <w:rPr>
      <w:u w:val="none"/>
    </w:rPr>
  </w:style>
  <w:style w:type="character" w:styleId="WWCharLFO28LVL4" w:customStyle="1">
    <w:name w:val="WW_CharLFO28LVL4"/>
    <w:qFormat/>
    <w:rPr>
      <w:u w:val="none"/>
    </w:rPr>
  </w:style>
  <w:style w:type="character" w:styleId="WWCharLFO28LVL5" w:customStyle="1">
    <w:name w:val="WW_CharLFO28LVL5"/>
    <w:qFormat/>
    <w:rPr>
      <w:u w:val="none"/>
    </w:rPr>
  </w:style>
  <w:style w:type="character" w:styleId="WWCharLFO28LVL6" w:customStyle="1">
    <w:name w:val="WW_CharLFO28LVL6"/>
    <w:qFormat/>
    <w:rPr>
      <w:u w:val="none"/>
    </w:rPr>
  </w:style>
  <w:style w:type="character" w:styleId="WWCharLFO28LVL7" w:customStyle="1">
    <w:name w:val="WW_CharLFO28LVL7"/>
    <w:qFormat/>
    <w:rPr>
      <w:u w:val="none"/>
    </w:rPr>
  </w:style>
  <w:style w:type="character" w:styleId="WWCharLFO28LVL8" w:customStyle="1">
    <w:name w:val="WW_CharLFO28LVL8"/>
    <w:qFormat/>
    <w:rPr>
      <w:u w:val="none"/>
    </w:rPr>
  </w:style>
  <w:style w:type="character" w:styleId="WWCharLFO28LVL9" w:customStyle="1">
    <w:name w:val="WW_CharLFO28LVL9"/>
    <w:qFormat/>
    <w:rPr>
      <w:u w:val="none"/>
    </w:rPr>
  </w:style>
  <w:style w:type="character" w:styleId="WWCharLFO29LVL1" w:customStyle="1">
    <w:name w:val="WW_CharLFO29LVL1"/>
    <w:qFormat/>
    <w:rPr>
      <w:b/>
      <w:color w:val="000000"/>
      <w:position w:val="0"/>
      <w:sz w:val="20"/>
      <w:vertAlign w:val="baseline"/>
    </w:rPr>
  </w:style>
  <w:style w:type="character" w:styleId="WWCharLFO29LVL2" w:customStyle="1">
    <w:name w:val="WW_CharLFO29LVL2"/>
    <w:qFormat/>
    <w:rPr>
      <w:position w:val="0"/>
      <w:sz w:val="22"/>
      <w:vertAlign w:val="baseline"/>
    </w:rPr>
  </w:style>
  <w:style w:type="character" w:styleId="WWCharLFO29LVL3" w:customStyle="1">
    <w:name w:val="WW_CharLFO29LVL3"/>
    <w:qFormat/>
    <w:rPr>
      <w:position w:val="0"/>
      <w:sz w:val="22"/>
      <w:vertAlign w:val="baseline"/>
    </w:rPr>
  </w:style>
  <w:style w:type="character" w:styleId="WWCharLFO29LVL4" w:customStyle="1">
    <w:name w:val="WW_CharLFO29LVL4"/>
    <w:qFormat/>
    <w:rPr>
      <w:position w:val="0"/>
      <w:sz w:val="22"/>
      <w:vertAlign w:val="baseline"/>
    </w:rPr>
  </w:style>
  <w:style w:type="character" w:styleId="WWCharLFO29LVL5" w:customStyle="1">
    <w:name w:val="WW_CharLFO29LVL5"/>
    <w:qFormat/>
    <w:rPr>
      <w:position w:val="0"/>
      <w:sz w:val="22"/>
      <w:vertAlign w:val="baseline"/>
    </w:rPr>
  </w:style>
  <w:style w:type="character" w:styleId="WWCharLFO29LVL6" w:customStyle="1">
    <w:name w:val="WW_CharLFO29LVL6"/>
    <w:qFormat/>
    <w:rPr>
      <w:position w:val="0"/>
      <w:sz w:val="22"/>
      <w:vertAlign w:val="baseline"/>
    </w:rPr>
  </w:style>
  <w:style w:type="character" w:styleId="WWCharLFO29LVL7" w:customStyle="1">
    <w:name w:val="WW_CharLFO29LVL7"/>
    <w:qFormat/>
    <w:rPr>
      <w:position w:val="0"/>
      <w:sz w:val="22"/>
      <w:vertAlign w:val="baseline"/>
    </w:rPr>
  </w:style>
  <w:style w:type="character" w:styleId="WWCharLFO29LVL8" w:customStyle="1">
    <w:name w:val="WW_CharLFO29LVL8"/>
    <w:qFormat/>
    <w:rPr>
      <w:position w:val="0"/>
      <w:sz w:val="22"/>
      <w:vertAlign w:val="baseline"/>
    </w:rPr>
  </w:style>
  <w:style w:type="character" w:styleId="WWCharLFO29LVL9" w:customStyle="1">
    <w:name w:val="WW_CharLFO29LVL9"/>
    <w:qFormat/>
    <w:rPr>
      <w:position w:val="0"/>
      <w:sz w:val="22"/>
      <w:vertAlign w:val="baseline"/>
    </w:rPr>
  </w:style>
  <w:style w:type="character" w:styleId="WWCharLFO30LVL1" w:customStyle="1">
    <w:name w:val="WW_CharLFO30LVL1"/>
    <w:qFormat/>
    <w:rPr>
      <w:b/>
      <w:position w:val="0"/>
      <w:sz w:val="20"/>
      <w:vertAlign w:val="baseline"/>
    </w:rPr>
  </w:style>
  <w:style w:type="character" w:styleId="WWCharLFO30LVL2" w:customStyle="1">
    <w:name w:val="WW_CharLFO30LVL2"/>
    <w:qFormat/>
    <w:rPr>
      <w:position w:val="0"/>
      <w:sz w:val="22"/>
      <w:vertAlign w:val="baseline"/>
    </w:rPr>
  </w:style>
  <w:style w:type="character" w:styleId="WWCharLFO30LVL3" w:customStyle="1">
    <w:name w:val="WW_CharLFO30LVL3"/>
    <w:qFormat/>
    <w:rPr>
      <w:position w:val="0"/>
      <w:sz w:val="22"/>
      <w:vertAlign w:val="baseline"/>
    </w:rPr>
  </w:style>
  <w:style w:type="character" w:styleId="WWCharLFO30LVL4" w:customStyle="1">
    <w:name w:val="WW_CharLFO30LVL4"/>
    <w:qFormat/>
    <w:rPr>
      <w:position w:val="0"/>
      <w:sz w:val="22"/>
      <w:vertAlign w:val="baseline"/>
    </w:rPr>
  </w:style>
  <w:style w:type="character" w:styleId="WWCharLFO30LVL5" w:customStyle="1">
    <w:name w:val="WW_CharLFO30LVL5"/>
    <w:qFormat/>
    <w:rPr>
      <w:position w:val="0"/>
      <w:sz w:val="22"/>
      <w:vertAlign w:val="baseline"/>
    </w:rPr>
  </w:style>
  <w:style w:type="character" w:styleId="WWCharLFO30LVL6" w:customStyle="1">
    <w:name w:val="WW_CharLFO30LVL6"/>
    <w:qFormat/>
    <w:rPr>
      <w:position w:val="0"/>
      <w:sz w:val="22"/>
      <w:vertAlign w:val="baseline"/>
    </w:rPr>
  </w:style>
  <w:style w:type="character" w:styleId="WWCharLFO30LVL7" w:customStyle="1">
    <w:name w:val="WW_CharLFO30LVL7"/>
    <w:qFormat/>
    <w:rPr>
      <w:position w:val="0"/>
      <w:sz w:val="22"/>
      <w:vertAlign w:val="baseline"/>
    </w:rPr>
  </w:style>
  <w:style w:type="character" w:styleId="WWCharLFO30LVL8" w:customStyle="1">
    <w:name w:val="WW_CharLFO30LVL8"/>
    <w:qFormat/>
    <w:rPr>
      <w:position w:val="0"/>
      <w:sz w:val="22"/>
      <w:vertAlign w:val="baseline"/>
    </w:rPr>
  </w:style>
  <w:style w:type="character" w:styleId="WWCharLFO30LVL9" w:customStyle="1">
    <w:name w:val="WW_CharLFO30LVL9"/>
    <w:qFormat/>
    <w:rPr>
      <w:position w:val="0"/>
      <w:sz w:val="22"/>
      <w:vertAlign w:val="baseline"/>
    </w:rPr>
  </w:style>
  <w:style w:type="character" w:styleId="WWCharLFO31LVL1" w:customStyle="1">
    <w:name w:val="WW_CharLFO31LVL1"/>
    <w:qFormat/>
    <w:rPr>
      <w:rFonts w:eastAsia="Calibri" w:cs="Calibri"/>
      <w:b w:val="false"/>
      <w:position w:val="0"/>
      <w:sz w:val="22"/>
      <w:vertAlign w:val="baseline"/>
    </w:rPr>
  </w:style>
  <w:style w:type="character" w:styleId="WWCharLFO31LVL2" w:customStyle="1">
    <w:name w:val="WW_CharLFO31LVL2"/>
    <w:qFormat/>
    <w:rPr>
      <w:position w:val="0"/>
      <w:sz w:val="22"/>
      <w:vertAlign w:val="baseline"/>
    </w:rPr>
  </w:style>
  <w:style w:type="character" w:styleId="WWCharLFO31LVL3" w:customStyle="1">
    <w:name w:val="WW_CharLFO31LVL3"/>
    <w:qFormat/>
    <w:rPr>
      <w:position w:val="0"/>
      <w:sz w:val="22"/>
      <w:vertAlign w:val="baseline"/>
    </w:rPr>
  </w:style>
  <w:style w:type="character" w:styleId="WWCharLFO31LVL4" w:customStyle="1">
    <w:name w:val="WW_CharLFO31LVL4"/>
    <w:qFormat/>
    <w:rPr>
      <w:b/>
      <w:position w:val="0"/>
      <w:sz w:val="20"/>
      <w:vertAlign w:val="baseline"/>
    </w:rPr>
  </w:style>
  <w:style w:type="character" w:styleId="WWCharLFO31LVL5" w:customStyle="1">
    <w:name w:val="WW_CharLFO31LVL5"/>
    <w:qFormat/>
    <w:rPr>
      <w:position w:val="0"/>
      <w:sz w:val="22"/>
      <w:vertAlign w:val="baseline"/>
    </w:rPr>
  </w:style>
  <w:style w:type="character" w:styleId="WWCharLFO31LVL6" w:customStyle="1">
    <w:name w:val="WW_CharLFO31LVL6"/>
    <w:qFormat/>
    <w:rPr>
      <w:position w:val="0"/>
      <w:sz w:val="22"/>
      <w:vertAlign w:val="baseline"/>
    </w:rPr>
  </w:style>
  <w:style w:type="character" w:styleId="WWCharLFO31LVL7" w:customStyle="1">
    <w:name w:val="WW_CharLFO31LVL7"/>
    <w:qFormat/>
    <w:rPr>
      <w:position w:val="0"/>
      <w:sz w:val="22"/>
      <w:vertAlign w:val="baseline"/>
    </w:rPr>
  </w:style>
  <w:style w:type="character" w:styleId="WWCharLFO31LVL8" w:customStyle="1">
    <w:name w:val="WW_CharLFO31LVL8"/>
    <w:qFormat/>
    <w:rPr>
      <w:position w:val="0"/>
      <w:sz w:val="22"/>
      <w:vertAlign w:val="baseline"/>
    </w:rPr>
  </w:style>
  <w:style w:type="character" w:styleId="WWCharLFO31LVL9" w:customStyle="1">
    <w:name w:val="WW_CharLFO31LVL9"/>
    <w:qFormat/>
    <w:rPr>
      <w:position w:val="0"/>
      <w:sz w:val="22"/>
      <w:vertAlign w:val="baseline"/>
    </w:rPr>
  </w:style>
  <w:style w:type="character" w:styleId="WWCharLFO32LVL1" w:customStyle="1">
    <w:name w:val="WW_CharLFO32LVL1"/>
    <w:qFormat/>
    <w:rPr>
      <w:b/>
      <w:color w:val="000000"/>
      <w:position w:val="0"/>
      <w:sz w:val="20"/>
      <w:vertAlign w:val="baseline"/>
    </w:rPr>
  </w:style>
  <w:style w:type="character" w:styleId="WWCharLFO32LVL2" w:customStyle="1">
    <w:name w:val="WW_CharLFO32LVL2"/>
    <w:qFormat/>
    <w:rPr>
      <w:position w:val="0"/>
      <w:sz w:val="22"/>
      <w:vertAlign w:val="baseline"/>
    </w:rPr>
  </w:style>
  <w:style w:type="character" w:styleId="WWCharLFO32LVL3" w:customStyle="1">
    <w:name w:val="WW_CharLFO32LVL3"/>
    <w:qFormat/>
    <w:rPr>
      <w:position w:val="0"/>
      <w:sz w:val="22"/>
      <w:vertAlign w:val="baseline"/>
    </w:rPr>
  </w:style>
  <w:style w:type="character" w:styleId="WWCharLFO32LVL4" w:customStyle="1">
    <w:name w:val="WW_CharLFO32LVL4"/>
    <w:qFormat/>
    <w:rPr>
      <w:position w:val="0"/>
      <w:sz w:val="22"/>
      <w:vertAlign w:val="baseline"/>
    </w:rPr>
  </w:style>
  <w:style w:type="character" w:styleId="WWCharLFO32LVL5" w:customStyle="1">
    <w:name w:val="WW_CharLFO32LVL5"/>
    <w:qFormat/>
    <w:rPr>
      <w:position w:val="0"/>
      <w:sz w:val="22"/>
      <w:vertAlign w:val="baseline"/>
    </w:rPr>
  </w:style>
  <w:style w:type="character" w:styleId="WWCharLFO32LVL6" w:customStyle="1">
    <w:name w:val="WW_CharLFO32LVL6"/>
    <w:qFormat/>
    <w:rPr>
      <w:position w:val="0"/>
      <w:sz w:val="22"/>
      <w:vertAlign w:val="baseline"/>
    </w:rPr>
  </w:style>
  <w:style w:type="character" w:styleId="WWCharLFO32LVL7" w:customStyle="1">
    <w:name w:val="WW_CharLFO32LVL7"/>
    <w:qFormat/>
    <w:rPr>
      <w:position w:val="0"/>
      <w:sz w:val="22"/>
      <w:vertAlign w:val="baseline"/>
    </w:rPr>
  </w:style>
  <w:style w:type="character" w:styleId="WWCharLFO32LVL8" w:customStyle="1">
    <w:name w:val="WW_CharLFO32LVL8"/>
    <w:qFormat/>
    <w:rPr>
      <w:position w:val="0"/>
      <w:sz w:val="22"/>
      <w:vertAlign w:val="baseline"/>
    </w:rPr>
  </w:style>
  <w:style w:type="character" w:styleId="WWCharLFO32LVL9" w:customStyle="1">
    <w:name w:val="WW_CharLFO32LVL9"/>
    <w:qFormat/>
    <w:rPr>
      <w:position w:val="0"/>
      <w:sz w:val="22"/>
      <w:vertAlign w:val="baseline"/>
    </w:rPr>
  </w:style>
  <w:style w:type="character" w:styleId="WWCharLFO33LVL1" w:customStyle="1">
    <w:name w:val="WW_CharLFO33LVL1"/>
    <w:qFormat/>
    <w:rPr>
      <w:u w:val="none"/>
    </w:rPr>
  </w:style>
  <w:style w:type="character" w:styleId="WWCharLFO33LVL2" w:customStyle="1">
    <w:name w:val="WW_CharLFO33LVL2"/>
    <w:qFormat/>
    <w:rPr>
      <w:u w:val="none"/>
    </w:rPr>
  </w:style>
  <w:style w:type="character" w:styleId="WWCharLFO33LVL3" w:customStyle="1">
    <w:name w:val="WW_CharLFO33LVL3"/>
    <w:qFormat/>
    <w:rPr>
      <w:u w:val="none"/>
    </w:rPr>
  </w:style>
  <w:style w:type="character" w:styleId="WWCharLFO33LVL4" w:customStyle="1">
    <w:name w:val="WW_CharLFO33LVL4"/>
    <w:qFormat/>
    <w:rPr>
      <w:u w:val="none"/>
    </w:rPr>
  </w:style>
  <w:style w:type="character" w:styleId="WWCharLFO33LVL5" w:customStyle="1">
    <w:name w:val="WW_CharLFO33LVL5"/>
    <w:qFormat/>
    <w:rPr>
      <w:u w:val="none"/>
    </w:rPr>
  </w:style>
  <w:style w:type="character" w:styleId="WWCharLFO33LVL6" w:customStyle="1">
    <w:name w:val="WW_CharLFO33LVL6"/>
    <w:qFormat/>
    <w:rPr>
      <w:u w:val="none"/>
    </w:rPr>
  </w:style>
  <w:style w:type="character" w:styleId="WWCharLFO33LVL7" w:customStyle="1">
    <w:name w:val="WW_CharLFO33LVL7"/>
    <w:qFormat/>
    <w:rPr>
      <w:u w:val="none"/>
    </w:rPr>
  </w:style>
  <w:style w:type="character" w:styleId="WWCharLFO33LVL8" w:customStyle="1">
    <w:name w:val="WW_CharLFO33LVL8"/>
    <w:qFormat/>
    <w:rPr>
      <w:u w:val="none"/>
    </w:rPr>
  </w:style>
  <w:style w:type="character" w:styleId="WWCharLFO33LVL9" w:customStyle="1">
    <w:name w:val="WW_CharLFO33LVL9"/>
    <w:qFormat/>
    <w:rPr>
      <w:u w:val="none"/>
    </w:rPr>
  </w:style>
  <w:style w:type="character" w:styleId="WWCharLFO34LVL1" w:customStyle="1">
    <w:name w:val="WW_CharLFO34LVL1"/>
    <w:qFormat/>
    <w:rPr>
      <w:u w:val="none"/>
    </w:rPr>
  </w:style>
  <w:style w:type="character" w:styleId="WWCharLFO34LVL2" w:customStyle="1">
    <w:name w:val="WW_CharLFO34LVL2"/>
    <w:qFormat/>
    <w:rPr>
      <w:u w:val="none"/>
    </w:rPr>
  </w:style>
  <w:style w:type="character" w:styleId="WWCharLFO34LVL3" w:customStyle="1">
    <w:name w:val="WW_CharLFO34LVL3"/>
    <w:qFormat/>
    <w:rPr>
      <w:u w:val="none"/>
    </w:rPr>
  </w:style>
  <w:style w:type="character" w:styleId="WWCharLFO34LVL4" w:customStyle="1">
    <w:name w:val="WW_CharLFO34LVL4"/>
    <w:qFormat/>
    <w:rPr>
      <w:u w:val="none"/>
    </w:rPr>
  </w:style>
  <w:style w:type="character" w:styleId="WWCharLFO34LVL5" w:customStyle="1">
    <w:name w:val="WW_CharLFO34LVL5"/>
    <w:qFormat/>
    <w:rPr>
      <w:u w:val="none"/>
    </w:rPr>
  </w:style>
  <w:style w:type="character" w:styleId="WWCharLFO34LVL6" w:customStyle="1">
    <w:name w:val="WW_CharLFO34LVL6"/>
    <w:qFormat/>
    <w:rPr>
      <w:u w:val="none"/>
    </w:rPr>
  </w:style>
  <w:style w:type="character" w:styleId="WWCharLFO34LVL7" w:customStyle="1">
    <w:name w:val="WW_CharLFO34LVL7"/>
    <w:qFormat/>
    <w:rPr>
      <w:u w:val="none"/>
    </w:rPr>
  </w:style>
  <w:style w:type="character" w:styleId="WWCharLFO34LVL8" w:customStyle="1">
    <w:name w:val="WW_CharLFO34LVL8"/>
    <w:qFormat/>
    <w:rPr>
      <w:u w:val="none"/>
    </w:rPr>
  </w:style>
  <w:style w:type="character" w:styleId="WWCharLFO34LVL9" w:customStyle="1">
    <w:name w:val="WW_CharLFO34LVL9"/>
    <w:qFormat/>
    <w:rPr>
      <w:u w:val="none"/>
    </w:rPr>
  </w:style>
  <w:style w:type="character" w:styleId="WWCharLFO35LVL1" w:customStyle="1">
    <w:name w:val="WW_CharLFO35LVL1"/>
    <w:qFormat/>
    <w:rPr>
      <w:b/>
      <w:position w:val="0"/>
      <w:sz w:val="20"/>
      <w:vertAlign w:val="baseline"/>
    </w:rPr>
  </w:style>
  <w:style w:type="character" w:styleId="WWCharLFO35LVL2" w:customStyle="1">
    <w:name w:val="WW_CharLFO35LVL2"/>
    <w:qFormat/>
    <w:rPr>
      <w:position w:val="0"/>
      <w:sz w:val="22"/>
      <w:vertAlign w:val="baseline"/>
    </w:rPr>
  </w:style>
  <w:style w:type="character" w:styleId="WWCharLFO35LVL3" w:customStyle="1">
    <w:name w:val="WW_CharLFO35LVL3"/>
    <w:qFormat/>
    <w:rPr>
      <w:position w:val="0"/>
      <w:sz w:val="22"/>
      <w:vertAlign w:val="baseline"/>
    </w:rPr>
  </w:style>
  <w:style w:type="character" w:styleId="WWCharLFO35LVL4" w:customStyle="1">
    <w:name w:val="WW_CharLFO35LVL4"/>
    <w:qFormat/>
    <w:rPr>
      <w:position w:val="0"/>
      <w:sz w:val="22"/>
      <w:vertAlign w:val="baseline"/>
    </w:rPr>
  </w:style>
  <w:style w:type="character" w:styleId="WWCharLFO35LVL5" w:customStyle="1">
    <w:name w:val="WW_CharLFO35LVL5"/>
    <w:qFormat/>
    <w:rPr>
      <w:position w:val="0"/>
      <w:sz w:val="22"/>
      <w:vertAlign w:val="baseline"/>
    </w:rPr>
  </w:style>
  <w:style w:type="character" w:styleId="WWCharLFO35LVL6" w:customStyle="1">
    <w:name w:val="WW_CharLFO35LVL6"/>
    <w:qFormat/>
    <w:rPr>
      <w:position w:val="0"/>
      <w:sz w:val="22"/>
      <w:vertAlign w:val="baseline"/>
    </w:rPr>
  </w:style>
  <w:style w:type="character" w:styleId="WWCharLFO35LVL7" w:customStyle="1">
    <w:name w:val="WW_CharLFO35LVL7"/>
    <w:qFormat/>
    <w:rPr>
      <w:position w:val="0"/>
      <w:sz w:val="22"/>
      <w:vertAlign w:val="baseline"/>
    </w:rPr>
  </w:style>
  <w:style w:type="character" w:styleId="WWCharLFO35LVL8" w:customStyle="1">
    <w:name w:val="WW_CharLFO35LVL8"/>
    <w:qFormat/>
    <w:rPr>
      <w:position w:val="0"/>
      <w:sz w:val="22"/>
      <w:vertAlign w:val="baseline"/>
    </w:rPr>
  </w:style>
  <w:style w:type="character" w:styleId="WWCharLFO35LVL9" w:customStyle="1">
    <w:name w:val="WW_CharLFO35LVL9"/>
    <w:qFormat/>
    <w:rPr>
      <w:position w:val="0"/>
      <w:sz w:val="22"/>
      <w:vertAlign w:val="baseline"/>
    </w:rPr>
  </w:style>
  <w:style w:type="character" w:styleId="WWCharLFO36LVL1" w:customStyle="1">
    <w:name w:val="WW_CharLFO36LVL1"/>
    <w:qFormat/>
    <w:rPr>
      <w:b/>
      <w:position w:val="0"/>
      <w:sz w:val="20"/>
      <w:vertAlign w:val="baseline"/>
    </w:rPr>
  </w:style>
  <w:style w:type="character" w:styleId="WWCharLFO36LVL2" w:customStyle="1">
    <w:name w:val="WW_CharLFO36LVL2"/>
    <w:qFormat/>
    <w:rPr>
      <w:position w:val="0"/>
      <w:sz w:val="22"/>
      <w:vertAlign w:val="baseline"/>
    </w:rPr>
  </w:style>
  <w:style w:type="character" w:styleId="WWCharLFO36LVL3" w:customStyle="1">
    <w:name w:val="WW_CharLFO36LVL3"/>
    <w:qFormat/>
    <w:rPr>
      <w:position w:val="0"/>
      <w:sz w:val="22"/>
      <w:vertAlign w:val="baseline"/>
    </w:rPr>
  </w:style>
  <w:style w:type="character" w:styleId="WWCharLFO36LVL4" w:customStyle="1">
    <w:name w:val="WW_CharLFO36LVL4"/>
    <w:qFormat/>
    <w:rPr>
      <w:position w:val="0"/>
      <w:sz w:val="22"/>
      <w:vertAlign w:val="baseline"/>
    </w:rPr>
  </w:style>
  <w:style w:type="character" w:styleId="WWCharLFO36LVL5" w:customStyle="1">
    <w:name w:val="WW_CharLFO36LVL5"/>
    <w:qFormat/>
    <w:rPr>
      <w:position w:val="0"/>
      <w:sz w:val="22"/>
      <w:vertAlign w:val="baseline"/>
    </w:rPr>
  </w:style>
  <w:style w:type="character" w:styleId="WWCharLFO36LVL6" w:customStyle="1">
    <w:name w:val="WW_CharLFO36LVL6"/>
    <w:qFormat/>
    <w:rPr>
      <w:position w:val="0"/>
      <w:sz w:val="22"/>
      <w:vertAlign w:val="baseline"/>
    </w:rPr>
  </w:style>
  <w:style w:type="character" w:styleId="WWCharLFO36LVL7" w:customStyle="1">
    <w:name w:val="WW_CharLFO36LVL7"/>
    <w:qFormat/>
    <w:rPr>
      <w:position w:val="0"/>
      <w:sz w:val="22"/>
      <w:vertAlign w:val="baseline"/>
    </w:rPr>
  </w:style>
  <w:style w:type="character" w:styleId="WWCharLFO36LVL8" w:customStyle="1">
    <w:name w:val="WW_CharLFO36LVL8"/>
    <w:qFormat/>
    <w:rPr>
      <w:position w:val="0"/>
      <w:sz w:val="22"/>
      <w:vertAlign w:val="baseline"/>
    </w:rPr>
  </w:style>
  <w:style w:type="character" w:styleId="WWCharLFO36LVL9" w:customStyle="1">
    <w:name w:val="WW_CharLFO36LVL9"/>
    <w:qFormat/>
    <w:rPr>
      <w:position w:val="0"/>
      <w:sz w:val="22"/>
      <w:vertAlign w:val="baseline"/>
    </w:rPr>
  </w:style>
  <w:style w:type="character" w:styleId="WWCharLFO37LVL1" w:customStyle="1">
    <w:name w:val="WW_CharLFO37LVL1"/>
    <w:qFormat/>
    <w:rPr>
      <w:u w:val="none"/>
    </w:rPr>
  </w:style>
  <w:style w:type="character" w:styleId="WWCharLFO37LVL2" w:customStyle="1">
    <w:name w:val="WW_CharLFO37LVL2"/>
    <w:qFormat/>
    <w:rPr>
      <w:rFonts w:ascii="Calibri" w:hAnsi="Calibri" w:cs="Calibri"/>
      <w:u w:val="none"/>
    </w:rPr>
  </w:style>
  <w:style w:type="character" w:styleId="WWCharLFO37LVL3" w:customStyle="1">
    <w:name w:val="WW_CharLFO37LVL3"/>
    <w:qFormat/>
    <w:rPr>
      <w:u w:val="none"/>
    </w:rPr>
  </w:style>
  <w:style w:type="character" w:styleId="WWCharLFO37LVL4" w:customStyle="1">
    <w:name w:val="WW_CharLFO37LVL4"/>
    <w:qFormat/>
    <w:rPr>
      <w:u w:val="none"/>
    </w:rPr>
  </w:style>
  <w:style w:type="character" w:styleId="WWCharLFO37LVL5" w:customStyle="1">
    <w:name w:val="WW_CharLFO37LVL5"/>
    <w:qFormat/>
    <w:rPr>
      <w:u w:val="none"/>
    </w:rPr>
  </w:style>
  <w:style w:type="character" w:styleId="WWCharLFO37LVL6" w:customStyle="1">
    <w:name w:val="WW_CharLFO37LVL6"/>
    <w:qFormat/>
    <w:rPr>
      <w:u w:val="none"/>
    </w:rPr>
  </w:style>
  <w:style w:type="character" w:styleId="WWCharLFO37LVL7" w:customStyle="1">
    <w:name w:val="WW_CharLFO37LVL7"/>
    <w:qFormat/>
    <w:rPr>
      <w:u w:val="none"/>
    </w:rPr>
  </w:style>
  <w:style w:type="character" w:styleId="WWCharLFO37LVL8" w:customStyle="1">
    <w:name w:val="WW_CharLFO37LVL8"/>
    <w:qFormat/>
    <w:rPr>
      <w:u w:val="none"/>
    </w:rPr>
  </w:style>
  <w:style w:type="character" w:styleId="WWCharLFO37LVL9" w:customStyle="1">
    <w:name w:val="WW_CharLFO37LVL9"/>
    <w:qFormat/>
    <w:rPr>
      <w:u w:val="none"/>
    </w:rPr>
  </w:style>
  <w:style w:type="character" w:styleId="WWCharLFO38LVL1" w:customStyle="1">
    <w:name w:val="WW_CharLFO38LVL1"/>
    <w:qFormat/>
    <w:rPr>
      <w:rFonts w:ascii="Calibri" w:hAnsi="Calibri" w:cs="Calibri"/>
      <w:u w:val="none"/>
    </w:rPr>
  </w:style>
  <w:style w:type="character" w:styleId="WWCharLFO38LVL2" w:customStyle="1">
    <w:name w:val="WW_CharLFO38LVL2"/>
    <w:qFormat/>
    <w:rPr>
      <w:u w:val="none"/>
    </w:rPr>
  </w:style>
  <w:style w:type="character" w:styleId="WWCharLFO38LVL3" w:customStyle="1">
    <w:name w:val="WW_CharLFO38LVL3"/>
    <w:qFormat/>
    <w:rPr>
      <w:u w:val="none"/>
    </w:rPr>
  </w:style>
  <w:style w:type="character" w:styleId="WWCharLFO38LVL4" w:customStyle="1">
    <w:name w:val="WW_CharLFO38LVL4"/>
    <w:qFormat/>
    <w:rPr>
      <w:u w:val="none"/>
    </w:rPr>
  </w:style>
  <w:style w:type="character" w:styleId="WWCharLFO38LVL5" w:customStyle="1">
    <w:name w:val="WW_CharLFO38LVL5"/>
    <w:qFormat/>
    <w:rPr>
      <w:u w:val="none"/>
    </w:rPr>
  </w:style>
  <w:style w:type="character" w:styleId="WWCharLFO38LVL6" w:customStyle="1">
    <w:name w:val="WW_CharLFO38LVL6"/>
    <w:qFormat/>
    <w:rPr>
      <w:u w:val="none"/>
    </w:rPr>
  </w:style>
  <w:style w:type="character" w:styleId="WWCharLFO38LVL7" w:customStyle="1">
    <w:name w:val="WW_CharLFO38LVL7"/>
    <w:qFormat/>
    <w:rPr>
      <w:u w:val="none"/>
    </w:rPr>
  </w:style>
  <w:style w:type="character" w:styleId="WWCharLFO38LVL8" w:customStyle="1">
    <w:name w:val="WW_CharLFO38LVL8"/>
    <w:qFormat/>
    <w:rPr>
      <w:u w:val="none"/>
    </w:rPr>
  </w:style>
  <w:style w:type="character" w:styleId="WWCharLFO38LVL9" w:customStyle="1">
    <w:name w:val="WW_CharLFO38LVL9"/>
    <w:qFormat/>
    <w:rPr>
      <w:u w:val="none"/>
    </w:rPr>
  </w:style>
  <w:style w:type="character" w:styleId="WWCharLFO39LVL1" w:customStyle="1">
    <w:name w:val="WW_CharLFO39LVL1"/>
    <w:qFormat/>
    <w:rPr>
      <w:b/>
      <w:position w:val="0"/>
      <w:sz w:val="20"/>
      <w:vertAlign w:val="baseline"/>
    </w:rPr>
  </w:style>
  <w:style w:type="character" w:styleId="WWCharLFO39LVL2" w:customStyle="1">
    <w:name w:val="WW_CharLFO39LVL2"/>
    <w:qFormat/>
    <w:rPr>
      <w:position w:val="0"/>
      <w:sz w:val="22"/>
      <w:vertAlign w:val="baseline"/>
    </w:rPr>
  </w:style>
  <w:style w:type="character" w:styleId="WWCharLFO39LVL3" w:customStyle="1">
    <w:name w:val="WW_CharLFO39LVL3"/>
    <w:qFormat/>
    <w:rPr>
      <w:position w:val="0"/>
      <w:sz w:val="22"/>
      <w:vertAlign w:val="baseline"/>
    </w:rPr>
  </w:style>
  <w:style w:type="character" w:styleId="WWCharLFO39LVL4" w:customStyle="1">
    <w:name w:val="WW_CharLFO39LVL4"/>
    <w:qFormat/>
    <w:rPr>
      <w:position w:val="0"/>
      <w:sz w:val="22"/>
      <w:vertAlign w:val="baseline"/>
    </w:rPr>
  </w:style>
  <w:style w:type="character" w:styleId="WWCharLFO39LVL5" w:customStyle="1">
    <w:name w:val="WW_CharLFO39LVL5"/>
    <w:qFormat/>
    <w:rPr>
      <w:position w:val="0"/>
      <w:sz w:val="22"/>
      <w:vertAlign w:val="baseline"/>
    </w:rPr>
  </w:style>
  <w:style w:type="character" w:styleId="WWCharLFO39LVL6" w:customStyle="1">
    <w:name w:val="WW_CharLFO39LVL6"/>
    <w:qFormat/>
    <w:rPr>
      <w:position w:val="0"/>
      <w:sz w:val="22"/>
      <w:vertAlign w:val="baseline"/>
    </w:rPr>
  </w:style>
  <w:style w:type="character" w:styleId="WWCharLFO39LVL7" w:customStyle="1">
    <w:name w:val="WW_CharLFO39LVL7"/>
    <w:qFormat/>
    <w:rPr>
      <w:position w:val="0"/>
      <w:sz w:val="22"/>
      <w:vertAlign w:val="baseline"/>
    </w:rPr>
  </w:style>
  <w:style w:type="character" w:styleId="WWCharLFO39LVL8" w:customStyle="1">
    <w:name w:val="WW_CharLFO39LVL8"/>
    <w:qFormat/>
    <w:rPr>
      <w:position w:val="0"/>
      <w:sz w:val="22"/>
      <w:vertAlign w:val="baseline"/>
    </w:rPr>
  </w:style>
  <w:style w:type="character" w:styleId="WWCharLFO39LVL9" w:customStyle="1">
    <w:name w:val="WW_CharLFO39LVL9"/>
    <w:qFormat/>
    <w:rPr>
      <w:position w:val="0"/>
      <w:sz w:val="22"/>
      <w:vertAlign w:val="baseline"/>
    </w:rPr>
  </w:style>
  <w:style w:type="character" w:styleId="FollowedHyperlink">
    <w:name w:val="FollowedHyperlink"/>
    <w:qFormat/>
    <w:rPr>
      <w:color w:val="800000"/>
      <w:u w:val="single"/>
    </w:rPr>
  </w:style>
  <w:style w:type="character" w:styleId="Odwoanieprzypisudolnego2" w:customStyle="1">
    <w:name w:val="Odwołanie przypisu dolnego2"/>
    <w:qFormat/>
    <w:rPr>
      <w:vertAlign w:val="superscript"/>
    </w:rPr>
  </w:style>
  <w:style w:type="character" w:styleId="Odwoaniedokomentarza2" w:customStyle="1">
    <w:name w:val="Odwołanie do komentarza2"/>
    <w:qFormat/>
    <w:rPr>
      <w:sz w:val="16"/>
      <w:szCs w:val="16"/>
    </w:rPr>
  </w:style>
  <w:style w:type="character" w:styleId="TekstkomentarzaZnak1" w:customStyle="1">
    <w:name w:val="Tekst komentarza Znak1"/>
    <w:qFormat/>
    <w:rPr>
      <w:rFonts w:ascii="Arial" w:hAnsi="Arial" w:eastAsia="Arial" w:cs="Mangal;Courier New"/>
      <w:szCs w:val="18"/>
      <w:lang w:eastAsia="zh-CN" w:bidi="hi-IN"/>
    </w:rPr>
  </w:style>
  <w:style w:type="character" w:styleId="Odwoaniedokomentarza3" w:customStyle="1">
    <w:name w:val="Odwołanie do komentarza3"/>
    <w:qFormat/>
    <w:rPr>
      <w:sz w:val="16"/>
      <w:szCs w:val="16"/>
    </w:rPr>
  </w:style>
  <w:style w:type="character" w:styleId="Domylnaczcionkaakapitu5" w:customStyle="1">
    <w:name w:val="Domyślna czcionka akapitu5"/>
    <w:qFormat/>
    <w:rPr/>
  </w:style>
  <w:style w:type="character" w:styleId="Nierozpoznanawzmianka" w:customStyle="1">
    <w:name w:val="Nierozpoznana wzmianka"/>
    <w:qFormat/>
    <w:rPr>
      <w:color w:val="605E5C"/>
      <w:shd w:fill="E1DFDD" w:val="clear"/>
    </w:rPr>
  </w:style>
  <w:style w:type="character" w:styleId="markedcontent" w:customStyle="1">
    <w:name w:val="markedcontent"/>
    <w:qFormat/>
    <w:rPr/>
  </w:style>
  <w:style w:type="character" w:styleId="TekstkomentarzaZnak8" w:customStyle="1">
    <w:name w:val="Tekst komentarza Znak8"/>
    <w:qFormat/>
    <w:rPr>
      <w:rFonts w:ascii="Arial" w:hAnsi="Arial" w:eastAsia="Arial" w:cs="Mangal;Courier New"/>
      <w:kern w:val="2"/>
      <w:szCs w:val="18"/>
      <w:lang w:eastAsia="zh-CN" w:bidi="hi-IN"/>
    </w:rPr>
  </w:style>
  <w:style w:type="character" w:styleId="Odwoaniedokomentarza9" w:customStyle="1">
    <w:name w:val="Odwołanie do komentarza9"/>
    <w:qFormat/>
    <w:rPr>
      <w:sz w:val="16"/>
      <w:szCs w:val="16"/>
    </w:rPr>
  </w:style>
  <w:style w:type="character" w:styleId="TekstkomentarzaZnak7" w:customStyle="1">
    <w:name w:val="Tekst komentarza Znak7"/>
    <w:qFormat/>
    <w:rPr>
      <w:rFonts w:ascii="Arial" w:hAnsi="Arial" w:eastAsia="Arial" w:cs="Mangal;Courier New"/>
      <w:kern w:val="2"/>
      <w:szCs w:val="18"/>
      <w:lang w:eastAsia="zh-CN" w:bidi="hi-IN"/>
    </w:rPr>
  </w:style>
  <w:style w:type="character" w:styleId="Odwoaniedokomentarza8" w:customStyle="1">
    <w:name w:val="Odwołanie do komentarza8"/>
    <w:qFormat/>
    <w:rPr>
      <w:sz w:val="16"/>
      <w:szCs w:val="16"/>
    </w:rPr>
  </w:style>
  <w:style w:type="character" w:styleId="alb-s" w:customStyle="1">
    <w:name w:val="a_lb-s"/>
    <w:qFormat/>
    <w:rPr>
      <w:rFonts w:ascii="Times New Roman" w:hAnsi="Times New Roman" w:eastAsia="Times New Roman" w:cs="Times New Roman"/>
      <w:color w:val="000000"/>
      <w:sz w:val="24"/>
      <w:szCs w:val="24"/>
    </w:rPr>
  </w:style>
  <w:style w:type="character" w:styleId="TekstkomentarzaZnak6" w:customStyle="1">
    <w:name w:val="Tekst komentarza Znak6"/>
    <w:qFormat/>
    <w:rPr>
      <w:rFonts w:ascii="Arial" w:hAnsi="Arial" w:eastAsia="Arial" w:cs="Mangal;Courier New"/>
      <w:kern w:val="2"/>
      <w:szCs w:val="18"/>
      <w:lang w:eastAsia="zh-CN" w:bidi="hi-IN"/>
    </w:rPr>
  </w:style>
  <w:style w:type="character" w:styleId="Odwoaniedokomentarza7" w:customStyle="1">
    <w:name w:val="Odwołanie do komentarza7"/>
    <w:qFormat/>
    <w:rPr>
      <w:sz w:val="16"/>
      <w:szCs w:val="16"/>
    </w:rPr>
  </w:style>
  <w:style w:type="character" w:styleId="NagwekZnak" w:customStyle="1">
    <w:name w:val="Nagłówek Znak"/>
    <w:qFormat/>
    <w:rPr>
      <w:rFonts w:ascii="Arial" w:hAnsi="Arial" w:eastAsia="Arial" w:cs="Mangal;Courier New"/>
      <w:kern w:val="2"/>
      <w:sz w:val="22"/>
      <w:lang w:eastAsia="zh-CN" w:bidi="hi-IN"/>
    </w:rPr>
  </w:style>
  <w:style w:type="character" w:styleId="TekstkomentarzaZnak5" w:customStyle="1">
    <w:name w:val="Tekst komentarza Znak5"/>
    <w:qFormat/>
    <w:rPr>
      <w:rFonts w:ascii="Arial" w:hAnsi="Arial" w:eastAsia="Arial" w:cs="Mangal;Courier New"/>
      <w:kern w:val="2"/>
      <w:szCs w:val="18"/>
      <w:lang w:eastAsia="zh-CN" w:bidi="hi-IN"/>
    </w:rPr>
  </w:style>
  <w:style w:type="character" w:styleId="Odwoaniedokomentarza6" w:customStyle="1">
    <w:name w:val="Odwołanie do komentarza6"/>
    <w:qFormat/>
    <w:rPr>
      <w:sz w:val="16"/>
      <w:szCs w:val="16"/>
    </w:rPr>
  </w:style>
  <w:style w:type="character" w:styleId="AkapitzlistZnak" w:customStyle="1">
    <w:name w:val="Akapit z listą Znak"/>
    <w:qFormat/>
    <w:rPr>
      <w:kern w:val="2"/>
      <w:sz w:val="24"/>
      <w:szCs w:val="24"/>
      <w:lang w:eastAsia="zh-CN" w:bidi="hi-IN"/>
    </w:rPr>
  </w:style>
  <w:style w:type="character" w:styleId="WWCharLFO76LVL9" w:customStyle="1">
    <w:name w:val="WW_CharLFO76LVL9"/>
    <w:qFormat/>
    <w:rPr>
      <w:rFonts w:ascii="Calibri" w:hAnsi="Calibri" w:eastAsia="Calibri" w:cs="Calibri"/>
      <w:sz w:val="20"/>
      <w:szCs w:val="20"/>
    </w:rPr>
  </w:style>
  <w:style w:type="character" w:styleId="WWCharLFO76LVL8" w:customStyle="1">
    <w:name w:val="WW_CharLFO76LVL8"/>
    <w:qFormat/>
    <w:rPr>
      <w:rFonts w:ascii="Calibri" w:hAnsi="Calibri" w:eastAsia="Calibri" w:cs="Calibri"/>
      <w:sz w:val="20"/>
      <w:szCs w:val="20"/>
    </w:rPr>
  </w:style>
  <w:style w:type="character" w:styleId="WWCharLFO76LVL7" w:customStyle="1">
    <w:name w:val="WW_CharLFO76LVL7"/>
    <w:qFormat/>
    <w:rPr>
      <w:rFonts w:ascii="Calibri" w:hAnsi="Calibri" w:eastAsia="Calibri" w:cs="Calibri"/>
      <w:sz w:val="20"/>
      <w:szCs w:val="20"/>
    </w:rPr>
  </w:style>
  <w:style w:type="character" w:styleId="WWCharLFO76LVL6" w:customStyle="1">
    <w:name w:val="WW_CharLFO76LVL6"/>
    <w:qFormat/>
    <w:rPr>
      <w:rFonts w:ascii="Calibri" w:hAnsi="Calibri" w:eastAsia="Calibri" w:cs="Calibri"/>
      <w:sz w:val="20"/>
      <w:szCs w:val="20"/>
    </w:rPr>
  </w:style>
  <w:style w:type="character" w:styleId="WWCharLFO76LVL5" w:customStyle="1">
    <w:name w:val="WW_CharLFO76LVL5"/>
    <w:qFormat/>
    <w:rPr>
      <w:rFonts w:ascii="Calibri" w:hAnsi="Calibri" w:eastAsia="Calibri" w:cs="Calibri"/>
      <w:sz w:val="20"/>
      <w:szCs w:val="20"/>
    </w:rPr>
  </w:style>
  <w:style w:type="character" w:styleId="WWCharLFO76LVL4" w:customStyle="1">
    <w:name w:val="WW_CharLFO76LVL4"/>
    <w:qFormat/>
    <w:rPr>
      <w:rFonts w:ascii="Calibri" w:hAnsi="Calibri" w:eastAsia="Calibri" w:cs="Calibri"/>
      <w:sz w:val="20"/>
      <w:szCs w:val="20"/>
    </w:rPr>
  </w:style>
  <w:style w:type="character" w:styleId="WWCharLFO76LVL3" w:customStyle="1">
    <w:name w:val="WW_CharLFO76LVL3"/>
    <w:qFormat/>
    <w:rPr>
      <w:rFonts w:ascii="Calibri" w:hAnsi="Calibri" w:eastAsia="Calibri" w:cs="Calibri"/>
      <w:sz w:val="20"/>
      <w:szCs w:val="20"/>
    </w:rPr>
  </w:style>
  <w:style w:type="character" w:styleId="WWCharLFO76LVL2" w:customStyle="1">
    <w:name w:val="WW_CharLFO76LVL2"/>
    <w:qFormat/>
    <w:rPr>
      <w:rFonts w:ascii="Calibri" w:hAnsi="Calibri" w:eastAsia="Calibri" w:cs="Calibri"/>
      <w:sz w:val="20"/>
      <w:szCs w:val="20"/>
    </w:rPr>
  </w:style>
  <w:style w:type="character" w:styleId="WWCharLFO76LVL1" w:customStyle="1">
    <w:name w:val="WW_CharLFO76LVL1"/>
    <w:qFormat/>
    <w:rPr>
      <w:rFonts w:ascii="Calibri" w:hAnsi="Calibri" w:eastAsia="Calibri" w:cs="Calibri"/>
      <w:sz w:val="20"/>
      <w:szCs w:val="20"/>
    </w:rPr>
  </w:style>
  <w:style w:type="character" w:styleId="WWCharLFO65LVL9" w:customStyle="1">
    <w:name w:val="WW_CharLFO65LVL9"/>
    <w:qFormat/>
    <w:rPr>
      <w:rFonts w:ascii="Calibri" w:hAnsi="Calibri" w:eastAsia="Calibri" w:cs="Calibri"/>
      <w:sz w:val="20"/>
      <w:szCs w:val="20"/>
    </w:rPr>
  </w:style>
  <w:style w:type="character" w:styleId="WWCharLFO65LVL8" w:customStyle="1">
    <w:name w:val="WW_CharLFO65LVL8"/>
    <w:qFormat/>
    <w:rPr>
      <w:rFonts w:ascii="Calibri" w:hAnsi="Calibri" w:eastAsia="Calibri" w:cs="Calibri"/>
      <w:sz w:val="20"/>
      <w:szCs w:val="20"/>
    </w:rPr>
  </w:style>
  <w:style w:type="character" w:styleId="WWCharLFO65LVL7" w:customStyle="1">
    <w:name w:val="WW_CharLFO65LVL7"/>
    <w:qFormat/>
    <w:rPr>
      <w:rFonts w:ascii="Calibri" w:hAnsi="Calibri" w:eastAsia="Calibri" w:cs="Calibri"/>
      <w:sz w:val="20"/>
      <w:szCs w:val="20"/>
    </w:rPr>
  </w:style>
  <w:style w:type="character" w:styleId="WWCharLFO65LVL6" w:customStyle="1">
    <w:name w:val="WW_CharLFO65LVL6"/>
    <w:qFormat/>
    <w:rPr>
      <w:rFonts w:ascii="Calibri" w:hAnsi="Calibri" w:eastAsia="Calibri" w:cs="Calibri"/>
      <w:sz w:val="20"/>
      <w:szCs w:val="20"/>
    </w:rPr>
  </w:style>
  <w:style w:type="character" w:styleId="WWCharLFO65LVL5" w:customStyle="1">
    <w:name w:val="WW_CharLFO65LVL5"/>
    <w:qFormat/>
    <w:rPr>
      <w:rFonts w:ascii="Calibri" w:hAnsi="Calibri" w:eastAsia="Calibri" w:cs="Calibri"/>
      <w:sz w:val="20"/>
      <w:szCs w:val="20"/>
    </w:rPr>
  </w:style>
  <w:style w:type="character" w:styleId="WWCharLFO65LVL4" w:customStyle="1">
    <w:name w:val="WW_CharLFO65LVL4"/>
    <w:qFormat/>
    <w:rPr>
      <w:rFonts w:ascii="Calibri" w:hAnsi="Calibri" w:eastAsia="Calibri" w:cs="Calibri"/>
      <w:sz w:val="20"/>
      <w:szCs w:val="20"/>
    </w:rPr>
  </w:style>
  <w:style w:type="character" w:styleId="WWCharLFO65LVL3" w:customStyle="1">
    <w:name w:val="WW_CharLFO65LVL3"/>
    <w:qFormat/>
    <w:rPr>
      <w:rFonts w:ascii="Calibri" w:hAnsi="Calibri" w:eastAsia="Calibri" w:cs="Calibri"/>
      <w:sz w:val="20"/>
      <w:szCs w:val="20"/>
    </w:rPr>
  </w:style>
  <w:style w:type="character" w:styleId="WWCharLFO65LVL2" w:customStyle="1">
    <w:name w:val="WW_CharLFO65LVL2"/>
    <w:qFormat/>
    <w:rPr>
      <w:rFonts w:ascii="Calibri" w:hAnsi="Calibri" w:eastAsia="Calibri" w:cs="Calibri"/>
      <w:sz w:val="20"/>
      <w:szCs w:val="20"/>
    </w:rPr>
  </w:style>
  <w:style w:type="character" w:styleId="WWCharLFO65LVL1" w:customStyle="1">
    <w:name w:val="WW_CharLFO65LVL1"/>
    <w:qFormat/>
    <w:rPr>
      <w:rFonts w:ascii="Arial" w:hAnsi="Arial" w:eastAsia="Calibri" w:cs="Arial"/>
      <w:sz w:val="22"/>
      <w:szCs w:val="22"/>
    </w:rPr>
  </w:style>
  <w:style w:type="character" w:styleId="WWCharLFO64LVL9" w:customStyle="1">
    <w:name w:val="WW_CharLFO64LVL9"/>
    <w:qFormat/>
    <w:rPr>
      <w:rFonts w:ascii="Calibri" w:hAnsi="Calibri" w:eastAsia="Calibri" w:cs="Calibri"/>
      <w:sz w:val="20"/>
      <w:szCs w:val="20"/>
    </w:rPr>
  </w:style>
  <w:style w:type="character" w:styleId="WWCharLFO64LVL8" w:customStyle="1">
    <w:name w:val="WW_CharLFO64LVL8"/>
    <w:qFormat/>
    <w:rPr>
      <w:rFonts w:ascii="Calibri" w:hAnsi="Calibri" w:eastAsia="Calibri" w:cs="Calibri"/>
      <w:sz w:val="20"/>
      <w:szCs w:val="20"/>
    </w:rPr>
  </w:style>
  <w:style w:type="character" w:styleId="WWCharLFO64LVL7" w:customStyle="1">
    <w:name w:val="WW_CharLFO64LVL7"/>
    <w:qFormat/>
    <w:rPr>
      <w:rFonts w:ascii="Calibri" w:hAnsi="Calibri" w:eastAsia="Calibri" w:cs="Calibri"/>
      <w:sz w:val="20"/>
      <w:szCs w:val="20"/>
    </w:rPr>
  </w:style>
  <w:style w:type="character" w:styleId="WWCharLFO64LVL6" w:customStyle="1">
    <w:name w:val="WW_CharLFO64LVL6"/>
    <w:qFormat/>
    <w:rPr>
      <w:rFonts w:ascii="Calibri" w:hAnsi="Calibri" w:eastAsia="Calibri" w:cs="Calibri"/>
      <w:sz w:val="20"/>
      <w:szCs w:val="20"/>
    </w:rPr>
  </w:style>
  <w:style w:type="character" w:styleId="WWCharLFO64LVL5" w:customStyle="1">
    <w:name w:val="WW_CharLFO64LVL5"/>
    <w:qFormat/>
    <w:rPr>
      <w:rFonts w:ascii="Calibri" w:hAnsi="Calibri" w:eastAsia="Calibri" w:cs="Calibri"/>
      <w:sz w:val="20"/>
      <w:szCs w:val="20"/>
    </w:rPr>
  </w:style>
  <w:style w:type="character" w:styleId="WWCharLFO64LVL4" w:customStyle="1">
    <w:name w:val="WW_CharLFO64LVL4"/>
    <w:qFormat/>
    <w:rPr>
      <w:rFonts w:ascii="Calibri" w:hAnsi="Calibri" w:eastAsia="Calibri" w:cs="Calibri"/>
      <w:sz w:val="20"/>
      <w:szCs w:val="20"/>
    </w:rPr>
  </w:style>
  <w:style w:type="character" w:styleId="WWCharLFO64LVL3" w:customStyle="1">
    <w:name w:val="WW_CharLFO64LVL3"/>
    <w:qFormat/>
    <w:rPr>
      <w:rFonts w:ascii="Calibri" w:hAnsi="Calibri" w:eastAsia="Calibri" w:cs="Calibri"/>
      <w:sz w:val="20"/>
      <w:szCs w:val="20"/>
    </w:rPr>
  </w:style>
  <w:style w:type="character" w:styleId="WWCharLFO64LVL2" w:customStyle="1">
    <w:name w:val="WW_CharLFO64LVL2"/>
    <w:qFormat/>
    <w:rPr>
      <w:rFonts w:ascii="Calibri" w:hAnsi="Calibri" w:eastAsia="Calibri" w:cs="Calibri"/>
      <w:sz w:val="20"/>
      <w:szCs w:val="20"/>
    </w:rPr>
  </w:style>
  <w:style w:type="character" w:styleId="WWCharLFO64LVL1" w:customStyle="1">
    <w:name w:val="WW_CharLFO64LVL1"/>
    <w:qFormat/>
    <w:rPr>
      <w:rFonts w:ascii="Arial" w:hAnsi="Arial" w:eastAsia="Calibri" w:cs="Arial"/>
      <w:sz w:val="22"/>
      <w:szCs w:val="22"/>
    </w:rPr>
  </w:style>
  <w:style w:type="character" w:styleId="WWCharLFO63LVL9" w:customStyle="1">
    <w:name w:val="WW_CharLFO63LVL9"/>
    <w:qFormat/>
    <w:rPr>
      <w:rFonts w:ascii="Calibri" w:hAnsi="Calibri" w:eastAsia="Calibri" w:cs="Calibri"/>
      <w:sz w:val="20"/>
      <w:szCs w:val="20"/>
    </w:rPr>
  </w:style>
  <w:style w:type="character" w:styleId="WWCharLFO63LVL8" w:customStyle="1">
    <w:name w:val="WW_CharLFO63LVL8"/>
    <w:qFormat/>
    <w:rPr>
      <w:rFonts w:ascii="Calibri" w:hAnsi="Calibri" w:eastAsia="Calibri" w:cs="Calibri"/>
      <w:sz w:val="20"/>
      <w:szCs w:val="20"/>
    </w:rPr>
  </w:style>
  <w:style w:type="character" w:styleId="WWCharLFO63LVL7" w:customStyle="1">
    <w:name w:val="WW_CharLFO63LVL7"/>
    <w:qFormat/>
    <w:rPr>
      <w:rFonts w:ascii="Calibri" w:hAnsi="Calibri" w:eastAsia="Calibri" w:cs="Calibri"/>
      <w:sz w:val="20"/>
      <w:szCs w:val="20"/>
    </w:rPr>
  </w:style>
  <w:style w:type="character" w:styleId="WWCharLFO63LVL6" w:customStyle="1">
    <w:name w:val="WW_CharLFO63LVL6"/>
    <w:qFormat/>
    <w:rPr>
      <w:rFonts w:ascii="Calibri" w:hAnsi="Calibri" w:eastAsia="Calibri" w:cs="Calibri"/>
      <w:sz w:val="20"/>
      <w:szCs w:val="20"/>
    </w:rPr>
  </w:style>
  <w:style w:type="character" w:styleId="WWCharLFO63LVL5" w:customStyle="1">
    <w:name w:val="WW_CharLFO63LVL5"/>
    <w:qFormat/>
    <w:rPr>
      <w:rFonts w:ascii="Calibri" w:hAnsi="Calibri" w:eastAsia="Calibri" w:cs="Calibri"/>
      <w:sz w:val="20"/>
      <w:szCs w:val="20"/>
    </w:rPr>
  </w:style>
  <w:style w:type="character" w:styleId="WWCharLFO63LVL4" w:customStyle="1">
    <w:name w:val="WW_CharLFO63LVL4"/>
    <w:qFormat/>
    <w:rPr>
      <w:rFonts w:ascii="Calibri" w:hAnsi="Calibri" w:eastAsia="Calibri" w:cs="Calibri"/>
      <w:sz w:val="20"/>
      <w:szCs w:val="20"/>
    </w:rPr>
  </w:style>
  <w:style w:type="character" w:styleId="WWCharLFO63LVL3" w:customStyle="1">
    <w:name w:val="WW_CharLFO63LVL3"/>
    <w:qFormat/>
    <w:rPr>
      <w:rFonts w:ascii="Calibri" w:hAnsi="Calibri" w:eastAsia="Calibri" w:cs="Calibri"/>
      <w:sz w:val="20"/>
      <w:szCs w:val="20"/>
    </w:rPr>
  </w:style>
  <w:style w:type="character" w:styleId="WWCharLFO63LVL2" w:customStyle="1">
    <w:name w:val="WW_CharLFO63LVL2"/>
    <w:qFormat/>
    <w:rPr>
      <w:rFonts w:ascii="Calibri" w:hAnsi="Calibri" w:eastAsia="Calibri" w:cs="Calibri"/>
      <w:sz w:val="20"/>
      <w:szCs w:val="20"/>
    </w:rPr>
  </w:style>
  <w:style w:type="character" w:styleId="WWCharLFO63LVL1" w:customStyle="1">
    <w:name w:val="WW_CharLFO63LVL1"/>
    <w:qFormat/>
    <w:rPr>
      <w:rFonts w:ascii="Arial" w:hAnsi="Arial" w:eastAsia="Calibri" w:cs="Arial"/>
      <w:sz w:val="22"/>
      <w:szCs w:val="22"/>
    </w:rPr>
  </w:style>
  <w:style w:type="character" w:styleId="WWCharLFO62LVL9" w:customStyle="1">
    <w:name w:val="WW_CharLFO62LVL9"/>
    <w:qFormat/>
    <w:rPr>
      <w:rFonts w:ascii="Calibri" w:hAnsi="Calibri" w:eastAsia="Calibri" w:cs="Calibri"/>
      <w:sz w:val="20"/>
      <w:szCs w:val="20"/>
    </w:rPr>
  </w:style>
  <w:style w:type="character" w:styleId="WWCharLFO62LVL8" w:customStyle="1">
    <w:name w:val="WW_CharLFO62LVL8"/>
    <w:qFormat/>
    <w:rPr>
      <w:rFonts w:ascii="Calibri" w:hAnsi="Calibri" w:eastAsia="Calibri" w:cs="Calibri"/>
      <w:sz w:val="20"/>
      <w:szCs w:val="20"/>
    </w:rPr>
  </w:style>
  <w:style w:type="character" w:styleId="WWCharLFO62LVL7" w:customStyle="1">
    <w:name w:val="WW_CharLFO62LVL7"/>
    <w:qFormat/>
    <w:rPr>
      <w:rFonts w:ascii="Calibri" w:hAnsi="Calibri" w:eastAsia="Calibri" w:cs="Calibri"/>
      <w:sz w:val="20"/>
      <w:szCs w:val="20"/>
    </w:rPr>
  </w:style>
  <w:style w:type="character" w:styleId="WWCharLFO62LVL6" w:customStyle="1">
    <w:name w:val="WW_CharLFO62LVL6"/>
    <w:qFormat/>
    <w:rPr>
      <w:rFonts w:ascii="Calibri" w:hAnsi="Calibri" w:eastAsia="Calibri" w:cs="Calibri"/>
      <w:sz w:val="20"/>
      <w:szCs w:val="20"/>
    </w:rPr>
  </w:style>
  <w:style w:type="character" w:styleId="WWCharLFO62LVL5" w:customStyle="1">
    <w:name w:val="WW_CharLFO62LVL5"/>
    <w:qFormat/>
    <w:rPr>
      <w:rFonts w:ascii="Calibri" w:hAnsi="Calibri" w:eastAsia="Calibri" w:cs="Calibri"/>
      <w:sz w:val="20"/>
      <w:szCs w:val="20"/>
    </w:rPr>
  </w:style>
  <w:style w:type="character" w:styleId="WWCharLFO62LVL4" w:customStyle="1">
    <w:name w:val="WW_CharLFO62LVL4"/>
    <w:qFormat/>
    <w:rPr>
      <w:rFonts w:ascii="Calibri" w:hAnsi="Calibri" w:eastAsia="Calibri" w:cs="Calibri"/>
      <w:sz w:val="20"/>
      <w:szCs w:val="20"/>
    </w:rPr>
  </w:style>
  <w:style w:type="character" w:styleId="WWCharLFO62LVL3" w:customStyle="1">
    <w:name w:val="WW_CharLFO62LVL3"/>
    <w:qFormat/>
    <w:rPr>
      <w:rFonts w:ascii="Calibri" w:hAnsi="Calibri" w:eastAsia="Calibri" w:cs="Calibri"/>
      <w:sz w:val="20"/>
      <w:szCs w:val="20"/>
    </w:rPr>
  </w:style>
  <w:style w:type="character" w:styleId="WWCharLFO62LVL2" w:customStyle="1">
    <w:name w:val="WW_CharLFO62LVL2"/>
    <w:qFormat/>
    <w:rPr>
      <w:rFonts w:ascii="Calibri" w:hAnsi="Calibri" w:eastAsia="Calibri" w:cs="Calibri"/>
      <w:sz w:val="20"/>
      <w:szCs w:val="20"/>
    </w:rPr>
  </w:style>
  <w:style w:type="character" w:styleId="WWCharLFO62LVL1" w:customStyle="1">
    <w:name w:val="WW_CharLFO62LVL1"/>
    <w:qFormat/>
    <w:rPr>
      <w:rFonts w:ascii="Arial" w:hAnsi="Arial" w:eastAsia="Calibri" w:cs="Arial"/>
      <w:sz w:val="22"/>
      <w:szCs w:val="22"/>
    </w:rPr>
  </w:style>
  <w:style w:type="character" w:styleId="WWCharLFO61LVL9" w:customStyle="1">
    <w:name w:val="WW_CharLFO61LVL9"/>
    <w:qFormat/>
    <w:rPr>
      <w:rFonts w:ascii="Calibri" w:hAnsi="Calibri" w:eastAsia="Calibri" w:cs="Calibri"/>
      <w:sz w:val="20"/>
      <w:szCs w:val="20"/>
    </w:rPr>
  </w:style>
  <w:style w:type="character" w:styleId="WWCharLFO61LVL8" w:customStyle="1">
    <w:name w:val="WW_CharLFO61LVL8"/>
    <w:qFormat/>
    <w:rPr>
      <w:rFonts w:ascii="Calibri" w:hAnsi="Calibri" w:eastAsia="Calibri" w:cs="Calibri"/>
      <w:sz w:val="20"/>
      <w:szCs w:val="20"/>
    </w:rPr>
  </w:style>
  <w:style w:type="character" w:styleId="WWCharLFO61LVL7" w:customStyle="1">
    <w:name w:val="WW_CharLFO61LVL7"/>
    <w:qFormat/>
    <w:rPr>
      <w:rFonts w:ascii="Calibri" w:hAnsi="Calibri" w:eastAsia="Calibri" w:cs="Calibri"/>
      <w:sz w:val="20"/>
      <w:szCs w:val="20"/>
    </w:rPr>
  </w:style>
  <w:style w:type="character" w:styleId="WWCharLFO61LVL6" w:customStyle="1">
    <w:name w:val="WW_CharLFO61LVL6"/>
    <w:qFormat/>
    <w:rPr>
      <w:rFonts w:ascii="Calibri" w:hAnsi="Calibri" w:eastAsia="Calibri" w:cs="Calibri"/>
      <w:sz w:val="20"/>
      <w:szCs w:val="20"/>
    </w:rPr>
  </w:style>
  <w:style w:type="character" w:styleId="WWCharLFO61LVL5" w:customStyle="1">
    <w:name w:val="WW_CharLFO61LVL5"/>
    <w:qFormat/>
    <w:rPr>
      <w:rFonts w:ascii="Calibri" w:hAnsi="Calibri" w:eastAsia="Calibri" w:cs="Calibri"/>
      <w:sz w:val="20"/>
      <w:szCs w:val="20"/>
    </w:rPr>
  </w:style>
  <w:style w:type="character" w:styleId="WWCharLFO61LVL4" w:customStyle="1">
    <w:name w:val="WW_CharLFO61LVL4"/>
    <w:qFormat/>
    <w:rPr>
      <w:rFonts w:ascii="Calibri" w:hAnsi="Calibri" w:eastAsia="Calibri" w:cs="Calibri"/>
      <w:sz w:val="20"/>
      <w:szCs w:val="20"/>
    </w:rPr>
  </w:style>
  <w:style w:type="character" w:styleId="WWCharLFO61LVL3" w:customStyle="1">
    <w:name w:val="WW_CharLFO61LVL3"/>
    <w:qFormat/>
    <w:rPr>
      <w:rFonts w:ascii="Calibri" w:hAnsi="Calibri" w:eastAsia="Calibri" w:cs="Calibri"/>
      <w:sz w:val="20"/>
      <w:szCs w:val="20"/>
    </w:rPr>
  </w:style>
  <w:style w:type="character" w:styleId="WWCharLFO61LVL2" w:customStyle="1">
    <w:name w:val="WW_CharLFO61LVL2"/>
    <w:qFormat/>
    <w:rPr>
      <w:rFonts w:ascii="Calibri" w:hAnsi="Calibri" w:eastAsia="Calibri" w:cs="Calibri"/>
      <w:sz w:val="20"/>
      <w:szCs w:val="20"/>
    </w:rPr>
  </w:style>
  <w:style w:type="character" w:styleId="WWCharLFO61LVL1" w:customStyle="1">
    <w:name w:val="WW_CharLFO61LVL1"/>
    <w:qFormat/>
    <w:rPr>
      <w:rFonts w:ascii="Calibri" w:hAnsi="Calibri" w:eastAsia="Calibri" w:cs="Calibri"/>
      <w:sz w:val="20"/>
      <w:szCs w:val="20"/>
    </w:rPr>
  </w:style>
  <w:style w:type="character" w:styleId="WWCharLFO59LVL9" w:customStyle="1">
    <w:name w:val="WW_CharLFO59LVL9"/>
    <w:qFormat/>
    <w:rPr>
      <w:rFonts w:ascii="Calibri" w:hAnsi="Calibri" w:eastAsia="Calibri" w:cs="Calibri"/>
      <w:sz w:val="20"/>
      <w:szCs w:val="20"/>
    </w:rPr>
  </w:style>
  <w:style w:type="character" w:styleId="WWCharLFO59LVL8" w:customStyle="1">
    <w:name w:val="WW_CharLFO59LVL8"/>
    <w:qFormat/>
    <w:rPr>
      <w:rFonts w:ascii="Calibri" w:hAnsi="Calibri" w:eastAsia="Calibri" w:cs="Calibri"/>
      <w:sz w:val="20"/>
      <w:szCs w:val="20"/>
    </w:rPr>
  </w:style>
  <w:style w:type="character" w:styleId="WWCharLFO59LVL7" w:customStyle="1">
    <w:name w:val="WW_CharLFO59LVL7"/>
    <w:qFormat/>
    <w:rPr>
      <w:rFonts w:ascii="Calibri" w:hAnsi="Calibri" w:eastAsia="Calibri" w:cs="Calibri"/>
      <w:sz w:val="20"/>
      <w:szCs w:val="20"/>
    </w:rPr>
  </w:style>
  <w:style w:type="character" w:styleId="WWCharLFO59LVL6" w:customStyle="1">
    <w:name w:val="WW_CharLFO59LVL6"/>
    <w:qFormat/>
    <w:rPr>
      <w:rFonts w:ascii="Calibri" w:hAnsi="Calibri" w:eastAsia="Calibri" w:cs="Calibri"/>
      <w:sz w:val="20"/>
      <w:szCs w:val="20"/>
    </w:rPr>
  </w:style>
  <w:style w:type="character" w:styleId="WWCharLFO59LVL5" w:customStyle="1">
    <w:name w:val="WW_CharLFO59LVL5"/>
    <w:qFormat/>
    <w:rPr>
      <w:rFonts w:ascii="Calibri" w:hAnsi="Calibri" w:eastAsia="Calibri" w:cs="Calibri"/>
      <w:sz w:val="20"/>
      <w:szCs w:val="20"/>
    </w:rPr>
  </w:style>
  <w:style w:type="character" w:styleId="WWCharLFO59LVL4" w:customStyle="1">
    <w:name w:val="WW_CharLFO59LVL4"/>
    <w:qFormat/>
    <w:rPr>
      <w:rFonts w:ascii="Calibri" w:hAnsi="Calibri" w:eastAsia="Calibri" w:cs="Calibri"/>
      <w:sz w:val="20"/>
      <w:szCs w:val="20"/>
    </w:rPr>
  </w:style>
  <w:style w:type="character" w:styleId="WWCharLFO59LVL3" w:customStyle="1">
    <w:name w:val="WW_CharLFO59LVL3"/>
    <w:qFormat/>
    <w:rPr>
      <w:rFonts w:ascii="Calibri" w:hAnsi="Calibri" w:eastAsia="Calibri" w:cs="Calibri"/>
      <w:sz w:val="20"/>
      <w:szCs w:val="20"/>
    </w:rPr>
  </w:style>
  <w:style w:type="character" w:styleId="WWCharLFO59LVL2" w:customStyle="1">
    <w:name w:val="WW_CharLFO59LVL2"/>
    <w:qFormat/>
    <w:rPr>
      <w:rFonts w:ascii="Calibri" w:hAnsi="Calibri" w:eastAsia="Calibri" w:cs="Calibri"/>
      <w:sz w:val="20"/>
      <w:szCs w:val="20"/>
    </w:rPr>
  </w:style>
  <w:style w:type="character" w:styleId="WWCharLFO59LVL1" w:customStyle="1">
    <w:name w:val="WW_CharLFO59LVL1"/>
    <w:qFormat/>
    <w:rPr>
      <w:rFonts w:ascii="Calibri" w:hAnsi="Calibri" w:eastAsia="Calibri" w:cs="Calibri"/>
      <w:sz w:val="20"/>
      <w:szCs w:val="20"/>
    </w:rPr>
  </w:style>
  <w:style w:type="character" w:styleId="WWCharLFO53LVL9" w:customStyle="1">
    <w:name w:val="WW_CharLFO53LVL9"/>
    <w:qFormat/>
    <w:rPr>
      <w:rFonts w:ascii="Calibri" w:hAnsi="Calibri" w:eastAsia="Calibri" w:cs="Calibri"/>
      <w:sz w:val="20"/>
      <w:szCs w:val="20"/>
    </w:rPr>
  </w:style>
  <w:style w:type="character" w:styleId="WWCharLFO53LVL8" w:customStyle="1">
    <w:name w:val="WW_CharLFO53LVL8"/>
    <w:qFormat/>
    <w:rPr>
      <w:rFonts w:ascii="Calibri" w:hAnsi="Calibri" w:eastAsia="Calibri" w:cs="Calibri"/>
      <w:sz w:val="20"/>
      <w:szCs w:val="20"/>
    </w:rPr>
  </w:style>
  <w:style w:type="character" w:styleId="WWCharLFO53LVL7" w:customStyle="1">
    <w:name w:val="WW_CharLFO53LVL7"/>
    <w:qFormat/>
    <w:rPr>
      <w:rFonts w:ascii="Calibri" w:hAnsi="Calibri" w:eastAsia="Calibri" w:cs="Calibri"/>
      <w:sz w:val="20"/>
      <w:szCs w:val="20"/>
    </w:rPr>
  </w:style>
  <w:style w:type="character" w:styleId="WWCharLFO53LVL6" w:customStyle="1">
    <w:name w:val="WW_CharLFO53LVL6"/>
    <w:qFormat/>
    <w:rPr>
      <w:rFonts w:ascii="Calibri" w:hAnsi="Calibri" w:eastAsia="Calibri" w:cs="Calibri"/>
      <w:sz w:val="20"/>
      <w:szCs w:val="20"/>
    </w:rPr>
  </w:style>
  <w:style w:type="character" w:styleId="WWCharLFO53LVL5" w:customStyle="1">
    <w:name w:val="WW_CharLFO53LVL5"/>
    <w:qFormat/>
    <w:rPr>
      <w:rFonts w:ascii="Calibri" w:hAnsi="Calibri" w:eastAsia="Calibri" w:cs="Calibri"/>
      <w:sz w:val="20"/>
      <w:szCs w:val="20"/>
    </w:rPr>
  </w:style>
  <w:style w:type="character" w:styleId="WWCharLFO53LVL4" w:customStyle="1">
    <w:name w:val="WW_CharLFO53LVL4"/>
    <w:qFormat/>
    <w:rPr>
      <w:rFonts w:ascii="Calibri" w:hAnsi="Calibri" w:eastAsia="Calibri" w:cs="Calibri"/>
      <w:sz w:val="20"/>
      <w:szCs w:val="20"/>
    </w:rPr>
  </w:style>
  <w:style w:type="character" w:styleId="WWCharLFO53LVL3" w:customStyle="1">
    <w:name w:val="WW_CharLFO53LVL3"/>
    <w:qFormat/>
    <w:rPr>
      <w:rFonts w:ascii="Calibri" w:hAnsi="Calibri" w:eastAsia="Calibri" w:cs="Calibri"/>
      <w:sz w:val="20"/>
      <w:szCs w:val="20"/>
    </w:rPr>
  </w:style>
  <w:style w:type="character" w:styleId="WWCharLFO53LVL2" w:customStyle="1">
    <w:name w:val="WW_CharLFO53LVL2"/>
    <w:qFormat/>
    <w:rPr>
      <w:rFonts w:ascii="Calibri" w:hAnsi="Calibri" w:eastAsia="Calibri" w:cs="Calibri"/>
      <w:sz w:val="20"/>
      <w:szCs w:val="20"/>
    </w:rPr>
  </w:style>
  <w:style w:type="character" w:styleId="WWCharLFO53LVL1" w:customStyle="1">
    <w:name w:val="WW_CharLFO53LVL1"/>
    <w:qFormat/>
    <w:rPr>
      <w:rFonts w:ascii="Calibri" w:hAnsi="Calibri" w:eastAsia="Calibri" w:cs="Calibri"/>
      <w:sz w:val="24"/>
      <w:szCs w:val="24"/>
    </w:rPr>
  </w:style>
  <w:style w:type="character" w:styleId="WWCharLFO51LVL9" w:customStyle="1">
    <w:name w:val="WW_CharLFO51LVL9"/>
    <w:qFormat/>
    <w:rPr>
      <w:rFonts w:ascii="Calibri" w:hAnsi="Calibri" w:eastAsia="Calibri" w:cs="Calibri"/>
      <w:sz w:val="20"/>
      <w:szCs w:val="20"/>
    </w:rPr>
  </w:style>
  <w:style w:type="character" w:styleId="WWCharLFO51LVL8" w:customStyle="1">
    <w:name w:val="WW_CharLFO51LVL8"/>
    <w:qFormat/>
    <w:rPr>
      <w:rFonts w:ascii="Calibri" w:hAnsi="Calibri" w:eastAsia="Calibri" w:cs="Calibri"/>
      <w:sz w:val="20"/>
      <w:szCs w:val="20"/>
    </w:rPr>
  </w:style>
  <w:style w:type="character" w:styleId="WWCharLFO51LVL7" w:customStyle="1">
    <w:name w:val="WW_CharLFO51LVL7"/>
    <w:qFormat/>
    <w:rPr>
      <w:rFonts w:ascii="Calibri" w:hAnsi="Calibri" w:eastAsia="Calibri" w:cs="Calibri"/>
      <w:sz w:val="20"/>
      <w:szCs w:val="20"/>
    </w:rPr>
  </w:style>
  <w:style w:type="character" w:styleId="WWCharLFO51LVL6" w:customStyle="1">
    <w:name w:val="WW_CharLFO51LVL6"/>
    <w:qFormat/>
    <w:rPr>
      <w:rFonts w:ascii="Calibri" w:hAnsi="Calibri" w:eastAsia="Calibri" w:cs="Calibri"/>
      <w:sz w:val="20"/>
      <w:szCs w:val="20"/>
    </w:rPr>
  </w:style>
  <w:style w:type="character" w:styleId="WWCharLFO51LVL5" w:customStyle="1">
    <w:name w:val="WW_CharLFO51LVL5"/>
    <w:qFormat/>
    <w:rPr>
      <w:rFonts w:ascii="Calibri" w:hAnsi="Calibri" w:eastAsia="Calibri" w:cs="Calibri"/>
      <w:sz w:val="20"/>
      <w:szCs w:val="20"/>
    </w:rPr>
  </w:style>
  <w:style w:type="character" w:styleId="WWCharLFO51LVL4" w:customStyle="1">
    <w:name w:val="WW_CharLFO51LVL4"/>
    <w:qFormat/>
    <w:rPr>
      <w:rFonts w:ascii="Calibri" w:hAnsi="Calibri" w:eastAsia="Calibri" w:cs="Calibri"/>
      <w:sz w:val="20"/>
      <w:szCs w:val="20"/>
    </w:rPr>
  </w:style>
  <w:style w:type="character" w:styleId="WWCharLFO51LVL3" w:customStyle="1">
    <w:name w:val="WW_CharLFO51LVL3"/>
    <w:qFormat/>
    <w:rPr>
      <w:rFonts w:ascii="Calibri" w:hAnsi="Calibri" w:eastAsia="Calibri" w:cs="Calibri"/>
      <w:sz w:val="20"/>
      <w:szCs w:val="20"/>
    </w:rPr>
  </w:style>
  <w:style w:type="character" w:styleId="WWCharLFO51LVL2" w:customStyle="1">
    <w:name w:val="WW_CharLFO51LVL2"/>
    <w:qFormat/>
    <w:rPr>
      <w:rFonts w:ascii="Calibri" w:hAnsi="Calibri" w:eastAsia="Calibri" w:cs="Calibri"/>
      <w:sz w:val="20"/>
      <w:szCs w:val="20"/>
    </w:rPr>
  </w:style>
  <w:style w:type="character" w:styleId="WWCharLFO51LVL1" w:customStyle="1">
    <w:name w:val="WW_CharLFO51LVL1"/>
    <w:qFormat/>
    <w:rPr>
      <w:rFonts w:ascii="Calibri" w:hAnsi="Calibri" w:eastAsia="Calibri" w:cs="Calibri"/>
      <w:sz w:val="20"/>
      <w:szCs w:val="20"/>
    </w:rPr>
  </w:style>
  <w:style w:type="character" w:styleId="WWCharLFO48LVL9" w:customStyle="1">
    <w:name w:val="WW_CharLFO48LVL9"/>
    <w:qFormat/>
    <w:rPr>
      <w:rFonts w:ascii="Calibri" w:hAnsi="Calibri" w:eastAsia="Calibri" w:cs="Calibri"/>
      <w:sz w:val="20"/>
      <w:szCs w:val="20"/>
    </w:rPr>
  </w:style>
  <w:style w:type="character" w:styleId="WWCharLFO48LVL8" w:customStyle="1">
    <w:name w:val="WW_CharLFO48LVL8"/>
    <w:qFormat/>
    <w:rPr>
      <w:rFonts w:ascii="Calibri" w:hAnsi="Calibri" w:eastAsia="Calibri" w:cs="Calibri"/>
      <w:sz w:val="20"/>
      <w:szCs w:val="20"/>
    </w:rPr>
  </w:style>
  <w:style w:type="character" w:styleId="WWCharLFO48LVL7" w:customStyle="1">
    <w:name w:val="WW_CharLFO48LVL7"/>
    <w:qFormat/>
    <w:rPr>
      <w:rFonts w:ascii="Calibri" w:hAnsi="Calibri" w:eastAsia="Calibri" w:cs="Calibri"/>
      <w:sz w:val="20"/>
      <w:szCs w:val="20"/>
    </w:rPr>
  </w:style>
  <w:style w:type="character" w:styleId="WWCharLFO48LVL6" w:customStyle="1">
    <w:name w:val="WW_CharLFO48LVL6"/>
    <w:qFormat/>
    <w:rPr>
      <w:rFonts w:ascii="Calibri" w:hAnsi="Calibri" w:eastAsia="Calibri" w:cs="Calibri"/>
      <w:sz w:val="20"/>
      <w:szCs w:val="20"/>
    </w:rPr>
  </w:style>
  <w:style w:type="character" w:styleId="WWCharLFO48LVL5" w:customStyle="1">
    <w:name w:val="WW_CharLFO48LVL5"/>
    <w:qFormat/>
    <w:rPr>
      <w:rFonts w:ascii="Calibri" w:hAnsi="Calibri" w:eastAsia="Calibri" w:cs="Calibri"/>
      <w:sz w:val="20"/>
      <w:szCs w:val="20"/>
    </w:rPr>
  </w:style>
  <w:style w:type="character" w:styleId="WWCharLFO48LVL4" w:customStyle="1">
    <w:name w:val="WW_CharLFO48LVL4"/>
    <w:qFormat/>
    <w:rPr>
      <w:rFonts w:ascii="Calibri" w:hAnsi="Calibri" w:eastAsia="Calibri" w:cs="Calibri"/>
      <w:sz w:val="20"/>
      <w:szCs w:val="20"/>
    </w:rPr>
  </w:style>
  <w:style w:type="character" w:styleId="WWCharLFO48LVL3" w:customStyle="1">
    <w:name w:val="WW_CharLFO48LVL3"/>
    <w:qFormat/>
    <w:rPr>
      <w:rFonts w:ascii="Calibri" w:hAnsi="Calibri" w:eastAsia="Calibri" w:cs="Calibri"/>
      <w:sz w:val="20"/>
      <w:szCs w:val="20"/>
    </w:rPr>
  </w:style>
  <w:style w:type="character" w:styleId="WWCharLFO48LVL2" w:customStyle="1">
    <w:name w:val="WW_CharLFO48LVL2"/>
    <w:qFormat/>
    <w:rPr>
      <w:rFonts w:ascii="Calibri" w:hAnsi="Calibri" w:eastAsia="Calibri" w:cs="Calibri"/>
      <w:sz w:val="20"/>
      <w:szCs w:val="20"/>
    </w:rPr>
  </w:style>
  <w:style w:type="character" w:styleId="WWCharLFO48LVL1" w:customStyle="1">
    <w:name w:val="WW_CharLFO48LVL1"/>
    <w:qFormat/>
    <w:rPr>
      <w:rFonts w:ascii="Calibri" w:hAnsi="Calibri" w:eastAsia="Calibri" w:cs="Calibri"/>
      <w:sz w:val="20"/>
      <w:szCs w:val="20"/>
    </w:rPr>
  </w:style>
  <w:style w:type="character" w:styleId="WWCharLFO46LVL9" w:customStyle="1">
    <w:name w:val="WW_CharLFO46LVL9"/>
    <w:qFormat/>
    <w:rPr>
      <w:rFonts w:ascii="Calibri" w:hAnsi="Calibri" w:eastAsia="Calibri" w:cs="Calibri"/>
      <w:sz w:val="20"/>
      <w:szCs w:val="20"/>
    </w:rPr>
  </w:style>
  <w:style w:type="character" w:styleId="WWCharLFO46LVL8" w:customStyle="1">
    <w:name w:val="WW_CharLFO46LVL8"/>
    <w:qFormat/>
    <w:rPr>
      <w:rFonts w:ascii="Calibri" w:hAnsi="Calibri" w:eastAsia="Calibri" w:cs="Calibri"/>
      <w:sz w:val="20"/>
      <w:szCs w:val="20"/>
    </w:rPr>
  </w:style>
  <w:style w:type="character" w:styleId="WWCharLFO46LVL7" w:customStyle="1">
    <w:name w:val="WW_CharLFO46LVL7"/>
    <w:qFormat/>
    <w:rPr>
      <w:rFonts w:ascii="Calibri" w:hAnsi="Calibri" w:eastAsia="Calibri" w:cs="Calibri"/>
      <w:sz w:val="20"/>
      <w:szCs w:val="20"/>
    </w:rPr>
  </w:style>
  <w:style w:type="character" w:styleId="WWCharLFO46LVL6" w:customStyle="1">
    <w:name w:val="WW_CharLFO46LVL6"/>
    <w:qFormat/>
    <w:rPr>
      <w:rFonts w:ascii="Calibri" w:hAnsi="Calibri" w:eastAsia="Calibri" w:cs="Calibri"/>
      <w:sz w:val="20"/>
      <w:szCs w:val="20"/>
    </w:rPr>
  </w:style>
  <w:style w:type="character" w:styleId="WWCharLFO46LVL5" w:customStyle="1">
    <w:name w:val="WW_CharLFO46LVL5"/>
    <w:qFormat/>
    <w:rPr>
      <w:rFonts w:ascii="Calibri" w:hAnsi="Calibri" w:eastAsia="Calibri" w:cs="Calibri"/>
      <w:sz w:val="20"/>
      <w:szCs w:val="20"/>
    </w:rPr>
  </w:style>
  <w:style w:type="character" w:styleId="WWCharLFO46LVL4" w:customStyle="1">
    <w:name w:val="WW_CharLFO46LVL4"/>
    <w:qFormat/>
    <w:rPr>
      <w:rFonts w:ascii="Calibri" w:hAnsi="Calibri" w:eastAsia="Calibri" w:cs="Calibri"/>
      <w:sz w:val="20"/>
      <w:szCs w:val="20"/>
    </w:rPr>
  </w:style>
  <w:style w:type="character" w:styleId="WWCharLFO46LVL3" w:customStyle="1">
    <w:name w:val="WW_CharLFO46LVL3"/>
    <w:qFormat/>
    <w:rPr>
      <w:rFonts w:ascii="Calibri" w:hAnsi="Calibri" w:eastAsia="Calibri" w:cs="Calibri"/>
      <w:sz w:val="20"/>
      <w:szCs w:val="20"/>
    </w:rPr>
  </w:style>
  <w:style w:type="character" w:styleId="WWCharLFO46LVL2" w:customStyle="1">
    <w:name w:val="WW_CharLFO46LVL2"/>
    <w:qFormat/>
    <w:rPr>
      <w:rFonts w:ascii="Calibri" w:hAnsi="Calibri" w:eastAsia="Calibri" w:cs="Calibri"/>
      <w:sz w:val="20"/>
      <w:szCs w:val="20"/>
    </w:rPr>
  </w:style>
  <w:style w:type="character" w:styleId="WWCharLFO46LVL1" w:customStyle="1">
    <w:name w:val="WW_CharLFO46LVL1"/>
    <w:qFormat/>
    <w:rPr>
      <w:rFonts w:ascii="Calibri" w:hAnsi="Calibri" w:eastAsia="Calibri" w:cs="Calibri"/>
      <w:sz w:val="20"/>
      <w:szCs w:val="20"/>
    </w:rPr>
  </w:style>
  <w:style w:type="character" w:styleId="WWCharLFO44LVL9" w:customStyle="1">
    <w:name w:val="WW_CharLFO44LVL9"/>
    <w:qFormat/>
    <w:rPr>
      <w:rFonts w:ascii="Calibri" w:hAnsi="Calibri" w:eastAsia="Calibri" w:cs="Calibri"/>
      <w:sz w:val="20"/>
      <w:szCs w:val="20"/>
    </w:rPr>
  </w:style>
  <w:style w:type="character" w:styleId="WWCharLFO44LVL8" w:customStyle="1">
    <w:name w:val="WW_CharLFO44LVL8"/>
    <w:qFormat/>
    <w:rPr>
      <w:rFonts w:ascii="Calibri" w:hAnsi="Calibri" w:eastAsia="Calibri" w:cs="Calibri"/>
      <w:sz w:val="20"/>
      <w:szCs w:val="20"/>
    </w:rPr>
  </w:style>
  <w:style w:type="character" w:styleId="WWCharLFO44LVL7" w:customStyle="1">
    <w:name w:val="WW_CharLFO44LVL7"/>
    <w:qFormat/>
    <w:rPr>
      <w:rFonts w:ascii="Calibri" w:hAnsi="Calibri" w:eastAsia="Calibri" w:cs="Calibri"/>
      <w:sz w:val="20"/>
      <w:szCs w:val="20"/>
    </w:rPr>
  </w:style>
  <w:style w:type="character" w:styleId="WWCharLFO44LVL6" w:customStyle="1">
    <w:name w:val="WW_CharLFO44LVL6"/>
    <w:qFormat/>
    <w:rPr>
      <w:rFonts w:ascii="Calibri" w:hAnsi="Calibri" w:eastAsia="Calibri" w:cs="Calibri"/>
      <w:sz w:val="20"/>
      <w:szCs w:val="20"/>
    </w:rPr>
  </w:style>
  <w:style w:type="character" w:styleId="WWCharLFO44LVL5" w:customStyle="1">
    <w:name w:val="WW_CharLFO44LVL5"/>
    <w:qFormat/>
    <w:rPr>
      <w:rFonts w:ascii="Calibri" w:hAnsi="Calibri" w:eastAsia="Calibri" w:cs="Calibri"/>
      <w:sz w:val="20"/>
      <w:szCs w:val="20"/>
    </w:rPr>
  </w:style>
  <w:style w:type="character" w:styleId="WWCharLFO44LVL4" w:customStyle="1">
    <w:name w:val="WW_CharLFO44LVL4"/>
    <w:qFormat/>
    <w:rPr>
      <w:rFonts w:ascii="Calibri" w:hAnsi="Calibri" w:eastAsia="Calibri" w:cs="Calibri"/>
      <w:sz w:val="20"/>
      <w:szCs w:val="20"/>
    </w:rPr>
  </w:style>
  <w:style w:type="character" w:styleId="WWCharLFO44LVL3" w:customStyle="1">
    <w:name w:val="WW_CharLFO44LVL3"/>
    <w:qFormat/>
    <w:rPr>
      <w:rFonts w:ascii="Calibri" w:hAnsi="Calibri" w:eastAsia="Calibri" w:cs="Calibri"/>
      <w:sz w:val="20"/>
      <w:szCs w:val="20"/>
    </w:rPr>
  </w:style>
  <w:style w:type="character" w:styleId="WWCharLFO44LVL2" w:customStyle="1">
    <w:name w:val="WW_CharLFO44LVL2"/>
    <w:qFormat/>
    <w:rPr>
      <w:rFonts w:ascii="Calibri" w:hAnsi="Calibri" w:eastAsia="Calibri" w:cs="Calibri"/>
      <w:sz w:val="20"/>
      <w:szCs w:val="20"/>
    </w:rPr>
  </w:style>
  <w:style w:type="character" w:styleId="WWCharLFO44LVL1" w:customStyle="1">
    <w:name w:val="WW_CharLFO44LVL1"/>
    <w:qFormat/>
    <w:rPr>
      <w:rFonts w:ascii="Calibri" w:hAnsi="Calibri" w:eastAsia="Calibri" w:cs="Calibri"/>
      <w:sz w:val="20"/>
      <w:szCs w:val="20"/>
    </w:rPr>
  </w:style>
  <w:style w:type="character" w:styleId="WWCharLFO43LVL9" w:customStyle="1">
    <w:name w:val="WW_CharLFO43LVL9"/>
    <w:qFormat/>
    <w:rPr>
      <w:rFonts w:ascii="Calibri" w:hAnsi="Calibri" w:eastAsia="Calibri" w:cs="Calibri"/>
      <w:sz w:val="20"/>
      <w:szCs w:val="20"/>
    </w:rPr>
  </w:style>
  <w:style w:type="character" w:styleId="WWCharLFO43LVL8" w:customStyle="1">
    <w:name w:val="WW_CharLFO43LVL8"/>
    <w:qFormat/>
    <w:rPr>
      <w:rFonts w:ascii="Calibri" w:hAnsi="Calibri" w:eastAsia="Calibri" w:cs="Calibri"/>
      <w:sz w:val="20"/>
      <w:szCs w:val="20"/>
    </w:rPr>
  </w:style>
  <w:style w:type="character" w:styleId="WWCharLFO43LVL7" w:customStyle="1">
    <w:name w:val="WW_CharLFO43LVL7"/>
    <w:qFormat/>
    <w:rPr>
      <w:rFonts w:ascii="Calibri" w:hAnsi="Calibri" w:eastAsia="Calibri" w:cs="Calibri"/>
      <w:sz w:val="20"/>
      <w:szCs w:val="20"/>
    </w:rPr>
  </w:style>
  <w:style w:type="character" w:styleId="WWCharLFO43LVL6" w:customStyle="1">
    <w:name w:val="WW_CharLFO43LVL6"/>
    <w:qFormat/>
    <w:rPr>
      <w:rFonts w:ascii="Calibri" w:hAnsi="Calibri" w:eastAsia="Calibri" w:cs="Calibri"/>
      <w:sz w:val="20"/>
      <w:szCs w:val="20"/>
    </w:rPr>
  </w:style>
  <w:style w:type="character" w:styleId="WWCharLFO43LVL5" w:customStyle="1">
    <w:name w:val="WW_CharLFO43LVL5"/>
    <w:qFormat/>
    <w:rPr>
      <w:rFonts w:ascii="Calibri" w:hAnsi="Calibri" w:eastAsia="Calibri" w:cs="Calibri"/>
      <w:sz w:val="20"/>
      <w:szCs w:val="20"/>
    </w:rPr>
  </w:style>
  <w:style w:type="character" w:styleId="WWCharLFO43LVL4" w:customStyle="1">
    <w:name w:val="WW_CharLFO43LVL4"/>
    <w:qFormat/>
    <w:rPr>
      <w:rFonts w:ascii="Calibri" w:hAnsi="Calibri" w:eastAsia="Calibri" w:cs="Calibri"/>
      <w:sz w:val="20"/>
      <w:szCs w:val="20"/>
    </w:rPr>
  </w:style>
  <w:style w:type="character" w:styleId="WWCharLFO43LVL3" w:customStyle="1">
    <w:name w:val="WW_CharLFO43LVL3"/>
    <w:qFormat/>
    <w:rPr>
      <w:rFonts w:ascii="Calibri" w:hAnsi="Calibri" w:eastAsia="Calibri" w:cs="Calibri"/>
      <w:sz w:val="20"/>
      <w:szCs w:val="20"/>
    </w:rPr>
  </w:style>
  <w:style w:type="character" w:styleId="WWCharLFO43LVL2" w:customStyle="1">
    <w:name w:val="WW_CharLFO43LVL2"/>
    <w:qFormat/>
    <w:rPr>
      <w:rFonts w:ascii="Calibri" w:hAnsi="Calibri" w:eastAsia="Calibri" w:cs="Calibri"/>
      <w:sz w:val="20"/>
      <w:szCs w:val="20"/>
    </w:rPr>
  </w:style>
  <w:style w:type="character" w:styleId="WWCharLFO43LVL1" w:customStyle="1">
    <w:name w:val="WW_CharLFO43LVL1"/>
    <w:qFormat/>
    <w:rPr>
      <w:rFonts w:ascii="Calibri" w:hAnsi="Calibri" w:eastAsia="Calibri" w:cs="Calibri"/>
      <w:sz w:val="20"/>
      <w:szCs w:val="20"/>
    </w:rPr>
  </w:style>
  <w:style w:type="character" w:styleId="WWCharOUTLINELVL9" w:customStyle="1">
    <w:name w:val="WW_CharOUTLINELVL9"/>
    <w:qFormat/>
    <w:rPr>
      <w:b/>
      <w:color w:val="158466"/>
      <w:sz w:val="20"/>
    </w:rPr>
  </w:style>
  <w:style w:type="character" w:styleId="TekstkomentarzaZnak4" w:customStyle="1">
    <w:name w:val="Tekst komentarza Znak4"/>
    <w:qFormat/>
    <w:rPr>
      <w:rFonts w:ascii="Arial" w:hAnsi="Arial" w:eastAsia="Arial" w:cs="Mangal;Courier New"/>
      <w:szCs w:val="18"/>
      <w:lang w:eastAsia="zh-CN" w:bidi="hi-IN"/>
    </w:rPr>
  </w:style>
  <w:style w:type="character" w:styleId="Odwoaniedokomentarza5" w:customStyle="1">
    <w:name w:val="Odwołanie do komentarza5"/>
    <w:qFormat/>
    <w:rPr>
      <w:sz w:val="16"/>
      <w:szCs w:val="16"/>
    </w:rPr>
  </w:style>
  <w:style w:type="character" w:styleId="TekstkomentarzaZnak3" w:customStyle="1">
    <w:name w:val="Tekst komentarza Znak3"/>
    <w:qFormat/>
    <w:rPr>
      <w:rFonts w:ascii="Arial" w:hAnsi="Arial" w:eastAsia="Arial" w:cs="Mangal;Courier New"/>
      <w:szCs w:val="18"/>
      <w:lang w:eastAsia="zh-CN" w:bidi="hi-IN"/>
    </w:rPr>
  </w:style>
  <w:style w:type="character" w:styleId="Odwoaniedokomentarza4" w:customStyle="1">
    <w:name w:val="Odwołanie do komentarza4"/>
    <w:qFormat/>
    <w:rPr>
      <w:sz w:val="16"/>
      <w:szCs w:val="16"/>
    </w:rPr>
  </w:style>
  <w:style w:type="character" w:styleId="TekstkomentarzaZnak2" w:customStyle="1">
    <w:name w:val="Tekst komentarza Znak2"/>
    <w:qFormat/>
    <w:rPr>
      <w:rFonts w:ascii="Arial" w:hAnsi="Arial" w:eastAsia="Arial" w:cs="Mangal;Courier New"/>
      <w:szCs w:val="18"/>
      <w:lang w:eastAsia="zh-CN" w:bidi="hi-IN"/>
    </w:rPr>
  </w:style>
  <w:style w:type="character" w:styleId="WW8Num63z8" w:customStyle="1">
    <w:name w:val="WW8Num63z8"/>
    <w:qFormat/>
    <w:rPr/>
  </w:style>
  <w:style w:type="character" w:styleId="WW8Num63z7" w:customStyle="1">
    <w:name w:val="WW8Num63z7"/>
    <w:qFormat/>
    <w:rPr/>
  </w:style>
  <w:style w:type="character" w:styleId="WW8Num63z6" w:customStyle="1">
    <w:name w:val="WW8Num63z6"/>
    <w:qFormat/>
    <w:rPr/>
  </w:style>
  <w:style w:type="character" w:styleId="WW8Num63z5" w:customStyle="1">
    <w:name w:val="WW8Num63z5"/>
    <w:qFormat/>
    <w:rPr/>
  </w:style>
  <w:style w:type="character" w:styleId="WW8Num63z4" w:customStyle="1">
    <w:name w:val="WW8Num63z4"/>
    <w:qFormat/>
    <w:rPr/>
  </w:style>
  <w:style w:type="character" w:styleId="WW8Num63z3" w:customStyle="1">
    <w:name w:val="WW8Num63z3"/>
    <w:qFormat/>
    <w:rPr/>
  </w:style>
  <w:style w:type="character" w:styleId="WW8Num62z8" w:customStyle="1">
    <w:name w:val="WW8Num62z8"/>
    <w:qFormat/>
    <w:rPr/>
  </w:style>
  <w:style w:type="character" w:styleId="WW8Num62z7" w:customStyle="1">
    <w:name w:val="WW8Num62z7"/>
    <w:qFormat/>
    <w:rPr/>
  </w:style>
  <w:style w:type="character" w:styleId="WW8Num62z6" w:customStyle="1">
    <w:name w:val="WW8Num62z6"/>
    <w:qFormat/>
    <w:rPr/>
  </w:style>
  <w:style w:type="character" w:styleId="WW8Num62z5" w:customStyle="1">
    <w:name w:val="WW8Num62z5"/>
    <w:qFormat/>
    <w:rPr/>
  </w:style>
  <w:style w:type="character" w:styleId="WW8Num62z4" w:customStyle="1">
    <w:name w:val="WW8Num62z4"/>
    <w:qFormat/>
    <w:rPr/>
  </w:style>
  <w:style w:type="character" w:styleId="WW8Num62z3" w:customStyle="1">
    <w:name w:val="WW8Num62z3"/>
    <w:qFormat/>
    <w:rPr/>
  </w:style>
  <w:style w:type="character" w:styleId="WW8Num62z2" w:customStyle="1">
    <w:name w:val="WW8Num62z2"/>
    <w:qFormat/>
    <w:rPr/>
  </w:style>
  <w:style w:type="character" w:styleId="WW8Num60z8" w:customStyle="1">
    <w:name w:val="WW8Num60z8"/>
    <w:qFormat/>
    <w:rPr/>
  </w:style>
  <w:style w:type="character" w:styleId="WW8Num60z7" w:customStyle="1">
    <w:name w:val="WW8Num60z7"/>
    <w:qFormat/>
    <w:rPr/>
  </w:style>
  <w:style w:type="character" w:styleId="WW8Num60z6" w:customStyle="1">
    <w:name w:val="WW8Num60z6"/>
    <w:qFormat/>
    <w:rPr/>
  </w:style>
  <w:style w:type="character" w:styleId="WW8Num60z4" w:customStyle="1">
    <w:name w:val="WW8Num60z4"/>
    <w:qFormat/>
    <w:rPr/>
  </w:style>
  <w:style w:type="character" w:styleId="WW8Num60z3" w:customStyle="1">
    <w:name w:val="WW8Num60z3"/>
    <w:qFormat/>
    <w:rPr/>
  </w:style>
  <w:style w:type="character" w:styleId="WW8Num58z8" w:customStyle="1">
    <w:name w:val="WW8Num58z8"/>
    <w:qFormat/>
    <w:rPr/>
  </w:style>
  <w:style w:type="character" w:styleId="WW8Num58z7" w:customStyle="1">
    <w:name w:val="WW8Num58z7"/>
    <w:qFormat/>
    <w:rPr/>
  </w:style>
  <w:style w:type="character" w:styleId="WW8Num58z6" w:customStyle="1">
    <w:name w:val="WW8Num58z6"/>
    <w:qFormat/>
    <w:rPr/>
  </w:style>
  <w:style w:type="character" w:styleId="WW8Num58z4" w:customStyle="1">
    <w:name w:val="WW8Num58z4"/>
    <w:qFormat/>
    <w:rPr/>
  </w:style>
  <w:style w:type="character" w:styleId="WW8Num71z8" w:customStyle="1">
    <w:name w:val="WW8Num71z8"/>
    <w:qFormat/>
    <w:rPr/>
  </w:style>
  <w:style w:type="character" w:styleId="WW8Num71z7" w:customStyle="1">
    <w:name w:val="WW8Num71z7"/>
    <w:qFormat/>
    <w:rPr/>
  </w:style>
  <w:style w:type="character" w:styleId="WW8Num71z6" w:customStyle="1">
    <w:name w:val="WW8Num71z6"/>
    <w:qFormat/>
    <w:rPr/>
  </w:style>
  <w:style w:type="character" w:styleId="WW8Num71z5" w:customStyle="1">
    <w:name w:val="WW8Num71z5"/>
    <w:qFormat/>
    <w:rPr/>
  </w:style>
  <w:style w:type="character" w:styleId="WW8Num71z4" w:customStyle="1">
    <w:name w:val="WW8Num71z4"/>
    <w:qFormat/>
    <w:rPr/>
  </w:style>
  <w:style w:type="character" w:styleId="WW8Num71z3" w:customStyle="1">
    <w:name w:val="WW8Num71z3"/>
    <w:qFormat/>
    <w:rPr/>
  </w:style>
  <w:style w:type="character" w:styleId="WW8Num71z2" w:customStyle="1">
    <w:name w:val="WW8Num71z2"/>
    <w:qFormat/>
    <w:rPr/>
  </w:style>
  <w:style w:type="character" w:styleId="WW8Num71z1" w:customStyle="1">
    <w:name w:val="WW8Num71z1"/>
    <w:qFormat/>
    <w:rPr/>
  </w:style>
  <w:style w:type="character" w:styleId="WW8Num71z0" w:customStyle="1">
    <w:name w:val="WW8Num71z0"/>
    <w:qFormat/>
    <w:rPr>
      <w:rFonts w:ascii="Arial" w:hAnsi="Arial" w:eastAsia="Times New Roman" w:cs="Arial"/>
      <w:sz w:val="22"/>
      <w:szCs w:val="22"/>
    </w:rPr>
  </w:style>
  <w:style w:type="character" w:styleId="WW8Num70z8" w:customStyle="1">
    <w:name w:val="WW8Num70z8"/>
    <w:qFormat/>
    <w:rPr/>
  </w:style>
  <w:style w:type="character" w:styleId="WW8Num70z7" w:customStyle="1">
    <w:name w:val="WW8Num70z7"/>
    <w:qFormat/>
    <w:rPr/>
  </w:style>
  <w:style w:type="character" w:styleId="WW8Num70z6" w:customStyle="1">
    <w:name w:val="WW8Num70z6"/>
    <w:qFormat/>
    <w:rPr/>
  </w:style>
  <w:style w:type="character" w:styleId="WW8Num70z5" w:customStyle="1">
    <w:name w:val="WW8Num70z5"/>
    <w:qFormat/>
    <w:rPr/>
  </w:style>
  <w:style w:type="character" w:styleId="WW8Num70z4" w:customStyle="1">
    <w:name w:val="WW8Num70z4"/>
    <w:qFormat/>
    <w:rPr/>
  </w:style>
  <w:style w:type="character" w:styleId="WW8Num70z3" w:customStyle="1">
    <w:name w:val="WW8Num70z3"/>
    <w:qFormat/>
    <w:rPr/>
  </w:style>
  <w:style w:type="character" w:styleId="WW8Num70z2" w:customStyle="1">
    <w:name w:val="WW8Num70z2"/>
    <w:qFormat/>
    <w:rPr/>
  </w:style>
  <w:style w:type="character" w:styleId="WW8Num70z1" w:customStyle="1">
    <w:name w:val="WW8Num70z1"/>
    <w:qFormat/>
    <w:rPr/>
  </w:style>
  <w:style w:type="character" w:styleId="WW8Num70z0" w:customStyle="1">
    <w:name w:val="WW8Num70z0"/>
    <w:qFormat/>
    <w:rPr>
      <w:rFonts w:ascii="Arial" w:hAnsi="Arial" w:cs="Arial"/>
      <w:bCs/>
      <w:iCs/>
      <w:sz w:val="22"/>
      <w:szCs w:val="22"/>
    </w:rPr>
  </w:style>
  <w:style w:type="character" w:styleId="WW8Num69z1" w:customStyle="1">
    <w:name w:val="WW8Num69z1"/>
    <w:qFormat/>
    <w:rPr>
      <w:rFonts w:ascii="Calibri" w:hAnsi="Calibri" w:eastAsia="Calibri" w:cs="Calibri"/>
      <w:sz w:val="20"/>
      <w:szCs w:val="20"/>
    </w:rPr>
  </w:style>
  <w:style w:type="character" w:styleId="WW8Num69z0" w:customStyle="1">
    <w:name w:val="WW8Num69z0"/>
    <w:qFormat/>
    <w:rPr>
      <w:rFonts w:ascii="Arial" w:hAnsi="Arial" w:eastAsia="Calibri" w:cs="Arial"/>
      <w:b/>
      <w:sz w:val="22"/>
      <w:szCs w:val="22"/>
    </w:rPr>
  </w:style>
  <w:style w:type="character" w:styleId="WW8Num68z8" w:customStyle="1">
    <w:name w:val="WW8Num68z8"/>
    <w:qFormat/>
    <w:rPr/>
  </w:style>
  <w:style w:type="character" w:styleId="WW8Num68z7" w:customStyle="1">
    <w:name w:val="WW8Num68z7"/>
    <w:qFormat/>
    <w:rPr/>
  </w:style>
  <w:style w:type="character" w:styleId="WW8Num68z6" w:customStyle="1">
    <w:name w:val="WW8Num68z6"/>
    <w:qFormat/>
    <w:rPr/>
  </w:style>
  <w:style w:type="character" w:styleId="WW8Num68z5" w:customStyle="1">
    <w:name w:val="WW8Num68z5"/>
    <w:qFormat/>
    <w:rPr/>
  </w:style>
  <w:style w:type="character" w:styleId="WW8Num68z4" w:customStyle="1">
    <w:name w:val="WW8Num68z4"/>
    <w:qFormat/>
    <w:rPr/>
  </w:style>
  <w:style w:type="character" w:styleId="WW8Num68z3" w:customStyle="1">
    <w:name w:val="WW8Num68z3"/>
    <w:qFormat/>
    <w:rPr/>
  </w:style>
  <w:style w:type="character" w:styleId="WW8Num68z2" w:customStyle="1">
    <w:name w:val="WW8Num68z2"/>
    <w:qFormat/>
    <w:rPr/>
  </w:style>
  <w:style w:type="character" w:styleId="WW8Num68z1" w:customStyle="1">
    <w:name w:val="WW8Num68z1"/>
    <w:qFormat/>
    <w:rPr/>
  </w:style>
  <w:style w:type="character" w:styleId="WW8Num60z5" w:customStyle="1">
    <w:name w:val="WW8Num60z5"/>
    <w:qFormat/>
    <w:rPr>
      <w:rFonts w:eastAsia="Arial" w:cs="Arial"/>
      <w:sz w:val="22"/>
    </w:rPr>
  </w:style>
  <w:style w:type="character" w:styleId="WW8Num58z3" w:customStyle="1">
    <w:name w:val="WW8Num58z3"/>
    <w:qFormat/>
    <w:rPr>
      <w:sz w:val="22"/>
    </w:rPr>
  </w:style>
  <w:style w:type="character" w:styleId="WW8Num57z5" w:customStyle="1">
    <w:name w:val="WW8Num57z5"/>
    <w:qFormat/>
    <w:rPr>
      <w:rFonts w:eastAsia="Arial" w:cs="Arial"/>
      <w:sz w:val="22"/>
    </w:rPr>
  </w:style>
  <w:style w:type="character" w:styleId="WW8Num57z2" w:customStyle="1">
    <w:name w:val="WW8Num57z2"/>
    <w:qFormat/>
    <w:rPr>
      <w:sz w:val="22"/>
    </w:rPr>
  </w:style>
  <w:style w:type="character" w:styleId="WW8Num56z8" w:customStyle="1">
    <w:name w:val="WW8Num56z8"/>
    <w:qFormat/>
    <w:rPr/>
  </w:style>
  <w:style w:type="character" w:styleId="WW8Num56z7" w:customStyle="1">
    <w:name w:val="WW8Num56z7"/>
    <w:qFormat/>
    <w:rPr/>
  </w:style>
  <w:style w:type="character" w:styleId="WW8Num56z6" w:customStyle="1">
    <w:name w:val="WW8Num56z6"/>
    <w:qFormat/>
    <w:rPr/>
  </w:style>
  <w:style w:type="character" w:styleId="WW8Num56z5" w:customStyle="1">
    <w:name w:val="WW8Num56z5"/>
    <w:qFormat/>
    <w:rPr/>
  </w:style>
  <w:style w:type="character" w:styleId="WW8Num56z4" w:customStyle="1">
    <w:name w:val="WW8Num56z4"/>
    <w:qFormat/>
    <w:rPr/>
  </w:style>
  <w:style w:type="character" w:styleId="WW8Num56z3" w:customStyle="1">
    <w:name w:val="WW8Num56z3"/>
    <w:qFormat/>
    <w:rPr/>
  </w:style>
  <w:style w:type="character" w:styleId="WW8Num56z2" w:customStyle="1">
    <w:name w:val="WW8Num56z2"/>
    <w:qFormat/>
    <w:rPr/>
  </w:style>
  <w:style w:type="character" w:styleId="WW8Num56z1" w:customStyle="1">
    <w:name w:val="WW8Num56z1"/>
    <w:qFormat/>
    <w:rPr/>
  </w:style>
  <w:style w:type="character" w:styleId="WW8Num23z8" w:customStyle="1">
    <w:name w:val="WW8Num23z8"/>
    <w:qFormat/>
    <w:rPr/>
  </w:style>
  <w:style w:type="character" w:styleId="WW8Num23z7" w:customStyle="1">
    <w:name w:val="WW8Num23z7"/>
    <w:qFormat/>
    <w:rPr/>
  </w:style>
  <w:style w:type="character" w:styleId="WW8Num23z6" w:customStyle="1">
    <w:name w:val="WW8Num23z6"/>
    <w:qFormat/>
    <w:rPr/>
  </w:style>
  <w:style w:type="character" w:styleId="WW8Num23z4" w:customStyle="1">
    <w:name w:val="WW8Num23z4"/>
    <w:qFormat/>
    <w:rPr/>
  </w:style>
  <w:style w:type="character" w:styleId="WW8Num23z3" w:customStyle="1">
    <w:name w:val="WW8Num23z3"/>
    <w:qFormat/>
    <w:rPr/>
  </w:style>
  <w:style w:type="character" w:styleId="WW8Num17z8" w:customStyle="1">
    <w:name w:val="WW8Num17z8"/>
    <w:qFormat/>
    <w:rPr/>
  </w:style>
  <w:style w:type="character" w:styleId="WW8Num17z7" w:customStyle="1">
    <w:name w:val="WW8Num17z7"/>
    <w:qFormat/>
    <w:rPr/>
  </w:style>
  <w:style w:type="character" w:styleId="WW8Num17z6" w:customStyle="1">
    <w:name w:val="WW8Num17z6"/>
    <w:qFormat/>
    <w:rPr/>
  </w:style>
  <w:style w:type="character" w:styleId="WW8Num17z4" w:customStyle="1">
    <w:name w:val="WW8Num17z4"/>
    <w:qFormat/>
    <w:rPr/>
  </w:style>
  <w:style w:type="character" w:styleId="WW8Num11z8" w:customStyle="1">
    <w:name w:val="WW8Num11z8"/>
    <w:qFormat/>
    <w:rPr/>
  </w:style>
  <w:style w:type="character" w:styleId="WW8Num11z7" w:customStyle="1">
    <w:name w:val="WW8Num11z7"/>
    <w:qFormat/>
    <w:rPr/>
  </w:style>
  <w:style w:type="character" w:styleId="WW8Num11z6" w:customStyle="1">
    <w:name w:val="WW8Num11z6"/>
    <w:qFormat/>
    <w:rPr/>
  </w:style>
  <w:style w:type="character" w:styleId="WW8Num11z4" w:customStyle="1">
    <w:name w:val="WW8Num11z4"/>
    <w:qFormat/>
    <w:rPr/>
  </w:style>
  <w:style w:type="character" w:styleId="WW8Num11z3" w:customStyle="1">
    <w:name w:val="WW8Num11z3"/>
    <w:qFormat/>
    <w:rPr/>
  </w:style>
  <w:style w:type="character" w:styleId="Domylnaczcionkaakapitu11" w:customStyle="1">
    <w:name w:val="Domyślna czcionka akapitu11"/>
    <w:qFormat/>
    <w:rPr/>
  </w:style>
  <w:style w:type="character" w:styleId="WW8Num16z8" w:customStyle="1">
    <w:name w:val="WW8Num16z8"/>
    <w:qFormat/>
    <w:rPr/>
  </w:style>
  <w:style w:type="character" w:styleId="WW8Num16z7" w:customStyle="1">
    <w:name w:val="WW8Num16z7"/>
    <w:qFormat/>
    <w:rPr/>
  </w:style>
  <w:style w:type="character" w:styleId="WW8Num16z6" w:customStyle="1">
    <w:name w:val="WW8Num16z6"/>
    <w:qFormat/>
    <w:rPr/>
  </w:style>
  <w:style w:type="character" w:styleId="WW8Num16z4" w:customStyle="1">
    <w:name w:val="WW8Num16z4"/>
    <w:qFormat/>
    <w:rPr/>
  </w:style>
  <w:style w:type="character" w:styleId="WW8Num16z3" w:customStyle="1">
    <w:name w:val="WW8Num16z3"/>
    <w:qFormat/>
    <w:rPr/>
  </w:style>
  <w:style w:type="character" w:styleId="WW8Num10z8" w:customStyle="1">
    <w:name w:val="WW8Num10z8"/>
    <w:qFormat/>
    <w:rPr/>
  </w:style>
  <w:style w:type="character" w:styleId="WW8Num10z7" w:customStyle="1">
    <w:name w:val="WW8Num10z7"/>
    <w:qFormat/>
    <w:rPr/>
  </w:style>
  <w:style w:type="character" w:styleId="WW8Num10z6" w:customStyle="1">
    <w:name w:val="WW8Num10z6"/>
    <w:qFormat/>
    <w:rPr/>
  </w:style>
  <w:style w:type="character" w:styleId="WW8Num10z4" w:customStyle="1">
    <w:name w:val="WW8Num10z4"/>
    <w:qFormat/>
    <w:rPr/>
  </w:style>
  <w:style w:type="character" w:styleId="WW8Num10z3" w:customStyle="1">
    <w:name w:val="WW8Num10z3"/>
    <w:qFormat/>
    <w:rPr/>
  </w:style>
  <w:style w:type="character" w:styleId="WW8Num15z8" w:customStyle="1">
    <w:name w:val="WW8Num15z8"/>
    <w:qFormat/>
    <w:rPr/>
  </w:style>
  <w:style w:type="character" w:styleId="WW8Num15z7" w:customStyle="1">
    <w:name w:val="WW8Num15z7"/>
    <w:qFormat/>
    <w:rPr/>
  </w:style>
  <w:style w:type="character" w:styleId="WW8Num15z6" w:customStyle="1">
    <w:name w:val="WW8Num15z6"/>
    <w:qFormat/>
    <w:rPr/>
  </w:style>
  <w:style w:type="character" w:styleId="WW8Num15z4" w:customStyle="1">
    <w:name w:val="WW8Num15z4"/>
    <w:qFormat/>
    <w:rPr/>
  </w:style>
  <w:style w:type="character" w:styleId="WW8Num15z3" w:customStyle="1">
    <w:name w:val="WW8Num15z3"/>
    <w:qFormat/>
    <w:rPr/>
  </w:style>
  <w:style w:type="character" w:styleId="WW8Num14z8" w:customStyle="1">
    <w:name w:val="WW8Num14z8"/>
    <w:qFormat/>
    <w:rPr/>
  </w:style>
  <w:style w:type="character" w:styleId="WW8Num14z7" w:customStyle="1">
    <w:name w:val="WW8Num14z7"/>
    <w:qFormat/>
    <w:rPr/>
  </w:style>
  <w:style w:type="character" w:styleId="WW8Num14z6" w:customStyle="1">
    <w:name w:val="WW8Num14z6"/>
    <w:qFormat/>
    <w:rPr/>
  </w:style>
  <w:style w:type="character" w:styleId="WW8Num14z4" w:customStyle="1">
    <w:name w:val="WW8Num14z4"/>
    <w:qFormat/>
    <w:rPr/>
  </w:style>
  <w:style w:type="character" w:styleId="WW8Num14z3" w:customStyle="1">
    <w:name w:val="WW8Num14z3"/>
    <w:qFormat/>
    <w:rPr/>
  </w:style>
  <w:style w:type="character" w:styleId="WW8Num9z8" w:customStyle="1">
    <w:name w:val="WW8Num9z8"/>
    <w:qFormat/>
    <w:rPr/>
  </w:style>
  <w:style w:type="character" w:styleId="WW8Num9z7" w:customStyle="1">
    <w:name w:val="WW8Num9z7"/>
    <w:qFormat/>
    <w:rPr/>
  </w:style>
  <w:style w:type="character" w:styleId="WW8Num9z6" w:customStyle="1">
    <w:name w:val="WW8Num9z6"/>
    <w:qFormat/>
    <w:rPr/>
  </w:style>
  <w:style w:type="character" w:styleId="WW8Num9z5" w:customStyle="1">
    <w:name w:val="WW8Num9z5"/>
    <w:qFormat/>
    <w:rPr/>
  </w:style>
  <w:style w:type="character" w:styleId="WW8Num9z4" w:customStyle="1">
    <w:name w:val="WW8Num9z4"/>
    <w:qFormat/>
    <w:rPr/>
  </w:style>
  <w:style w:type="character" w:styleId="WW8Num9z3" w:customStyle="1">
    <w:name w:val="WW8Num9z3"/>
    <w:qFormat/>
    <w:rPr/>
  </w:style>
  <w:style w:type="character" w:styleId="WW8Num9z2" w:customStyle="1">
    <w:name w:val="WW8Num9z2"/>
    <w:qFormat/>
    <w:rPr/>
  </w:style>
  <w:style w:type="character" w:styleId="WW8Num4z8" w:customStyle="1">
    <w:name w:val="WW8Num4z8"/>
    <w:qFormat/>
    <w:rPr/>
  </w:style>
  <w:style w:type="character" w:styleId="WW8Num4z7" w:customStyle="1">
    <w:name w:val="WW8Num4z7"/>
    <w:qFormat/>
    <w:rPr/>
  </w:style>
  <w:style w:type="character" w:styleId="WW8Num4z6" w:customStyle="1">
    <w:name w:val="WW8Num4z6"/>
    <w:qFormat/>
    <w:rPr/>
  </w:style>
  <w:style w:type="character" w:styleId="WW8Num4z5" w:customStyle="1">
    <w:name w:val="WW8Num4z5"/>
    <w:qFormat/>
    <w:rPr/>
  </w:style>
  <w:style w:type="character" w:styleId="WW8Num4z4" w:customStyle="1">
    <w:name w:val="WW8Num4z4"/>
    <w:qFormat/>
    <w:rPr/>
  </w:style>
  <w:style w:type="character" w:styleId="WW8Num4z3" w:customStyle="1">
    <w:name w:val="WW8Num4z3"/>
    <w:qFormat/>
    <w:rPr/>
  </w:style>
  <w:style w:type="character" w:styleId="Odwoaniedokomentarza10" w:customStyle="1">
    <w:name w:val="Odwołanie do komentarza10"/>
    <w:qFormat/>
    <w:rPr>
      <w:sz w:val="16"/>
      <w:szCs w:val="16"/>
    </w:rPr>
  </w:style>
  <w:style w:type="character" w:styleId="TekstkomentarzaZnak9" w:customStyle="1">
    <w:name w:val="Tekst komentarza Znak9"/>
    <w:qFormat/>
    <w:rPr>
      <w:rFonts w:ascii="Arial" w:hAnsi="Arial" w:eastAsia="Arial" w:cs="Mangal;Courier New"/>
      <w:szCs w:val="18"/>
      <w:lang w:eastAsia="zh-CN" w:bidi="hi-IN"/>
    </w:rPr>
  </w:style>
  <w:style w:type="character" w:styleId="TekstprzypisukocowegoZnak" w:customStyle="1">
    <w:name w:val="Tekst przypisu końcowego Znak"/>
    <w:qFormat/>
    <w:rPr>
      <w:rFonts w:ascii="Arial" w:hAnsi="Arial" w:eastAsia="Arial" w:cs="Mangal;Courier New"/>
      <w:szCs w:val="18"/>
      <w:lang w:eastAsia="zh-CN" w:bidi="hi-IN"/>
    </w:rPr>
  </w:style>
  <w:style w:type="character" w:styleId="Znakiprzypiswkocowych" w:customStyle="1">
    <w:name w:val="Znaki przypisów końcowych"/>
    <w:qFormat/>
    <w:rPr>
      <w:vertAlign w:val="superscript"/>
    </w:rPr>
  </w:style>
  <w:style w:type="character" w:styleId="CommentReference">
    <w:name w:val="annotation reference"/>
    <w:qFormat/>
    <w:rPr>
      <w:sz w:val="16"/>
      <w:szCs w:val="16"/>
    </w:rPr>
  </w:style>
  <w:style w:type="character" w:styleId="TekstkomentarzaZnak10" w:customStyle="1">
    <w:name w:val="Tekst komentarza Znak10"/>
    <w:qFormat/>
    <w:rPr>
      <w:rFonts w:ascii="Arial" w:hAnsi="Arial" w:eastAsia="Arial" w:cs="Mangal;Courier New"/>
      <w:szCs w:val="18"/>
      <w:lang w:eastAsia="zh-CN" w:bidi="hi-IN"/>
    </w:rPr>
  </w:style>
  <w:style w:type="character" w:styleId="Nagwek6Znak">
    <w:name w:val="Nagłówek 6 Znak"/>
    <w:basedOn w:val="DefaultParagraphFont"/>
    <w:qFormat/>
    <w:rPr>
      <w:rFonts w:ascii="Calibri" w:hAnsi="Calibri"/>
      <w:b/>
      <w:bCs/>
      <w:sz w:val="22"/>
      <w:szCs w:val="22"/>
      <w:lang w:eastAsia="ar-SA"/>
    </w:rPr>
  </w:style>
  <w:style w:type="character" w:styleId="TekstpodstawowyZnak">
    <w:name w:val="Tekst podstawowy Znak"/>
    <w:basedOn w:val="DefaultParagraphFont"/>
    <w:qFormat/>
    <w:rPr>
      <w:rFonts w:ascii="Arial" w:hAnsi="Arial" w:cs="Arial"/>
      <w:sz w:val="22"/>
      <w:szCs w:val="22"/>
      <w:lang w:eastAsia="ar-SA"/>
    </w:rPr>
  </w:style>
  <w:style w:type="character" w:styleId="Nagwek2Znak">
    <w:name w:val="Nagłówek 2 Znak"/>
    <w:basedOn w:val="DefaultParagraphFont"/>
    <w:qFormat/>
    <w:rPr>
      <w:b/>
      <w:bCs/>
      <w:sz w:val="36"/>
      <w:szCs w:val="36"/>
      <w:lang w:eastAsia="ar-SA"/>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40"/>
    </w:pPr>
    <w:rPr/>
  </w:style>
  <w:style w:type="paragraph" w:styleId="List">
    <w:name w:val="List"/>
    <w:basedOn w:val="BodyText"/>
    <w:pPr/>
    <w:rPr>
      <w:sz w:val="24"/>
    </w:rPr>
  </w:style>
  <w:style w:type="paragraph" w:styleId="Caption">
    <w:name w:val="caption"/>
    <w:basedOn w:val="Normal"/>
    <w:qFormat/>
    <w:pPr>
      <w:suppressLineNumbers/>
      <w:spacing w:before="120" w:after="120"/>
    </w:pPr>
    <w:rPr>
      <w:rFonts w:cs="Lucida Sans"/>
      <w:i/>
      <w:iCs/>
      <w:sz w:val="24"/>
      <w:szCs w:val="24"/>
    </w:rPr>
  </w:style>
  <w:style w:type="paragraph" w:styleId="Indeks" w:customStyle="1">
    <w:name w:val="Indeks"/>
    <w:basedOn w:val="Normal"/>
    <w:qFormat/>
    <w:pPr>
      <w:suppressLineNumbers/>
    </w:pPr>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Gwkaistopkauser">
    <w:name w:val="Główka i stopka (user)"/>
    <w:basedOn w:val="Normal"/>
    <w:qFormat/>
    <w:pPr/>
    <w:rPr/>
  </w:style>
  <w:style w:type="paragraph" w:styleId="Gwkaistopka" w:customStyle="1">
    <w:name w:val="Główka i stopka"/>
    <w:basedOn w:val="Normal"/>
    <w:qFormat/>
    <w:pPr>
      <w:suppressLineNumbers/>
      <w:tabs>
        <w:tab w:val="clear" w:pos="720"/>
        <w:tab w:val="center" w:pos="4819" w:leader="none"/>
        <w:tab w:val="right" w:pos="9638" w:leader="none"/>
      </w:tabs>
    </w:pPr>
    <w:rPr/>
  </w:style>
  <w:style w:type="paragraph" w:styleId="Header">
    <w:name w:val="header"/>
    <w:basedOn w:val="Gwkaistopka"/>
    <w:next w:val="BodyText"/>
    <w:pPr/>
    <w:rPr/>
  </w:style>
  <w:style w:type="paragraph" w:styleId="Normalny1" w:customStyle="1">
    <w:name w:val="Normalny1"/>
    <w:qFormat/>
    <w:pPr>
      <w:widowControl/>
      <w:suppressAutoHyphens w:val="true"/>
      <w:bidi w:val="0"/>
      <w:spacing w:before="0" w:after="0"/>
      <w:jc w:val="left"/>
      <w:textAlignment w:val="baseline"/>
    </w:pPr>
    <w:rPr>
      <w:rFonts w:ascii="Arial" w:hAnsi="Arial" w:eastAsia="Arial" w:cs="Arial"/>
      <w:color w:val="00000A"/>
      <w:kern w:val="0"/>
      <w:sz w:val="22"/>
      <w:szCs w:val="22"/>
      <w:lang w:val="pl-PL" w:eastAsia="zh-CN" w:bidi="hi-IN"/>
    </w:rPr>
  </w:style>
  <w:style w:type="paragraph" w:styleId="Nagwek4" w:customStyle="1">
    <w:name w:val="Nagłówek4"/>
    <w:basedOn w:val="Normal"/>
    <w:next w:val="BodyText"/>
    <w:qFormat/>
    <w:pPr>
      <w:keepNext w:val="true"/>
      <w:spacing w:before="240" w:after="120"/>
    </w:pPr>
    <w:rPr>
      <w:rFonts w:ascii="Liberation Sans;Arial" w:hAnsi="Liberation Sans;Arial" w:eastAsia="Microsoft YaHei"/>
      <w:sz w:val="28"/>
      <w:szCs w:val="28"/>
    </w:rPr>
  </w:style>
  <w:style w:type="paragraph" w:styleId="Nagwek13" w:customStyle="1">
    <w:name w:val="Nagłówek13"/>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Nagwek12" w:customStyle="1">
    <w:name w:val="Nagłówek12"/>
    <w:basedOn w:val="Normal"/>
    <w:next w:val="BodyText"/>
    <w:qFormat/>
    <w:pPr>
      <w:keepNext w:val="true"/>
      <w:spacing w:before="240" w:after="120"/>
    </w:pPr>
    <w:rPr>
      <w:rFonts w:ascii="Liberation Sans;Arial" w:hAnsi="Liberation Sans;Arial" w:eastAsia="Microsoft YaHei"/>
      <w:sz w:val="28"/>
      <w:szCs w:val="28"/>
    </w:rPr>
  </w:style>
  <w:style w:type="paragraph" w:styleId="Legenda11" w:customStyle="1">
    <w:name w:val="Legenda11"/>
    <w:basedOn w:val="Normal"/>
    <w:qFormat/>
    <w:pPr>
      <w:suppressLineNumbers/>
      <w:spacing w:before="120" w:after="120"/>
    </w:pPr>
    <w:rPr>
      <w:i/>
      <w:iCs/>
      <w:sz w:val="24"/>
      <w:szCs w:val="24"/>
    </w:rPr>
  </w:style>
  <w:style w:type="paragraph" w:styleId="Nagwek9" w:customStyle="1">
    <w:name w:val="Nagłówek9"/>
    <w:basedOn w:val="Normal"/>
    <w:next w:val="BodyText"/>
    <w:qFormat/>
    <w:pPr>
      <w:keepNext w:val="true"/>
      <w:spacing w:before="240" w:after="120"/>
    </w:pPr>
    <w:rPr>
      <w:rFonts w:ascii="Liberation Sans;Arial" w:hAnsi="Liberation Sans;Arial" w:eastAsia="Microsoft YaHei"/>
      <w:sz w:val="28"/>
      <w:szCs w:val="28"/>
    </w:rPr>
  </w:style>
  <w:style w:type="paragraph" w:styleId="Legenda10" w:customStyle="1">
    <w:name w:val="Legenda10"/>
    <w:basedOn w:val="Normal"/>
    <w:qFormat/>
    <w:pPr>
      <w:suppressLineNumbers/>
      <w:spacing w:before="120" w:after="120"/>
    </w:pPr>
    <w:rPr>
      <w:i/>
      <w:iCs/>
      <w:sz w:val="24"/>
      <w:szCs w:val="24"/>
    </w:rPr>
  </w:style>
  <w:style w:type="paragraph" w:styleId="Nagwek8" w:customStyle="1">
    <w:name w:val="Nagłówek8"/>
    <w:basedOn w:val="Normal"/>
    <w:next w:val="BodyText"/>
    <w:qFormat/>
    <w:pPr>
      <w:keepNext w:val="true"/>
      <w:spacing w:before="240" w:after="120"/>
    </w:pPr>
    <w:rPr>
      <w:rFonts w:ascii="Liberation Sans;Arial" w:hAnsi="Liberation Sans;Arial" w:eastAsia="Microsoft YaHei"/>
      <w:sz w:val="28"/>
      <w:szCs w:val="28"/>
    </w:rPr>
  </w:style>
  <w:style w:type="paragraph" w:styleId="Legenda8" w:customStyle="1">
    <w:name w:val="Legenda8"/>
    <w:basedOn w:val="Normal"/>
    <w:qFormat/>
    <w:pPr>
      <w:suppressLineNumbers/>
      <w:spacing w:before="120" w:after="120"/>
    </w:pPr>
    <w:rPr>
      <w:i/>
      <w:iCs/>
      <w:sz w:val="24"/>
      <w:szCs w:val="24"/>
    </w:rPr>
  </w:style>
  <w:style w:type="paragraph" w:styleId="Nagwek7" w:customStyle="1">
    <w:name w:val="Nagłówek7"/>
    <w:basedOn w:val="Normal"/>
    <w:next w:val="BodyText"/>
    <w:qFormat/>
    <w:pPr>
      <w:keepNext w:val="true"/>
      <w:spacing w:before="240" w:after="120"/>
    </w:pPr>
    <w:rPr>
      <w:rFonts w:ascii="Liberation Sans;Arial" w:hAnsi="Liberation Sans;Arial" w:eastAsia="Microsoft YaHei"/>
      <w:sz w:val="28"/>
      <w:szCs w:val="28"/>
    </w:rPr>
  </w:style>
  <w:style w:type="paragraph" w:styleId="Legenda7" w:customStyle="1">
    <w:name w:val="Legenda7"/>
    <w:basedOn w:val="Normal"/>
    <w:qFormat/>
    <w:pPr>
      <w:suppressLineNumbers/>
      <w:spacing w:before="120" w:after="120"/>
    </w:pPr>
    <w:rPr>
      <w:i/>
      <w:iCs/>
      <w:sz w:val="24"/>
      <w:szCs w:val="24"/>
    </w:rPr>
  </w:style>
  <w:style w:type="paragraph" w:styleId="Nagwek6" w:customStyle="1">
    <w:name w:val="Nagłówek6"/>
    <w:basedOn w:val="Normal"/>
    <w:next w:val="BodyText"/>
    <w:qFormat/>
    <w:pPr>
      <w:keepNext w:val="true"/>
      <w:spacing w:before="240" w:after="120"/>
    </w:pPr>
    <w:rPr>
      <w:rFonts w:ascii="Liberation Sans;Arial" w:hAnsi="Liberation Sans;Arial" w:eastAsia="Microsoft YaHei"/>
      <w:sz w:val="28"/>
      <w:szCs w:val="28"/>
    </w:rPr>
  </w:style>
  <w:style w:type="paragraph" w:styleId="Legenda6" w:customStyle="1">
    <w:name w:val="Legenda6"/>
    <w:basedOn w:val="Normal"/>
    <w:qFormat/>
    <w:pPr>
      <w:suppressLineNumbers/>
      <w:spacing w:before="120" w:after="120"/>
    </w:pPr>
    <w:rPr>
      <w:i/>
      <w:iCs/>
      <w:sz w:val="24"/>
      <w:szCs w:val="24"/>
    </w:rPr>
  </w:style>
  <w:style w:type="paragraph" w:styleId="Nagwek5" w:customStyle="1">
    <w:name w:val="Nagłówek5"/>
    <w:basedOn w:val="Normal"/>
    <w:next w:val="BodyText"/>
    <w:qFormat/>
    <w:pPr>
      <w:keepNext w:val="true"/>
      <w:spacing w:before="240" w:after="120"/>
    </w:pPr>
    <w:rPr>
      <w:rFonts w:ascii="Liberation Sans;Arial" w:hAnsi="Liberation Sans;Arial" w:eastAsia="Microsoft YaHei"/>
      <w:sz w:val="28"/>
      <w:szCs w:val="28"/>
    </w:rPr>
  </w:style>
  <w:style w:type="paragraph" w:styleId="Legenda5" w:customStyle="1">
    <w:name w:val="Legenda5"/>
    <w:basedOn w:val="Normal"/>
    <w:qFormat/>
    <w:pPr>
      <w:suppressLineNumbers/>
      <w:spacing w:before="120" w:after="120"/>
    </w:pPr>
    <w:rPr>
      <w:i/>
      <w:iCs/>
      <w:sz w:val="24"/>
      <w:szCs w:val="24"/>
    </w:rPr>
  </w:style>
  <w:style w:type="paragraph" w:styleId="Legenda4" w:customStyle="1">
    <w:name w:val="Legenda4"/>
    <w:basedOn w:val="Normal"/>
    <w:qFormat/>
    <w:pPr>
      <w:suppressLineNumbers/>
      <w:spacing w:before="120" w:after="120"/>
    </w:pPr>
    <w:rPr>
      <w:i/>
      <w:iCs/>
      <w:sz w:val="24"/>
      <w:szCs w:val="24"/>
    </w:rPr>
  </w:style>
  <w:style w:type="paragraph" w:styleId="Nagwek3" w:customStyle="1">
    <w:name w:val="Nagłówek3"/>
    <w:basedOn w:val="Normal"/>
    <w:next w:val="BodyText"/>
    <w:qFormat/>
    <w:pPr>
      <w:keepNext w:val="true"/>
      <w:spacing w:before="240" w:after="120"/>
    </w:pPr>
    <w:rPr>
      <w:rFonts w:ascii="Liberation Sans;Arial" w:hAnsi="Liberation Sans;Arial" w:eastAsia="Microsoft YaHei"/>
      <w:sz w:val="28"/>
      <w:szCs w:val="28"/>
    </w:rPr>
  </w:style>
  <w:style w:type="paragraph" w:styleId="Legenda3" w:customStyle="1">
    <w:name w:val="Legenda3"/>
    <w:basedOn w:val="Normal"/>
    <w:qFormat/>
    <w:pPr>
      <w:suppressLineNumbers/>
      <w:spacing w:before="120" w:after="120"/>
    </w:pPr>
    <w:rPr>
      <w:i/>
      <w:iCs/>
      <w:sz w:val="24"/>
      <w:szCs w:val="24"/>
    </w:rPr>
  </w:style>
  <w:style w:type="paragraph" w:styleId="Caption1" w:customStyle="1">
    <w:name w:val="Caption1"/>
    <w:basedOn w:val="Normal"/>
    <w:qFormat/>
    <w:pPr>
      <w:suppressLineNumbers/>
      <w:spacing w:before="120" w:after="120"/>
    </w:pPr>
    <w:rPr>
      <w:i/>
      <w:iCs/>
      <w:sz w:val="24"/>
      <w:szCs w:val="24"/>
    </w:rPr>
  </w:style>
  <w:style w:type="paragraph" w:styleId="Signature">
    <w:name w:val="Signature"/>
    <w:basedOn w:val="Normal"/>
    <w:pPr>
      <w:suppressLineNumbers/>
      <w:spacing w:before="120" w:after="120"/>
    </w:pPr>
    <w:rPr>
      <w:i/>
      <w:iCs/>
      <w:sz w:val="24"/>
      <w:szCs w:val="24"/>
    </w:rPr>
  </w:style>
  <w:style w:type="paragraph" w:styleId="Nagwek2" w:customStyle="1">
    <w:name w:val="Nagłówek2"/>
    <w:basedOn w:val="Normalny1"/>
    <w:next w:val="Normal"/>
    <w:qFormat/>
    <w:pPr>
      <w:keepNext w:val="true"/>
      <w:keepLines/>
      <w:spacing w:before="0" w:after="60"/>
    </w:pPr>
    <w:rPr>
      <w:sz w:val="52"/>
      <w:szCs w:val="52"/>
    </w:rPr>
  </w:style>
  <w:style w:type="paragraph" w:styleId="Legenda2" w:customStyle="1">
    <w:name w:val="Legenda2"/>
    <w:basedOn w:val="Normal"/>
    <w:qFormat/>
    <w:pPr>
      <w:suppressLineNumbers/>
      <w:spacing w:before="120" w:after="120"/>
    </w:pPr>
    <w:rPr>
      <w:i/>
      <w:iCs/>
      <w:sz w:val="24"/>
      <w:szCs w:val="24"/>
    </w:rPr>
  </w:style>
  <w:style w:type="paragraph" w:styleId="Nagwek1" w:customStyle="1">
    <w:name w:val="Nagłówek1"/>
    <w:basedOn w:val="Normal"/>
    <w:qFormat/>
    <w:pPr/>
    <w:rPr/>
  </w:style>
  <w:style w:type="paragraph" w:styleId="Legenda1" w:customStyle="1">
    <w:name w:val="Legenda1"/>
    <w:basedOn w:val="Normal"/>
    <w:qFormat/>
    <w:pPr>
      <w:suppressLineNumbers/>
      <w:spacing w:before="120" w:after="120"/>
    </w:pPr>
    <w:rPr>
      <w:i/>
      <w:iCs/>
      <w:sz w:val="24"/>
      <w:szCs w:val="24"/>
    </w:rPr>
  </w:style>
  <w:style w:type="paragraph" w:styleId="Subtitle">
    <w:name w:val="Subtitle"/>
    <w:basedOn w:val="Normalny1"/>
    <w:next w:val="Normal"/>
    <w:qFormat/>
    <w:pPr>
      <w:keepNext w:val="true"/>
      <w:keepLines/>
      <w:spacing w:before="0" w:after="320"/>
    </w:pPr>
    <w:rPr>
      <w:color w:val="666666"/>
      <w:sz w:val="30"/>
      <w:szCs w:val="30"/>
    </w:rPr>
  </w:style>
  <w:style w:type="paragraph" w:styleId="FootnoteText">
    <w:name w:val="footnote text"/>
    <w:basedOn w:val="Normal"/>
    <w:qFormat/>
    <w:pPr/>
    <w:rPr/>
  </w:style>
  <w:style w:type="paragraph" w:styleId="Footer">
    <w:name w:val="footer"/>
    <w:basedOn w:val="Normal"/>
    <w:pPr/>
    <w:rPr/>
  </w:style>
  <w:style w:type="paragraph" w:styleId="DocumentMap" w:customStyle="1">
    <w:name w:val="DocumentMap"/>
    <w:qFormat/>
    <w:pPr>
      <w:widowControl/>
      <w:suppressAutoHyphens w:val="true"/>
      <w:bidi w:val="0"/>
      <w:spacing w:before="0" w:after="0"/>
      <w:jc w:val="left"/>
    </w:pPr>
    <w:rPr>
      <w:rFonts w:ascii="Times New Roman" w:hAnsi="Times New Roman" w:eastAsia="Times New Roman" w:cs="Times New Roman"/>
      <w:color w:val="00000A"/>
      <w:kern w:val="0"/>
      <w:sz w:val="20"/>
      <w:szCs w:val="24"/>
      <w:lang w:val="pl-PL" w:eastAsia="zh-CN" w:bidi="hi-IN"/>
    </w:rPr>
  </w:style>
  <w:style w:type="paragraph" w:styleId="Zawartotabeli" w:customStyle="1">
    <w:name w:val="Zawartość tabeli"/>
    <w:basedOn w:val="Normal"/>
    <w:qFormat/>
    <w:pPr>
      <w:suppressLineNumbers/>
    </w:pPr>
    <w:rPr/>
  </w:style>
  <w:style w:type="paragraph" w:styleId="Nagwektabeli" w:customStyle="1">
    <w:name w:val="Nagłówek tabeli"/>
    <w:basedOn w:val="Zawartotabeli"/>
    <w:qFormat/>
    <w:pPr>
      <w:jc w:val="center"/>
    </w:pPr>
    <w:rPr>
      <w:b/>
      <w:bCs/>
    </w:rPr>
  </w:style>
  <w:style w:type="paragraph" w:styleId="ListParagraph">
    <w:name w:val="List Paragraph"/>
    <w:basedOn w:val="Normal"/>
    <w:qFormat/>
    <w:pPr>
      <w:spacing w:lineRule="auto" w:line="240"/>
      <w:ind w:left="708"/>
    </w:pPr>
    <w:rPr>
      <w:rFonts w:ascii="Times New Roman" w:hAnsi="Times New Roman" w:eastAsia="Times New Roman" w:cs="Times New Roman"/>
      <w:sz w:val="24"/>
      <w:szCs w:val="24"/>
    </w:rPr>
  </w:style>
  <w:style w:type="paragraph" w:styleId="WW-Tekstpodstawowy2" w:customStyle="1">
    <w:name w:val="WW-Tekst podstawowy 2"/>
    <w:basedOn w:val="Normal"/>
    <w:qFormat/>
    <w:pPr>
      <w:jc w:val="both"/>
    </w:pPr>
    <w:rPr>
      <w:sz w:val="24"/>
    </w:rPr>
  </w:style>
  <w:style w:type="paragraph" w:styleId="LO-normal" w:customStyle="1">
    <w:name w:val="LO-normal"/>
    <w:qFormat/>
    <w:pPr>
      <w:widowControl/>
      <w:suppressAutoHyphens w:val="true"/>
      <w:bidi w:val="0"/>
      <w:spacing w:before="0" w:after="0"/>
      <w:jc w:val="left"/>
    </w:pPr>
    <w:rPr>
      <w:rFonts w:ascii="Times New Roman" w:hAnsi="Times New Roman" w:eastAsia="Times New Roman" w:cs="Times New Roman"/>
      <w:color w:val="000000"/>
      <w:kern w:val="2"/>
      <w:sz w:val="20"/>
      <w:szCs w:val="24"/>
      <w:lang w:val="pl-PL" w:eastAsia="zh-CN" w:bidi="hi-IN"/>
    </w:rPr>
  </w:style>
  <w:style w:type="paragraph" w:styleId="BodyTextIndent">
    <w:name w:val="Body Text Indent"/>
    <w:basedOn w:val="BodyText"/>
    <w:pPr/>
    <w:rPr/>
  </w:style>
  <w:style w:type="paragraph" w:styleId="Tekstkomentarza1" w:customStyle="1">
    <w:name w:val="Tekst komentarza1"/>
    <w:basedOn w:val="Normalny1"/>
    <w:qFormat/>
    <w:pPr/>
    <w:rPr>
      <w:rFonts w:cs="Mangal;Courier New"/>
      <w:sz w:val="20"/>
      <w:szCs w:val="18"/>
    </w:rPr>
  </w:style>
  <w:style w:type="paragraph" w:styleId="annotationsubject">
    <w:name w:val="annotation subject"/>
    <w:basedOn w:val="Tekstkomentarza1"/>
    <w:qFormat/>
    <w:pPr/>
    <w:rPr>
      <w:b/>
      <w:bCs/>
    </w:rPr>
  </w:style>
  <w:style w:type="paragraph" w:styleId="BalloonText">
    <w:name w:val="Balloon Text"/>
    <w:basedOn w:val="Normalny1"/>
    <w:qFormat/>
    <w:pPr/>
    <w:rPr>
      <w:rFonts w:ascii="Segoe UI" w:hAnsi="Segoe UI" w:cs="Mangal;Courier New"/>
      <w:sz w:val="18"/>
      <w:szCs w:val="16"/>
    </w:rPr>
  </w:style>
  <w:style w:type="paragraph" w:styleId="NormalWeb">
    <w:name w:val="Normal (Web)"/>
    <w:basedOn w:val="Normal"/>
    <w:qFormat/>
    <w:pPr>
      <w:spacing w:before="280" w:after="280"/>
    </w:pPr>
    <w:rPr/>
  </w:style>
  <w:style w:type="paragraph" w:styleId="Tekstpodstawowy21" w:customStyle="1">
    <w:name w:val="Tekst podstawowy 21"/>
    <w:basedOn w:val="Normal"/>
    <w:qFormat/>
    <w:pPr>
      <w:widowControl w:val="false"/>
      <w:spacing w:lineRule="auto" w:line="240"/>
      <w:jc w:val="both"/>
      <w:textAlignment w:val="auto"/>
    </w:pPr>
    <w:rPr>
      <w:rFonts w:ascii="Nimbus Roman No9 L;Times New Ro" w:hAnsi="Nimbus Roman No9 L;Times New Ro" w:eastAsia="Times New Roman" w:cs="Nimbus Roman No9 L;Times New Ro"/>
      <w:color w:val="000000"/>
      <w:sz w:val="20"/>
      <w:szCs w:val="24"/>
      <w:lang w:bidi="ar-SA"/>
    </w:rPr>
  </w:style>
  <w:style w:type="paragraph" w:styleId="NoSpacing">
    <w:name w:val="No Spacing"/>
    <w:qFormat/>
    <w:pPr>
      <w:widowControl/>
      <w:suppressAutoHyphens w:val="true"/>
      <w:bidi w:val="0"/>
      <w:spacing w:before="0" w:after="0"/>
      <w:jc w:val="left"/>
    </w:pPr>
    <w:rPr>
      <w:rFonts w:ascii="Calibri" w:hAnsi="Calibri" w:eastAsia="Calibri" w:cs="Calibri"/>
      <w:color w:val="00000A"/>
      <w:kern w:val="2"/>
      <w:sz w:val="22"/>
      <w:szCs w:val="22"/>
      <w:lang w:val="pl-PL" w:eastAsia="zh-CN" w:bidi="ar-SA"/>
    </w:rPr>
  </w:style>
  <w:style w:type="paragraph" w:styleId="western" w:customStyle="1">
    <w:name w:val="western"/>
    <w:basedOn w:val="Normal"/>
    <w:qFormat/>
    <w:pPr>
      <w:suppressAutoHyphens w:val="false"/>
      <w:spacing w:lineRule="auto" w:line="240" w:before="100" w:after="119"/>
      <w:textAlignment w:val="auto"/>
    </w:pPr>
    <w:rPr>
      <w:rFonts w:ascii="Times New Roman" w:hAnsi="Times New Roman" w:eastAsia="Times New Roman" w:cs="Times New Roman"/>
      <w:color w:val="000000"/>
      <w:sz w:val="24"/>
      <w:szCs w:val="24"/>
      <w:lang w:bidi="ar-SA"/>
    </w:rPr>
  </w:style>
  <w:style w:type="paragraph" w:styleId="Tekstkomentarza2" w:customStyle="1">
    <w:name w:val="Tekst komentarza2"/>
    <w:basedOn w:val="Normal"/>
    <w:qFormat/>
    <w:pPr/>
    <w:rPr>
      <w:rFonts w:cs="Mangal;Courier New"/>
      <w:sz w:val="20"/>
      <w:szCs w:val="18"/>
    </w:rPr>
  </w:style>
  <w:style w:type="paragraph" w:styleId="pkt" w:customStyle="1">
    <w:name w:val="pkt"/>
    <w:basedOn w:val="Normal"/>
    <w:qFormat/>
    <w:pPr>
      <w:spacing w:before="60" w:after="60"/>
      <w:ind w:hanging="295" w:left="851"/>
      <w:jc w:val="both"/>
    </w:pPr>
    <w:rPr>
      <w:szCs w:val="20"/>
    </w:rPr>
  </w:style>
  <w:style w:type="paragraph" w:styleId="WW-ListParagraph" w:customStyle="1">
    <w:name w:val="WW-List Paragraph"/>
    <w:basedOn w:val="Normal"/>
    <w:qFormat/>
    <w:pPr>
      <w:ind w:left="708"/>
    </w:pPr>
    <w:rPr/>
  </w:style>
  <w:style w:type="paragraph" w:styleId="Standard" w:customStyle="1">
    <w:name w:val="Standard"/>
    <w:qFormat/>
    <w:pPr>
      <w:widowControl/>
      <w:suppressAutoHyphens w:val="true"/>
      <w:bidi w:val="0"/>
      <w:spacing w:before="0" w:after="0"/>
      <w:jc w:val="left"/>
      <w:textAlignment w:val="baseline"/>
    </w:pPr>
    <w:rPr>
      <w:rFonts w:ascii="Liberation Serif;Times New Roma" w:hAnsi="Liberation Serif;Times New Roma" w:eastAsia="NSimSun" w:cs="Arial"/>
      <w:color w:val="00000A"/>
      <w:kern w:val="2"/>
      <w:sz w:val="24"/>
      <w:szCs w:val="24"/>
      <w:lang w:val="pl-PL" w:eastAsia="zh-CN" w:bidi="hi-IN"/>
    </w:rPr>
  </w:style>
  <w:style w:type="paragraph" w:styleId="Normalny2" w:customStyle="1">
    <w:name w:val="Normalny2"/>
    <w:qFormat/>
    <w:pPr>
      <w:widowControl w:val="false"/>
      <w:suppressAutoHyphens w:val="true"/>
      <w:bidi w:val="0"/>
      <w:spacing w:lineRule="auto" w:line="276" w:before="0" w:after="0"/>
      <w:jc w:val="left"/>
    </w:pPr>
    <w:rPr>
      <w:rFonts w:ascii="Arial" w:hAnsi="Arial" w:eastAsia="Arial" w:cs="Arial"/>
      <w:color w:val="00000A"/>
      <w:kern w:val="2"/>
      <w:sz w:val="24"/>
      <w:szCs w:val="24"/>
      <w:lang w:val="pl-PL" w:eastAsia="zh-CN" w:bidi="hi-IN"/>
    </w:rPr>
  </w:style>
  <w:style w:type="paragraph" w:styleId="justify" w:customStyle="1">
    <w:name w:val="justify"/>
    <w:qFormat/>
    <w:pPr>
      <w:widowControl/>
      <w:suppressAutoHyphens w:val="true"/>
      <w:bidi w:val="0"/>
      <w:spacing w:lineRule="auto" w:line="252" w:before="0" w:after="0"/>
      <w:jc w:val="both"/>
    </w:pPr>
    <w:rPr>
      <w:rFonts w:ascii="Arial Narrow" w:hAnsi="Arial Narrow" w:eastAsia="Arial Narrow" w:cs="Arial Narrow"/>
      <w:color w:val="00000A"/>
      <w:kern w:val="0"/>
      <w:sz w:val="22"/>
      <w:szCs w:val="22"/>
      <w:lang w:val="pl-PL" w:eastAsia="zh-CN" w:bidi="ar-SA"/>
    </w:rPr>
  </w:style>
  <w:style w:type="paragraph" w:styleId="Tekstkomentarza9" w:customStyle="1">
    <w:name w:val="Tekst komentarza9"/>
    <w:basedOn w:val="Normal"/>
    <w:qFormat/>
    <w:pPr/>
    <w:rPr>
      <w:rFonts w:cs="Mangal;Courier New"/>
      <w:sz w:val="20"/>
      <w:szCs w:val="18"/>
    </w:rPr>
  </w:style>
  <w:style w:type="paragraph" w:styleId="Tekstkomentarza8" w:customStyle="1">
    <w:name w:val="Tekst komentarza8"/>
    <w:basedOn w:val="Normal"/>
    <w:qFormat/>
    <w:pPr/>
    <w:rPr>
      <w:rFonts w:cs="Mangal;Courier New"/>
      <w:sz w:val="20"/>
      <w:szCs w:val="18"/>
    </w:rPr>
  </w:style>
  <w:style w:type="paragraph" w:styleId="Tekstkomentarza7" w:customStyle="1">
    <w:name w:val="Tekst komentarza7"/>
    <w:basedOn w:val="Normal"/>
    <w:qFormat/>
    <w:pPr/>
    <w:rPr>
      <w:rFonts w:cs="Mangal;Courier New"/>
      <w:sz w:val="20"/>
      <w:szCs w:val="18"/>
    </w:rPr>
  </w:style>
  <w:style w:type="paragraph" w:styleId="Tekstkomentarza6" w:customStyle="1">
    <w:name w:val="Tekst komentarza6"/>
    <w:basedOn w:val="Normal"/>
    <w:qFormat/>
    <w:pPr/>
    <w:rPr>
      <w:rFonts w:cs="Mangal;Courier New"/>
      <w:sz w:val="20"/>
      <w:szCs w:val="18"/>
    </w:rPr>
  </w:style>
  <w:style w:type="paragraph" w:styleId="Default" w:customStyle="1">
    <w:name w:val="Default"/>
    <w:qFormat/>
    <w:pPr>
      <w:widowControl/>
      <w:suppressAutoHyphens w:val="true"/>
      <w:bidi w:val="0"/>
      <w:spacing w:before="0" w:after="0"/>
      <w:ind w:hanging="357" w:left="499"/>
      <w:jc w:val="left"/>
    </w:pPr>
    <w:rPr>
      <w:rFonts w:ascii="Trebuchet MS" w:hAnsi="Trebuchet MS" w:eastAsia="Times New Roman" w:cs="Trebuchet MS"/>
      <w:color w:val="000000"/>
      <w:kern w:val="2"/>
      <w:sz w:val="24"/>
      <w:szCs w:val="24"/>
      <w:lang w:val="pl-PL" w:eastAsia="zh-CN" w:bidi="ar-SA"/>
    </w:rPr>
  </w:style>
  <w:style w:type="paragraph" w:styleId="Tekstkomentarza5" w:customStyle="1">
    <w:name w:val="Tekst komentarza5"/>
    <w:basedOn w:val="Normal"/>
    <w:qFormat/>
    <w:pPr/>
    <w:rPr>
      <w:rFonts w:cs="Mangal;Courier New"/>
      <w:sz w:val="20"/>
      <w:szCs w:val="18"/>
    </w:rPr>
  </w:style>
  <w:style w:type="paragraph" w:styleId="Revision">
    <w:name w:val="Revision"/>
    <w:qFormat/>
    <w:pPr>
      <w:widowControl/>
      <w:suppressAutoHyphens w:val="true"/>
      <w:bidi w:val="0"/>
      <w:spacing w:before="0" w:after="0"/>
      <w:jc w:val="left"/>
      <w:textAlignment w:val="baseline"/>
    </w:pPr>
    <w:rPr>
      <w:rFonts w:ascii="Arial" w:hAnsi="Arial" w:eastAsia="Arial" w:cs="Mangal;Courier New"/>
      <w:color w:val="00000A"/>
      <w:kern w:val="2"/>
      <w:sz w:val="22"/>
      <w:szCs w:val="20"/>
      <w:lang w:val="pl-PL" w:eastAsia="zh-CN" w:bidi="hi-IN"/>
    </w:rPr>
  </w:style>
  <w:style w:type="paragraph" w:styleId="Tekstkomentarza4" w:customStyle="1">
    <w:name w:val="Tekst komentarza4"/>
    <w:basedOn w:val="Normal"/>
    <w:qFormat/>
    <w:pPr/>
    <w:rPr>
      <w:rFonts w:cs="Mangal;Courier New"/>
      <w:sz w:val="20"/>
      <w:szCs w:val="18"/>
    </w:rPr>
  </w:style>
  <w:style w:type="paragraph" w:styleId="Tekstkomentarza3" w:customStyle="1">
    <w:name w:val="Tekst komentarza3"/>
    <w:basedOn w:val="Normal"/>
    <w:qFormat/>
    <w:pPr/>
    <w:rPr>
      <w:rFonts w:cs="Mangal;Courier New"/>
      <w:sz w:val="20"/>
      <w:szCs w:val="18"/>
    </w:rPr>
  </w:style>
  <w:style w:type="paragraph" w:styleId="DocumentMap1">
    <w:name w:val="Document Map"/>
    <w:qFormat/>
    <w:pPr>
      <w:widowControl/>
      <w:suppressAutoHyphens w:val="true"/>
      <w:bidi w:val="0"/>
      <w:spacing w:before="0" w:after="0"/>
      <w:jc w:val="left"/>
      <w:textAlignment w:val="baseline"/>
    </w:pPr>
    <w:rPr>
      <w:rFonts w:ascii="Times New Roman" w:hAnsi="Times New Roman" w:eastAsia="Times New Roman" w:cs="Times New Roman"/>
      <w:color w:val="00000A"/>
      <w:kern w:val="2"/>
      <w:sz w:val="20"/>
      <w:szCs w:val="24"/>
      <w:lang w:val="pl-PL" w:eastAsia="zh-CN" w:bidi="hi-IN"/>
    </w:rPr>
  </w:style>
  <w:style w:type="paragraph" w:styleId="Legenda9" w:customStyle="1">
    <w:name w:val="Legenda9"/>
    <w:basedOn w:val="Normal"/>
    <w:qFormat/>
    <w:pPr>
      <w:spacing w:before="120" w:after="120"/>
    </w:pPr>
    <w:rPr>
      <w:i/>
      <w:iCs/>
    </w:rPr>
  </w:style>
  <w:style w:type="paragraph" w:styleId="Nagwek10" w:customStyle="1">
    <w:name w:val="Nagłówek10"/>
    <w:basedOn w:val="Normal"/>
    <w:qFormat/>
    <w:pPr>
      <w:keepNext w:val="true"/>
      <w:spacing w:before="240" w:after="120"/>
    </w:pPr>
    <w:rPr>
      <w:rFonts w:ascii="Liberation Sans;Arial" w:hAnsi="Liberation Sans;Arial" w:eastAsia="Microsoft YaHei" w:cs="Liberation Sans;Arial"/>
      <w:sz w:val="28"/>
      <w:szCs w:val="28"/>
    </w:rPr>
  </w:style>
  <w:style w:type="paragraph" w:styleId="Nagwek11" w:customStyle="1">
    <w:name w:val="Nagłówek11"/>
    <w:basedOn w:val="Normal"/>
    <w:qFormat/>
    <w:pPr>
      <w:keepNext w:val="true"/>
      <w:spacing w:before="240" w:after="120"/>
    </w:pPr>
    <w:rPr>
      <w:rFonts w:ascii="Liberation Sans;Arial" w:hAnsi="Liberation Sans;Arial" w:eastAsia="Microsoft YaHei" w:cs="Liberation Sans;Arial"/>
      <w:sz w:val="28"/>
      <w:szCs w:val="28"/>
    </w:rPr>
  </w:style>
  <w:style w:type="paragraph" w:styleId="Tekstkomentarza10" w:customStyle="1">
    <w:name w:val="Tekst komentarza10"/>
    <w:basedOn w:val="Normal"/>
    <w:qFormat/>
    <w:pPr/>
    <w:rPr>
      <w:rFonts w:cs="Mangal;Courier New"/>
      <w:sz w:val="20"/>
      <w:szCs w:val="18"/>
    </w:rPr>
  </w:style>
  <w:style w:type="paragraph" w:styleId="EndnoteText">
    <w:name w:val="endnote text"/>
    <w:basedOn w:val="Normal"/>
    <w:qFormat/>
    <w:pPr/>
    <w:rPr>
      <w:rFonts w:cs="Mangal;Courier New"/>
      <w:sz w:val="20"/>
      <w:szCs w:val="18"/>
    </w:rPr>
  </w:style>
  <w:style w:type="paragraph" w:styleId="CommentText">
    <w:name w:val="annotation text"/>
    <w:basedOn w:val="Normal"/>
    <w:qFormat/>
    <w:pPr/>
    <w:rPr>
      <w:rFonts w:cs="Mangal;Courier New"/>
      <w:sz w:val="20"/>
      <w:szCs w:val="18"/>
    </w:rPr>
  </w:style>
  <w:style w:type="numbering" w:styleId="Bezlistyuser" w:default="1">
    <w:name w:val="Bez listy (user)"/>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numbering" w:styleId="WW8Num14" w:customStyle="1">
    <w:name w:val="WW8Num14"/>
    <w:qFormat/>
  </w:style>
  <w:style w:type="numbering" w:styleId="WW8Num15" w:customStyle="1">
    <w:name w:val="WW8Num15"/>
    <w:qFormat/>
  </w:style>
  <w:style w:type="numbering" w:styleId="WW8Num16" w:customStyle="1">
    <w:name w:val="WW8Num16"/>
    <w:qFormat/>
  </w:style>
  <w:style w:type="numbering" w:styleId="WW8Num17" w:customStyle="1">
    <w:name w:val="WW8Num17"/>
    <w:qFormat/>
  </w:style>
  <w:style w:type="numbering" w:styleId="WW8Num18" w:customStyle="1">
    <w:name w:val="WW8Num18"/>
    <w:qFormat/>
  </w:style>
  <w:style w:type="numbering" w:styleId="WW8Num19" w:customStyle="1">
    <w:name w:val="WW8Num19"/>
    <w:qFormat/>
  </w:style>
  <w:style w:type="numbering" w:styleId="WW8Num20" w:customStyle="1">
    <w:name w:val="WW8Num20"/>
    <w:qFormat/>
  </w:style>
  <w:style w:type="numbering" w:styleId="WW8Num21" w:customStyle="1">
    <w:name w:val="WW8Num21"/>
    <w:qFormat/>
  </w:style>
  <w:style w:type="numbering" w:styleId="WW8Num22" w:customStyle="1">
    <w:name w:val="WW8Num22"/>
    <w:qFormat/>
  </w:style>
  <w:style w:type="numbering" w:styleId="WW8Num23" w:customStyle="1">
    <w:name w:val="WW8Num23"/>
    <w:qFormat/>
  </w:style>
  <w:style w:type="numbering" w:styleId="WW8Num24" w:customStyle="1">
    <w:name w:val="WW8Num24"/>
    <w:qFormat/>
  </w:style>
  <w:style w:type="numbering" w:styleId="WW8Num25" w:customStyle="1">
    <w:name w:val="WW8Num25"/>
    <w:qFormat/>
  </w:style>
  <w:style w:type="numbering" w:styleId="WW8Num26" w:customStyle="1">
    <w:name w:val="WW8Num26"/>
    <w:qFormat/>
  </w:style>
  <w:style w:type="numbering" w:styleId="Bezlisty">
    <w:name w:val="Bez listy"/>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sekretariat@zgmskierniewice.com.pl" TargetMode="External"/><Relationship Id="rId3" Type="http://schemas.openxmlformats.org/officeDocument/2006/relationships/hyperlink" Target="https://ezamowienia.gov.pl/" TargetMode="External"/><Relationship Id="rId4" Type="http://schemas.openxmlformats.org/officeDocument/2006/relationships/hyperlink" Target="mailto:ldominika.pejska@zgmskierniewice.com.pl" TargetMode="External"/><Relationship Id="rId5" Type="http://schemas.openxmlformats.org/officeDocument/2006/relationships/hyperlink" Target="https://ezamowienia.gov.pl/" TargetMode="External"/><Relationship Id="rId6" Type="http://schemas.openxmlformats.org/officeDocument/2006/relationships/hyperlink" Target="mailto:dominika.pejska@zgmskierniewice.com.pl" TargetMode="External"/><Relationship Id="rId7" Type="http://schemas.openxmlformats.org/officeDocument/2006/relationships/hyperlink" Target="mailto:dominika.pejska@zgmskierniewice.com.pl" TargetMode="External"/><Relationship Id="rId8" Type="http://schemas.openxmlformats.org/officeDocument/2006/relationships/hyperlink" Target="https://skierniewice.logintrade.net/rejestracja/ust"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321</TotalTime>
  <Application>LibreOffice/25.8.6.2$Windows_X86_64 LibreOffice_project/b4b39682cd9868fa725bc664aff94278d315bd04</Application>
  <AppVersion>15.0000</AppVersion>
  <Pages>25</Pages>
  <Words>9370</Words>
  <Characters>61476</Characters>
  <CharactersWithSpaces>80386</CharactersWithSpaces>
  <Paragraphs>494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2024-03-07T19:42:00Z</dcterms:created>
  <dc:creator>Agata ZYGLER</dc:creator>
  <dc:description/>
  <dc:language>pl-PL</dc:language>
  <cp:lastModifiedBy/>
  <cp:lastPrinted>2026-05-15T11:34:38Z</cp:lastPrinted>
  <dcterms:modified xsi:type="dcterms:W3CDTF">2026-05-15T11:34:00Z</dcterms:modified>
  <cp:revision>103</cp:revision>
  <dc:subject/>
  <dc:title>Podstawa prawna</dc:title>
</cp:coreProperties>
</file>

<file path=docProps/custom.xml><?xml version="1.0" encoding="utf-8"?>
<Properties xmlns="http://schemas.openxmlformats.org/officeDocument/2006/custom-properties" xmlns:vt="http://schemas.openxmlformats.org/officeDocument/2006/docPropsVTypes"/>
</file>