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45576" w14:textId="20797318" w:rsidR="00D40E21" w:rsidRPr="00D40E21" w:rsidRDefault="00D40E21" w:rsidP="00D40E21">
      <w:pPr>
        <w:spacing w:line="276" w:lineRule="auto"/>
        <w:jc w:val="center"/>
        <w:rPr>
          <w:rFonts w:cstheme="minorHAnsi"/>
          <w:b/>
          <w:bCs/>
        </w:rPr>
      </w:pPr>
      <w:r w:rsidRPr="00D40E21">
        <w:rPr>
          <w:rFonts w:cstheme="minorHAnsi"/>
          <w:b/>
          <w:bCs/>
        </w:rPr>
        <w:t>Znak postępowania: SOO-IT.271.2.2026</w:t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</w:r>
      <w:r w:rsidRPr="00D40E21">
        <w:rPr>
          <w:rFonts w:cstheme="minorHAnsi"/>
          <w:b/>
          <w:bCs/>
        </w:rPr>
        <w:tab/>
        <w:t xml:space="preserve">  Zał. 20 do SWZ</w:t>
      </w:r>
    </w:p>
    <w:p w14:paraId="198F5960" w14:textId="77777777" w:rsidR="00D40E21" w:rsidRPr="00D40E21" w:rsidRDefault="00D40E21" w:rsidP="00D40E21">
      <w:pPr>
        <w:spacing w:line="276" w:lineRule="auto"/>
        <w:jc w:val="center"/>
        <w:rPr>
          <w:rFonts w:cstheme="minorHAnsi"/>
          <w:b/>
          <w:bCs/>
        </w:rPr>
      </w:pPr>
    </w:p>
    <w:p w14:paraId="2B64729F" w14:textId="38F9594C" w:rsidR="00D40E21" w:rsidRPr="00D40E21" w:rsidRDefault="00D40E21" w:rsidP="00D40E21">
      <w:pPr>
        <w:spacing w:line="276" w:lineRule="auto"/>
        <w:jc w:val="center"/>
        <w:rPr>
          <w:rFonts w:cstheme="minorHAnsi"/>
          <w:b/>
          <w:bCs/>
        </w:rPr>
      </w:pPr>
      <w:r w:rsidRPr="00D40E21">
        <w:rPr>
          <w:rFonts w:cstheme="minorHAnsi"/>
          <w:b/>
          <w:bCs/>
        </w:rPr>
        <w:t>OPIS PRZEDMIOTU ZAMÓWIENIA</w:t>
      </w:r>
    </w:p>
    <w:p w14:paraId="50E37EE4" w14:textId="77777777" w:rsidR="00D40E21" w:rsidRPr="00D40E21" w:rsidRDefault="00D40E21" w:rsidP="00D40E21">
      <w:pPr>
        <w:spacing w:line="276" w:lineRule="auto"/>
        <w:jc w:val="center"/>
        <w:rPr>
          <w:rFonts w:cstheme="minorHAnsi"/>
          <w:b/>
          <w:bCs/>
        </w:rPr>
      </w:pPr>
    </w:p>
    <w:p w14:paraId="06D06886" w14:textId="2A166A50" w:rsidR="009F5079" w:rsidRPr="00D40E21" w:rsidRDefault="00D40E21">
      <w:pPr>
        <w:rPr>
          <w:b/>
          <w:bCs/>
        </w:rPr>
      </w:pPr>
      <w:r w:rsidRPr="00D40E21">
        <w:rPr>
          <w:b/>
          <w:bCs/>
        </w:rPr>
        <w:t xml:space="preserve">Dostawa aktualizacji oprogramowania </w:t>
      </w:r>
      <w:proofErr w:type="spellStart"/>
      <w:r w:rsidRPr="00D40E21">
        <w:rPr>
          <w:b/>
          <w:bCs/>
        </w:rPr>
        <w:t>Edius</w:t>
      </w:r>
      <w:proofErr w:type="spellEnd"/>
      <w:r w:rsidRPr="00D40E21">
        <w:rPr>
          <w:b/>
          <w:bCs/>
        </w:rPr>
        <w:t xml:space="preserve"> Pro</w:t>
      </w:r>
    </w:p>
    <w:p w14:paraId="57550690" w14:textId="77777777" w:rsidR="00D40E21" w:rsidRPr="00D40E21" w:rsidRDefault="00D40E21" w:rsidP="00D40E21">
      <w:pPr>
        <w:pStyle w:val="NormalnyWeb"/>
        <w:spacing w:after="0" w:line="240" w:lineRule="auto"/>
        <w:rPr>
          <w:rFonts w:ascii="Calibri" w:hAnsi="Calibri" w:cs="Calibri"/>
          <w:sz w:val="22"/>
          <w:szCs w:val="22"/>
        </w:rPr>
      </w:pPr>
      <w:r w:rsidRPr="00D40E21">
        <w:rPr>
          <w:rFonts w:ascii="Calibri" w:hAnsi="Calibri" w:cs="Calibri"/>
          <w:sz w:val="22"/>
          <w:szCs w:val="22"/>
        </w:rPr>
        <w:t>1. Przedmiot zamówienia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b/>
          <w:bCs/>
          <w:sz w:val="22"/>
          <w:szCs w:val="22"/>
        </w:rPr>
        <w:t>Przedmiotem zamówienia jest dostawa licencji oprogramowania do nieliniowego montażu wideo Grass Valley EDIUS 11 Pro w wariancie JUMP (</w:t>
      </w:r>
      <w:proofErr w:type="spellStart"/>
      <w:r w:rsidRPr="00D40E21">
        <w:rPr>
          <w:rFonts w:ascii="Calibri" w:hAnsi="Calibri" w:cs="Calibri"/>
          <w:b/>
          <w:bCs/>
          <w:sz w:val="22"/>
          <w:szCs w:val="22"/>
        </w:rPr>
        <w:t>upgrade</w:t>
      </w:r>
      <w:proofErr w:type="spellEnd"/>
      <w:r w:rsidRPr="00D40E21">
        <w:rPr>
          <w:rFonts w:ascii="Calibri" w:hAnsi="Calibri" w:cs="Calibri"/>
          <w:b/>
          <w:bCs/>
          <w:sz w:val="22"/>
          <w:szCs w:val="22"/>
        </w:rPr>
        <w:t>/</w:t>
      </w:r>
      <w:proofErr w:type="spellStart"/>
      <w:r w:rsidRPr="00D40E21">
        <w:rPr>
          <w:rFonts w:ascii="Calibri" w:hAnsi="Calibri" w:cs="Calibri"/>
          <w:b/>
          <w:bCs/>
          <w:sz w:val="22"/>
          <w:szCs w:val="22"/>
        </w:rPr>
        <w:t>jump</w:t>
      </w:r>
      <w:proofErr w:type="spellEnd"/>
      <w:r w:rsidRPr="00D40E21">
        <w:rPr>
          <w:rFonts w:ascii="Calibri" w:hAnsi="Calibri" w:cs="Calibri"/>
          <w:b/>
          <w:bCs/>
          <w:sz w:val="22"/>
          <w:szCs w:val="22"/>
        </w:rPr>
        <w:t xml:space="preserve">) w formie elektronicznej (licencja + link do pobrania) </w:t>
      </w:r>
      <w:r w:rsidRPr="0021569F">
        <w:rPr>
          <w:rFonts w:ascii="Calibri" w:hAnsi="Calibri" w:cs="Calibri"/>
          <w:b/>
          <w:bCs/>
          <w:sz w:val="22"/>
          <w:szCs w:val="22"/>
          <w:u w:val="single"/>
        </w:rPr>
        <w:t>lub równoważnego spełniającego poniższe wymagania</w:t>
      </w:r>
      <w:r w:rsidRPr="00D40E21">
        <w:rPr>
          <w:rFonts w:ascii="Calibri" w:hAnsi="Calibri" w:cs="Calibri"/>
          <w:b/>
          <w:bCs/>
          <w:sz w:val="22"/>
          <w:szCs w:val="22"/>
        </w:rPr>
        <w:t>.</w:t>
      </w:r>
      <w:r w:rsidRPr="00D40E21">
        <w:rPr>
          <w:rFonts w:ascii="Calibri" w:hAnsi="Calibri" w:cs="Calibri"/>
          <w:b/>
          <w:bCs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br/>
        <w:t>2. Wymagany typ licencji</w:t>
      </w:r>
      <w:r w:rsidRPr="00D40E21">
        <w:rPr>
          <w:rFonts w:ascii="Calibri" w:hAnsi="Calibri" w:cs="Calibri"/>
          <w:sz w:val="22"/>
          <w:szCs w:val="22"/>
        </w:rPr>
        <w:br/>
        <w:t>Wersja: EDIUS 11 Pro JUMP Upgrade lub nowsza.</w:t>
      </w:r>
      <w:r w:rsidRPr="00D40E21">
        <w:rPr>
          <w:rFonts w:ascii="Calibri" w:hAnsi="Calibri" w:cs="Calibri"/>
          <w:sz w:val="22"/>
          <w:szCs w:val="22"/>
        </w:rPr>
        <w:br/>
        <w:t>Rodzaj: licencja komercyjna, bezterminowa (</w:t>
      </w:r>
      <w:proofErr w:type="spellStart"/>
      <w:r w:rsidRPr="00D40E21">
        <w:rPr>
          <w:rFonts w:ascii="Calibri" w:hAnsi="Calibri" w:cs="Calibri"/>
          <w:sz w:val="22"/>
          <w:szCs w:val="22"/>
        </w:rPr>
        <w:t>perpetual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) – typ </w:t>
      </w:r>
      <w:proofErr w:type="spellStart"/>
      <w:r w:rsidRPr="00D40E21">
        <w:rPr>
          <w:rFonts w:ascii="Calibri" w:hAnsi="Calibri" w:cs="Calibri"/>
          <w:sz w:val="22"/>
          <w:szCs w:val="22"/>
        </w:rPr>
        <w:t>Jump</w:t>
      </w:r>
      <w:proofErr w:type="spellEnd"/>
      <w:r w:rsidRPr="00D40E21">
        <w:rPr>
          <w:rFonts w:ascii="Calibri" w:hAnsi="Calibri" w:cs="Calibri"/>
          <w:sz w:val="22"/>
          <w:szCs w:val="22"/>
        </w:rPr>
        <w:t>/Upgrade z wcześniejszych wersji EDIUS.</w:t>
      </w:r>
      <w:r w:rsidRPr="00D40E21">
        <w:rPr>
          <w:rFonts w:ascii="Calibri" w:hAnsi="Calibri" w:cs="Calibri"/>
          <w:sz w:val="22"/>
          <w:szCs w:val="22"/>
        </w:rPr>
        <w:br/>
        <w:t>Liczba stanowisk: 1 aktywacja podstawowa (ew. rozszerzenie na drugą aktywację – druga licencja JUMP, jeżeli Zamawiający przewidzi).</w:t>
      </w:r>
      <w:r w:rsidRPr="00D40E21">
        <w:rPr>
          <w:rFonts w:ascii="Calibri" w:hAnsi="Calibri" w:cs="Calibri"/>
          <w:sz w:val="22"/>
          <w:szCs w:val="22"/>
        </w:rPr>
        <w:br/>
        <w:t>Dostawa: w postaci numeru seryjnego / e</w:t>
      </w:r>
      <w:r w:rsidRPr="00D40E21">
        <w:rPr>
          <w:rFonts w:ascii="Calibri" w:hAnsi="Calibri" w:cs="Calibri"/>
          <w:sz w:val="22"/>
          <w:szCs w:val="22"/>
        </w:rPr>
        <w:noBreakHyphen/>
        <w:t>licencji oraz linku do pobrania instalatora.</w:t>
      </w:r>
    </w:p>
    <w:p w14:paraId="20A882C7" w14:textId="111E4D32" w:rsidR="00D40E21" w:rsidRPr="009234B1" w:rsidRDefault="00D40E21" w:rsidP="00D40E21">
      <w:pPr>
        <w:pStyle w:val="NormalnyWeb"/>
        <w:spacing w:after="0" w:line="240" w:lineRule="auto"/>
        <w:rPr>
          <w:b/>
          <w:bCs/>
        </w:rPr>
      </w:pPr>
      <w:r w:rsidRPr="00D40E21">
        <w:rPr>
          <w:rFonts w:ascii="Calibri" w:hAnsi="Calibri" w:cs="Calibri"/>
          <w:sz w:val="22"/>
          <w:szCs w:val="22"/>
        </w:rPr>
        <w:t xml:space="preserve">Zamawiający dopuszcza </w:t>
      </w:r>
      <w:r>
        <w:rPr>
          <w:rFonts w:ascii="Calibri" w:hAnsi="Calibri" w:cs="Calibri"/>
          <w:sz w:val="22"/>
          <w:szCs w:val="22"/>
        </w:rPr>
        <w:t>dostarczenie licencji „pudełkowej” w pełni spełniające powyższe założenia licencji (</w:t>
      </w:r>
      <w:r w:rsidRPr="00D40E21">
        <w:rPr>
          <w:rFonts w:ascii="Calibri" w:hAnsi="Calibri" w:cs="Calibri"/>
          <w:sz w:val="22"/>
          <w:szCs w:val="22"/>
        </w:rPr>
        <w:t>EDIUS 11 Pro JUMP Upgrade lub nowsza licencja komercyjna, bezterminowa (</w:t>
      </w:r>
      <w:proofErr w:type="spellStart"/>
      <w:r w:rsidRPr="00D40E21">
        <w:rPr>
          <w:rFonts w:ascii="Calibri" w:hAnsi="Calibri" w:cs="Calibri"/>
          <w:sz w:val="22"/>
          <w:szCs w:val="22"/>
        </w:rPr>
        <w:t>perpetual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) – typ </w:t>
      </w:r>
      <w:proofErr w:type="spellStart"/>
      <w:r w:rsidRPr="00D40E21">
        <w:rPr>
          <w:rFonts w:ascii="Calibri" w:hAnsi="Calibri" w:cs="Calibri"/>
          <w:sz w:val="22"/>
          <w:szCs w:val="22"/>
        </w:rPr>
        <w:t>Jump</w:t>
      </w:r>
      <w:proofErr w:type="spellEnd"/>
      <w:r w:rsidRPr="00D40E21">
        <w:rPr>
          <w:rFonts w:ascii="Calibri" w:hAnsi="Calibri" w:cs="Calibri"/>
          <w:sz w:val="22"/>
          <w:szCs w:val="22"/>
        </w:rPr>
        <w:t>/Upgrade z wcześniejszych wersji EDIUS</w:t>
      </w:r>
      <w:r>
        <w:rPr>
          <w:rFonts w:ascii="Calibri" w:hAnsi="Calibri" w:cs="Calibri"/>
          <w:sz w:val="22"/>
          <w:szCs w:val="22"/>
        </w:rPr>
        <w:t>)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br/>
        <w:t>3. Funkcjonalność oprogramowania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b/>
          <w:bCs/>
          <w:sz w:val="22"/>
          <w:szCs w:val="22"/>
        </w:rPr>
        <w:t>Oprogramowanie musi zapewniać co najmniej:</w:t>
      </w:r>
      <w:r w:rsidRPr="00D40E21">
        <w:rPr>
          <w:rFonts w:ascii="Calibri" w:hAnsi="Calibri" w:cs="Calibri"/>
          <w:b/>
          <w:bCs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t>Nieliniowy montaż wideo na osi czasu z obsługą wielu ścieżek wideo i audio.</w:t>
      </w:r>
      <w:r w:rsidRPr="00D40E21">
        <w:rPr>
          <w:rFonts w:ascii="Calibri" w:hAnsi="Calibri" w:cs="Calibri"/>
          <w:sz w:val="22"/>
          <w:szCs w:val="22"/>
        </w:rPr>
        <w:br/>
        <w:t>Obsługę materiałów w różnych rozdzielczościach i formatach w jednym projekcie (SD, HD, 4K, 8K – zgodnie z licencją Pro).</w:t>
      </w:r>
      <w:r w:rsidRPr="00D40E21">
        <w:rPr>
          <w:rFonts w:ascii="Calibri" w:hAnsi="Calibri" w:cs="Calibri"/>
          <w:sz w:val="22"/>
          <w:szCs w:val="22"/>
        </w:rPr>
        <w:br/>
        <w:t>Montaż wielokamerowy (</w:t>
      </w:r>
      <w:proofErr w:type="spellStart"/>
      <w:r w:rsidRPr="00D40E21">
        <w:rPr>
          <w:rFonts w:ascii="Calibri" w:hAnsi="Calibri" w:cs="Calibri"/>
          <w:sz w:val="22"/>
          <w:szCs w:val="22"/>
        </w:rPr>
        <w:t>multicam</w:t>
      </w:r>
      <w:proofErr w:type="spellEnd"/>
      <w:r w:rsidRPr="00D40E21">
        <w:rPr>
          <w:rFonts w:ascii="Calibri" w:hAnsi="Calibri" w:cs="Calibri"/>
          <w:sz w:val="22"/>
          <w:szCs w:val="22"/>
        </w:rPr>
        <w:t>) co najmniej do 16 źródeł.</w:t>
      </w:r>
      <w:r w:rsidRPr="00D40E21">
        <w:rPr>
          <w:rFonts w:ascii="Calibri" w:hAnsi="Calibri" w:cs="Calibri"/>
          <w:sz w:val="22"/>
          <w:szCs w:val="22"/>
        </w:rPr>
        <w:br/>
        <w:t>Rozszerzoną obsługę GPU (przyspieszone dekodowanie H.264/H.265) oraz wsparcie aktualnych kart graficznych.</w:t>
      </w:r>
      <w:r w:rsidRPr="00D40E21">
        <w:rPr>
          <w:rFonts w:ascii="Calibri" w:hAnsi="Calibri" w:cs="Calibri"/>
          <w:sz w:val="22"/>
          <w:szCs w:val="22"/>
        </w:rPr>
        <w:br/>
        <w:t xml:space="preserve">Obsługę nowoczesnych formatów i kodeków, m.in.: Sony XAVC H, </w:t>
      </w:r>
      <w:proofErr w:type="spellStart"/>
      <w:r w:rsidRPr="00D40E21">
        <w:rPr>
          <w:rFonts w:ascii="Calibri" w:hAnsi="Calibri" w:cs="Calibri"/>
          <w:sz w:val="22"/>
          <w:szCs w:val="22"/>
        </w:rPr>
        <w:t>Avid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40E21">
        <w:rPr>
          <w:rFonts w:ascii="Calibri" w:hAnsi="Calibri" w:cs="Calibri"/>
          <w:sz w:val="22"/>
          <w:szCs w:val="22"/>
        </w:rPr>
        <w:t>DNxHD</w:t>
      </w:r>
      <w:proofErr w:type="spellEnd"/>
      <w:r w:rsidRPr="00D40E21">
        <w:rPr>
          <w:rFonts w:ascii="Calibri" w:hAnsi="Calibri" w:cs="Calibri"/>
          <w:sz w:val="22"/>
          <w:szCs w:val="22"/>
        </w:rPr>
        <w:t>/</w:t>
      </w:r>
      <w:proofErr w:type="spellStart"/>
      <w:r w:rsidRPr="00D40E21">
        <w:rPr>
          <w:rFonts w:ascii="Calibri" w:hAnsi="Calibri" w:cs="Calibri"/>
          <w:sz w:val="22"/>
          <w:szCs w:val="22"/>
        </w:rPr>
        <w:t>DNxHR</w:t>
      </w:r>
      <w:proofErr w:type="spellEnd"/>
      <w:r w:rsidRPr="00D40E21">
        <w:rPr>
          <w:rFonts w:ascii="Calibri" w:hAnsi="Calibri" w:cs="Calibri"/>
          <w:sz w:val="22"/>
          <w:szCs w:val="22"/>
        </w:rPr>
        <w:t>, HEIF.</w:t>
      </w:r>
      <w:r w:rsidRPr="00D40E21">
        <w:rPr>
          <w:rFonts w:ascii="Calibri" w:hAnsi="Calibri" w:cs="Calibri"/>
          <w:sz w:val="22"/>
          <w:szCs w:val="22"/>
        </w:rPr>
        <w:br/>
        <w:t xml:space="preserve">Możliwość eksportu z </w:t>
      </w:r>
      <w:proofErr w:type="spellStart"/>
      <w:r w:rsidRPr="00D40E21">
        <w:rPr>
          <w:rFonts w:ascii="Calibri" w:hAnsi="Calibri" w:cs="Calibri"/>
          <w:sz w:val="22"/>
          <w:szCs w:val="22"/>
        </w:rPr>
        <w:t>presetami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docelowymi dla mediów społecznościowych.</w:t>
      </w:r>
      <w:r w:rsidRPr="00D40E21">
        <w:rPr>
          <w:rFonts w:ascii="Calibri" w:hAnsi="Calibri" w:cs="Calibri"/>
          <w:sz w:val="22"/>
          <w:szCs w:val="22"/>
        </w:rPr>
        <w:br/>
        <w:t xml:space="preserve">Współpracę z urządzeniami I/O firm AJA oraz </w:t>
      </w:r>
      <w:proofErr w:type="spellStart"/>
      <w:r w:rsidRPr="00D40E21">
        <w:rPr>
          <w:rFonts w:ascii="Calibri" w:hAnsi="Calibri" w:cs="Calibri"/>
          <w:sz w:val="22"/>
          <w:szCs w:val="22"/>
        </w:rPr>
        <w:t>Blackmagic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Design (podgląd/</w:t>
      </w:r>
      <w:proofErr w:type="spellStart"/>
      <w:r w:rsidRPr="00D40E21">
        <w:rPr>
          <w:rFonts w:ascii="Calibri" w:hAnsi="Calibri" w:cs="Calibri"/>
          <w:sz w:val="22"/>
          <w:szCs w:val="22"/>
        </w:rPr>
        <w:t>recording</w:t>
      </w:r>
      <w:proofErr w:type="spellEnd"/>
      <w:r w:rsidRPr="00D40E21">
        <w:rPr>
          <w:rFonts w:ascii="Calibri" w:hAnsi="Calibri" w:cs="Calibri"/>
          <w:sz w:val="22"/>
          <w:szCs w:val="22"/>
        </w:rPr>
        <w:t>).</w:t>
      </w:r>
      <w:r w:rsidRPr="00D40E21">
        <w:rPr>
          <w:rFonts w:ascii="Calibri" w:hAnsi="Calibri" w:cs="Calibri"/>
          <w:sz w:val="22"/>
          <w:szCs w:val="22"/>
        </w:rPr>
        <w:br/>
        <w:t xml:space="preserve">Integrację z Mync 11 (zarządzanie mediami, projektami EDIUS i sekwencjami, transkodowanie, </w:t>
      </w:r>
      <w:proofErr w:type="spellStart"/>
      <w:r w:rsidRPr="00D40E21">
        <w:rPr>
          <w:rFonts w:ascii="Calibri" w:hAnsi="Calibri" w:cs="Calibri"/>
          <w:sz w:val="22"/>
          <w:szCs w:val="22"/>
        </w:rPr>
        <w:t>job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monitor).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br/>
        <w:t>4. Wymagania techniczne (minimalne)</w:t>
      </w:r>
      <w:r w:rsidRPr="00D40E21">
        <w:rPr>
          <w:rFonts w:ascii="Calibri" w:hAnsi="Calibri" w:cs="Calibri"/>
          <w:sz w:val="22"/>
          <w:szCs w:val="22"/>
        </w:rPr>
        <w:br/>
        <w:t>Oprogramowanie powinno działać na platformie PC spełniającej minimalne wymagania producenta:</w:t>
      </w:r>
      <w:r w:rsidRPr="00D40E21">
        <w:rPr>
          <w:rFonts w:ascii="Calibri" w:hAnsi="Calibri" w:cs="Calibri"/>
          <w:sz w:val="22"/>
          <w:szCs w:val="22"/>
        </w:rPr>
        <w:br/>
        <w:t>System operacyjny:</w:t>
      </w:r>
      <w:r w:rsidRPr="00D40E21">
        <w:rPr>
          <w:rFonts w:ascii="Calibri" w:hAnsi="Calibri" w:cs="Calibri"/>
          <w:sz w:val="22"/>
          <w:szCs w:val="22"/>
        </w:rPr>
        <w:br/>
        <w:t>Windows 10 64</w:t>
      </w:r>
      <w:r w:rsidRPr="00D40E21">
        <w:rPr>
          <w:rFonts w:ascii="Calibri" w:hAnsi="Calibri" w:cs="Calibri"/>
          <w:sz w:val="22"/>
          <w:szCs w:val="22"/>
        </w:rPr>
        <w:noBreakHyphen/>
        <w:t>bit (wersja 21H2 lub nowsza) lub</w:t>
      </w:r>
      <w:r w:rsidRPr="00D40E21">
        <w:rPr>
          <w:rFonts w:ascii="Calibri" w:hAnsi="Calibri" w:cs="Calibri"/>
          <w:sz w:val="22"/>
          <w:szCs w:val="22"/>
        </w:rPr>
        <w:br/>
        <w:t>Windows 11 64</w:t>
      </w:r>
      <w:r w:rsidRPr="00D40E21">
        <w:rPr>
          <w:rFonts w:ascii="Calibri" w:hAnsi="Calibri" w:cs="Calibri"/>
          <w:sz w:val="22"/>
          <w:szCs w:val="22"/>
        </w:rPr>
        <w:noBreakHyphen/>
        <w:t>bit.</w:t>
      </w:r>
      <w:r w:rsidRPr="00D40E21">
        <w:rPr>
          <w:rFonts w:ascii="Calibri" w:hAnsi="Calibri" w:cs="Calibri"/>
          <w:sz w:val="22"/>
          <w:szCs w:val="22"/>
        </w:rPr>
        <w:br/>
        <w:t>Procesor: Intel 5. generacji lub nowszy, lub równoważny AMD z obsługą AVX2.</w:t>
      </w:r>
      <w:r w:rsidRPr="00D40E21">
        <w:rPr>
          <w:rFonts w:ascii="Calibri" w:hAnsi="Calibri" w:cs="Calibri"/>
          <w:sz w:val="22"/>
          <w:szCs w:val="22"/>
        </w:rPr>
        <w:br/>
        <w:t>Pamięć RAM: min. 8 GB (zalecane 16 GB lub więcej przy projektach 4K/8K).</w:t>
      </w:r>
      <w:r w:rsidRPr="00D40E21">
        <w:rPr>
          <w:rFonts w:ascii="Calibri" w:hAnsi="Calibri" w:cs="Calibri"/>
          <w:sz w:val="22"/>
          <w:szCs w:val="22"/>
        </w:rPr>
        <w:br/>
        <w:t>Dyski:</w:t>
      </w:r>
      <w:r w:rsidRPr="00D40E21">
        <w:rPr>
          <w:rFonts w:ascii="Calibri" w:hAnsi="Calibri" w:cs="Calibri"/>
          <w:sz w:val="22"/>
          <w:szCs w:val="22"/>
        </w:rPr>
        <w:br/>
        <w:t>System: SSD (zalecane).</w:t>
      </w:r>
      <w:r w:rsidRPr="00D40E21">
        <w:rPr>
          <w:rFonts w:ascii="Calibri" w:hAnsi="Calibri" w:cs="Calibri"/>
          <w:sz w:val="22"/>
          <w:szCs w:val="22"/>
        </w:rPr>
        <w:br/>
        <w:t>Media: dodatkowe szybkie dyski na materiał wideo (zalecane).</w:t>
      </w:r>
      <w:r w:rsidRPr="00D40E21">
        <w:rPr>
          <w:rFonts w:ascii="Calibri" w:hAnsi="Calibri" w:cs="Calibri"/>
          <w:sz w:val="22"/>
          <w:szCs w:val="22"/>
        </w:rPr>
        <w:br/>
        <w:t xml:space="preserve">Karta graficzna: min. 1 GB VRAM (SD/HD), dla 4K/8K min. 2 GB VRAM, wsparcie co najmniej Direct3D </w:t>
      </w:r>
      <w:r w:rsidRPr="00D40E21">
        <w:rPr>
          <w:rFonts w:ascii="Calibri" w:hAnsi="Calibri" w:cs="Calibri"/>
          <w:sz w:val="22"/>
          <w:szCs w:val="22"/>
        </w:rPr>
        <w:lastRenderedPageBreak/>
        <w:t xml:space="preserve">9.0c / </w:t>
      </w:r>
      <w:proofErr w:type="spellStart"/>
      <w:r w:rsidRPr="00D40E21">
        <w:rPr>
          <w:rFonts w:ascii="Calibri" w:hAnsi="Calibri" w:cs="Calibri"/>
          <w:sz w:val="22"/>
          <w:szCs w:val="22"/>
        </w:rPr>
        <w:t>Pixel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40E21">
        <w:rPr>
          <w:rFonts w:ascii="Calibri" w:hAnsi="Calibri" w:cs="Calibri"/>
          <w:sz w:val="22"/>
          <w:szCs w:val="22"/>
        </w:rPr>
        <w:t>Shader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3.0, zgodność z DirectX 11.</w:t>
      </w:r>
      <w:r w:rsidRPr="00D40E21">
        <w:rPr>
          <w:rFonts w:ascii="Calibri" w:hAnsi="Calibri" w:cs="Calibri"/>
          <w:sz w:val="22"/>
          <w:szCs w:val="22"/>
        </w:rPr>
        <w:br/>
        <w:t>Karta dźwiękowa: zgodna z WDM.</w:t>
      </w:r>
      <w:r w:rsidRPr="00D40E21">
        <w:rPr>
          <w:rFonts w:ascii="Calibri" w:hAnsi="Calibri" w:cs="Calibri"/>
          <w:sz w:val="22"/>
          <w:szCs w:val="22"/>
        </w:rPr>
        <w:br/>
        <w:t>Sieć: połączenie internetowe wymagane do aktywacji licencji oraz okresowej weryfikacji (co ok. 30 dni).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br/>
        <w:t>5. Warunki licencyjne i aktywacja</w:t>
      </w:r>
      <w:r w:rsidRPr="00D40E21">
        <w:rPr>
          <w:rFonts w:ascii="Calibri" w:hAnsi="Calibri" w:cs="Calibri"/>
          <w:sz w:val="22"/>
          <w:szCs w:val="22"/>
        </w:rPr>
        <w:br/>
        <w:t xml:space="preserve">Licencja aktywowana przy użyciu systemu GV License Manager / </w:t>
      </w:r>
      <w:proofErr w:type="spellStart"/>
      <w:r w:rsidRPr="00D40E21">
        <w:rPr>
          <w:rFonts w:ascii="Calibri" w:hAnsi="Calibri" w:cs="Calibri"/>
          <w:sz w:val="22"/>
          <w:szCs w:val="22"/>
        </w:rPr>
        <w:t>eID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producenta.</w:t>
      </w:r>
      <w:r w:rsidRPr="00D40E21">
        <w:rPr>
          <w:rFonts w:ascii="Calibri" w:hAnsi="Calibri" w:cs="Calibri"/>
          <w:sz w:val="22"/>
          <w:szCs w:val="22"/>
        </w:rPr>
        <w:br/>
        <w:t xml:space="preserve">W przypadku licencji JUMP wymagane jest utrzymanie aktywnej licencji wcześniejszej wersji EDIUS powiązanej z tym samym </w:t>
      </w:r>
      <w:proofErr w:type="spellStart"/>
      <w:r w:rsidRPr="00D40E21">
        <w:rPr>
          <w:rFonts w:ascii="Calibri" w:hAnsi="Calibri" w:cs="Calibri"/>
          <w:sz w:val="22"/>
          <w:szCs w:val="22"/>
        </w:rPr>
        <w:t>eID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(nie wolno jej dezaktywować, aby uniknąć komunikatu „</w:t>
      </w:r>
      <w:proofErr w:type="spellStart"/>
      <w:r w:rsidRPr="00D40E21">
        <w:rPr>
          <w:rFonts w:ascii="Calibri" w:hAnsi="Calibri" w:cs="Calibri"/>
          <w:sz w:val="22"/>
          <w:szCs w:val="22"/>
        </w:rPr>
        <w:t>Invalid</w:t>
      </w:r>
      <w:proofErr w:type="spellEnd"/>
      <w:r w:rsidRPr="00D40E2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40E21">
        <w:rPr>
          <w:rFonts w:ascii="Calibri" w:hAnsi="Calibri" w:cs="Calibri"/>
          <w:sz w:val="22"/>
          <w:szCs w:val="22"/>
        </w:rPr>
        <w:t>license</w:t>
      </w:r>
      <w:proofErr w:type="spellEnd"/>
      <w:r w:rsidRPr="00D40E21">
        <w:rPr>
          <w:rFonts w:ascii="Calibri" w:hAnsi="Calibri" w:cs="Calibri"/>
          <w:sz w:val="22"/>
          <w:szCs w:val="22"/>
        </w:rPr>
        <w:t>”).</w:t>
      </w:r>
      <w:r w:rsidRPr="00D40E21">
        <w:rPr>
          <w:rFonts w:ascii="Calibri" w:hAnsi="Calibri" w:cs="Calibri"/>
          <w:sz w:val="22"/>
          <w:szCs w:val="22"/>
        </w:rPr>
        <w:br/>
        <w:t xml:space="preserve">Pozostała kopia wcześniejszej wersji nie może być wykorzystana na innym komputerze (zgodnie z zasadami </w:t>
      </w:r>
      <w:proofErr w:type="spellStart"/>
      <w:r w:rsidRPr="00D40E21">
        <w:rPr>
          <w:rFonts w:ascii="Calibri" w:hAnsi="Calibri" w:cs="Calibri"/>
          <w:sz w:val="22"/>
          <w:szCs w:val="22"/>
        </w:rPr>
        <w:t>Jump</w:t>
      </w:r>
      <w:proofErr w:type="spellEnd"/>
      <w:r w:rsidRPr="00D40E21">
        <w:rPr>
          <w:rFonts w:ascii="Calibri" w:hAnsi="Calibri" w:cs="Calibri"/>
          <w:sz w:val="22"/>
          <w:szCs w:val="22"/>
        </w:rPr>
        <w:t>/Upgrade).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br/>
        <w:t>6. Wymagania dot. dostawcy</w:t>
      </w:r>
      <w:r w:rsidRPr="00D40E21">
        <w:rPr>
          <w:rFonts w:ascii="Calibri" w:hAnsi="Calibri" w:cs="Calibri"/>
          <w:sz w:val="22"/>
          <w:szCs w:val="22"/>
        </w:rPr>
        <w:br/>
      </w:r>
      <w:r w:rsidRPr="00F94809">
        <w:rPr>
          <w:rFonts w:ascii="Calibri" w:hAnsi="Calibri" w:cs="Calibri"/>
          <w:sz w:val="22"/>
          <w:szCs w:val="22"/>
        </w:rPr>
        <w:t xml:space="preserve">Dostawa licencji w terminie maks. </w:t>
      </w:r>
      <w:r w:rsidR="00085FA1" w:rsidRPr="00F94809">
        <w:rPr>
          <w:rFonts w:ascii="Calibri" w:hAnsi="Calibri" w:cs="Calibri"/>
          <w:sz w:val="22"/>
          <w:szCs w:val="22"/>
        </w:rPr>
        <w:t>30</w:t>
      </w:r>
      <w:r w:rsidRPr="00F94809">
        <w:rPr>
          <w:rFonts w:ascii="Calibri" w:hAnsi="Calibri" w:cs="Calibri"/>
          <w:sz w:val="22"/>
          <w:szCs w:val="22"/>
        </w:rPr>
        <w:t xml:space="preserve"> dni od daty podpisania umowy</w:t>
      </w:r>
      <w:r w:rsidR="00085FA1" w:rsidRPr="00F94809">
        <w:rPr>
          <w:rFonts w:ascii="Calibri" w:hAnsi="Calibri" w:cs="Calibri"/>
          <w:sz w:val="22"/>
          <w:szCs w:val="22"/>
        </w:rPr>
        <w:t>.</w:t>
      </w:r>
      <w:r w:rsidRPr="00F94809">
        <w:rPr>
          <w:rFonts w:ascii="Calibri" w:hAnsi="Calibri" w:cs="Calibri"/>
          <w:sz w:val="22"/>
          <w:szCs w:val="22"/>
        </w:rPr>
        <w:br/>
        <w:t>Dostawca zapewni minimum 12 miesięcy wsparcia w zakresie: poprawnej aktywacji licencji, dostępu do aktualizacji w ramach wersji 11 oraz kontaktu z pomocą techniczną producenta/dystrybutora.</w:t>
      </w:r>
      <w:r w:rsidRPr="00D40E21">
        <w:rPr>
          <w:rFonts w:ascii="Calibri" w:hAnsi="Calibri" w:cs="Calibri"/>
          <w:sz w:val="22"/>
          <w:szCs w:val="22"/>
        </w:rPr>
        <w:br/>
      </w:r>
      <w:r w:rsidRPr="00D40E21">
        <w:rPr>
          <w:rFonts w:ascii="Calibri" w:hAnsi="Calibri" w:cs="Calibri"/>
          <w:sz w:val="22"/>
          <w:szCs w:val="22"/>
        </w:rPr>
        <w:br/>
      </w:r>
      <w:r w:rsidRPr="009234B1">
        <w:rPr>
          <w:rFonts w:ascii="Calibri" w:hAnsi="Calibri" w:cs="Calibri"/>
          <w:b/>
          <w:bCs/>
          <w:sz w:val="22"/>
          <w:szCs w:val="22"/>
        </w:rPr>
        <w:t>7. Kryteria równoważności</w:t>
      </w:r>
      <w:r w:rsidRPr="009234B1">
        <w:rPr>
          <w:rFonts w:ascii="Calibri" w:hAnsi="Calibri" w:cs="Calibri"/>
          <w:b/>
          <w:bCs/>
          <w:sz w:val="22"/>
          <w:szCs w:val="22"/>
        </w:rPr>
        <w:br/>
        <w:t>W przypadku oferowania rozwiązania równoważnego, musi ono spełniać co najmniej następujące warunki funkcjonalne i techniczne:</w:t>
      </w:r>
      <w:r w:rsidRPr="009234B1">
        <w:rPr>
          <w:rFonts w:ascii="Calibri" w:hAnsi="Calibri" w:cs="Calibri"/>
          <w:b/>
          <w:bCs/>
          <w:sz w:val="22"/>
          <w:szCs w:val="22"/>
        </w:rPr>
        <w:br/>
        <w:t>Nieliniowy montaż wideo wielościeżkowy z obsługą minimum 4K.</w:t>
      </w:r>
      <w:r w:rsidRPr="009234B1">
        <w:rPr>
          <w:rFonts w:ascii="Calibri" w:hAnsi="Calibri" w:cs="Calibri"/>
          <w:b/>
          <w:bCs/>
          <w:sz w:val="22"/>
          <w:szCs w:val="22"/>
        </w:rPr>
        <w:br/>
        <w:t xml:space="preserve">Obsługa wielu formatów i kodeków zbliżonych do listy dla EDIUS 11 Pro (H.264/H.265, </w:t>
      </w:r>
      <w:proofErr w:type="spellStart"/>
      <w:r w:rsidRPr="009234B1">
        <w:rPr>
          <w:rFonts w:ascii="Calibri" w:hAnsi="Calibri" w:cs="Calibri"/>
          <w:b/>
          <w:bCs/>
          <w:sz w:val="22"/>
          <w:szCs w:val="22"/>
        </w:rPr>
        <w:t>DNxHD</w:t>
      </w:r>
      <w:proofErr w:type="spellEnd"/>
      <w:r w:rsidRPr="009234B1">
        <w:rPr>
          <w:rFonts w:ascii="Calibri" w:hAnsi="Calibri" w:cs="Calibri"/>
          <w:b/>
          <w:bCs/>
          <w:sz w:val="22"/>
          <w:szCs w:val="22"/>
        </w:rPr>
        <w:t>/</w:t>
      </w:r>
      <w:proofErr w:type="spellStart"/>
      <w:r w:rsidRPr="009234B1">
        <w:rPr>
          <w:rFonts w:ascii="Calibri" w:hAnsi="Calibri" w:cs="Calibri"/>
          <w:b/>
          <w:bCs/>
          <w:sz w:val="22"/>
          <w:szCs w:val="22"/>
        </w:rPr>
        <w:t>DNxHR</w:t>
      </w:r>
      <w:proofErr w:type="spellEnd"/>
      <w:r w:rsidRPr="009234B1">
        <w:rPr>
          <w:rFonts w:ascii="Calibri" w:hAnsi="Calibri" w:cs="Calibri"/>
          <w:b/>
          <w:bCs/>
          <w:sz w:val="22"/>
          <w:szCs w:val="22"/>
        </w:rPr>
        <w:t>, XAVC itp.).</w:t>
      </w:r>
      <w:r w:rsidRPr="009234B1">
        <w:rPr>
          <w:rFonts w:ascii="Calibri" w:hAnsi="Calibri" w:cs="Calibri"/>
          <w:b/>
          <w:bCs/>
          <w:sz w:val="22"/>
          <w:szCs w:val="22"/>
        </w:rPr>
        <w:br/>
        <w:t>Montaż wielokamerowy (min. 8 źródeł).</w:t>
      </w:r>
      <w:r w:rsidRPr="009234B1">
        <w:rPr>
          <w:rFonts w:ascii="Calibri" w:hAnsi="Calibri" w:cs="Calibri"/>
          <w:b/>
          <w:bCs/>
          <w:sz w:val="22"/>
          <w:szCs w:val="22"/>
        </w:rPr>
        <w:br/>
        <w:t>Wsparcie dla akceleracji GPU i współpraca z kartami I/O AJA/</w:t>
      </w:r>
      <w:proofErr w:type="spellStart"/>
      <w:r w:rsidRPr="009234B1">
        <w:rPr>
          <w:rFonts w:ascii="Calibri" w:hAnsi="Calibri" w:cs="Calibri"/>
          <w:b/>
          <w:bCs/>
          <w:sz w:val="22"/>
          <w:szCs w:val="22"/>
        </w:rPr>
        <w:t>Blackmagic</w:t>
      </w:r>
      <w:proofErr w:type="spellEnd"/>
      <w:r w:rsidRPr="009234B1">
        <w:rPr>
          <w:rFonts w:ascii="Calibri" w:hAnsi="Calibri" w:cs="Calibri"/>
          <w:b/>
          <w:bCs/>
          <w:sz w:val="22"/>
          <w:szCs w:val="22"/>
        </w:rPr>
        <w:t xml:space="preserve"> lub równoważnymi.</w:t>
      </w:r>
      <w:r w:rsidRPr="009234B1">
        <w:rPr>
          <w:rFonts w:ascii="Calibri" w:hAnsi="Calibri" w:cs="Calibri"/>
          <w:b/>
          <w:bCs/>
          <w:sz w:val="22"/>
          <w:szCs w:val="22"/>
        </w:rPr>
        <w:br/>
        <w:t>Licencja bezterminowa komercyjna dla 1 stanowiska, z możliwością rejestracji/aktywacji online oraz z aktualnymi wymaganiami sprzętowymi nie wyższymi niż opisane powyżej.</w:t>
      </w:r>
    </w:p>
    <w:p w14:paraId="0792CD55" w14:textId="25DBFC17" w:rsidR="00D40E21" w:rsidRPr="00D40E21" w:rsidRDefault="00D40E21"/>
    <w:p w14:paraId="0362B967" w14:textId="77777777" w:rsidR="00D40E21" w:rsidRPr="00D40E21" w:rsidRDefault="00D40E21"/>
    <w:sectPr w:rsidR="00D40E21" w:rsidRPr="00D40E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40B3" w14:textId="77777777" w:rsidR="00D40E21" w:rsidRDefault="00D40E21" w:rsidP="00D40E21">
      <w:pPr>
        <w:spacing w:after="0" w:line="240" w:lineRule="auto"/>
      </w:pPr>
      <w:r>
        <w:separator/>
      </w:r>
    </w:p>
  </w:endnote>
  <w:endnote w:type="continuationSeparator" w:id="0">
    <w:p w14:paraId="707BA06E" w14:textId="77777777" w:rsidR="00D40E21" w:rsidRDefault="00D40E21" w:rsidP="00D40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5692" w14:textId="77777777" w:rsidR="00D40E21" w:rsidRDefault="00D40E21" w:rsidP="00D40E21">
      <w:pPr>
        <w:spacing w:after="0" w:line="240" w:lineRule="auto"/>
      </w:pPr>
      <w:r>
        <w:separator/>
      </w:r>
    </w:p>
  </w:footnote>
  <w:footnote w:type="continuationSeparator" w:id="0">
    <w:p w14:paraId="1924E182" w14:textId="77777777" w:rsidR="00D40E21" w:rsidRDefault="00D40E21" w:rsidP="00D40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8F36" w14:textId="09CD1A8B" w:rsidR="00D40E21" w:rsidRDefault="00D40E21">
    <w:pPr>
      <w:pStyle w:val="Nagwek"/>
    </w:pPr>
    <w:r w:rsidRPr="000F3AD7">
      <w:rPr>
        <w:noProof/>
      </w:rPr>
      <w:drawing>
        <wp:inline distT="0" distB="0" distL="0" distR="0" wp14:anchorId="1C8004C4" wp14:editId="76438481">
          <wp:extent cx="5753100" cy="60007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4-07"/>
    <w:docVar w:name="LE_Links" w:val="{9612EC50-9C6B-43C2-9CAF-82BB10E7E03C}"/>
  </w:docVars>
  <w:rsids>
    <w:rsidRoot w:val="00D40E21"/>
    <w:rsid w:val="00085FA1"/>
    <w:rsid w:val="0021569F"/>
    <w:rsid w:val="006446E8"/>
    <w:rsid w:val="009234B1"/>
    <w:rsid w:val="009F5079"/>
    <w:rsid w:val="00D40E21"/>
    <w:rsid w:val="00F9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E32E2"/>
  <w15:chartTrackingRefBased/>
  <w15:docId w15:val="{A3230BDB-44A3-47EB-8BBA-723F20132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0E21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40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0E21"/>
  </w:style>
  <w:style w:type="paragraph" w:styleId="Stopka">
    <w:name w:val="footer"/>
    <w:basedOn w:val="Normalny"/>
    <w:link w:val="StopkaZnak"/>
    <w:uiPriority w:val="99"/>
    <w:unhideWhenUsed/>
    <w:rsid w:val="00D40E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0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612EC50-9C6B-43C2-9CAF-82BB10E7E03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556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Dzięgielewski</dc:creator>
  <cp:keywords/>
  <dc:description/>
  <cp:lastModifiedBy>Grzegorz Dzięgielewski</cp:lastModifiedBy>
  <cp:revision>5</cp:revision>
  <dcterms:created xsi:type="dcterms:W3CDTF">2026-04-07T12:05:00Z</dcterms:created>
  <dcterms:modified xsi:type="dcterms:W3CDTF">2026-04-09T08:31:00Z</dcterms:modified>
</cp:coreProperties>
</file>