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AE806" w14:textId="77777777" w:rsidR="00177ACD" w:rsidRDefault="00177ACD" w:rsidP="007F377A">
      <w:pPr>
        <w:pStyle w:val="Nagwek1"/>
        <w:tabs>
          <w:tab w:val="left" w:pos="2320"/>
        </w:tabs>
        <w:kinsoku w:val="0"/>
        <w:overflowPunct w:val="0"/>
        <w:spacing w:before="83"/>
        <w:ind w:left="2127" w:hanging="1931"/>
        <w:jc w:val="both"/>
        <w:rPr>
          <w:b w:val="0"/>
          <w:bCs w:val="0"/>
          <w:sz w:val="30"/>
          <w:szCs w:val="30"/>
        </w:rPr>
      </w:pPr>
      <w:r>
        <w:t>D.04.05.01</w:t>
      </w:r>
      <w:r w:rsidR="007F377A">
        <w:t>a</w:t>
      </w:r>
      <w:r>
        <w:tab/>
      </w:r>
      <w:r w:rsidR="007F377A" w:rsidRPr="007F377A">
        <w:t>ULEPSZONE PODŁOŻE Z MIESZANKI BETONOWEJ POPIOŁOWO-ŻUŻLOWEJ</w:t>
      </w:r>
    </w:p>
    <w:p w14:paraId="25C41D86" w14:textId="77777777" w:rsidR="00177ACD" w:rsidRDefault="00177ACD">
      <w:pPr>
        <w:pStyle w:val="Tekstpodstawowy"/>
        <w:kinsoku w:val="0"/>
        <w:overflowPunct w:val="0"/>
        <w:spacing w:before="2"/>
        <w:ind w:left="0"/>
        <w:rPr>
          <w:b/>
          <w:bCs/>
          <w:sz w:val="43"/>
          <w:szCs w:val="43"/>
        </w:rPr>
      </w:pPr>
    </w:p>
    <w:p w14:paraId="6FAD745E" w14:textId="77777777" w:rsidR="00177ACD" w:rsidRDefault="00177ACD">
      <w:pPr>
        <w:pStyle w:val="Akapitzlist"/>
        <w:numPr>
          <w:ilvl w:val="0"/>
          <w:numId w:val="3"/>
        </w:numPr>
        <w:tabs>
          <w:tab w:val="left" w:pos="477"/>
        </w:tabs>
        <w:kinsoku w:val="0"/>
        <w:overflowPunct w:val="0"/>
        <w:spacing w:before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WSTĘP</w:t>
      </w:r>
    </w:p>
    <w:p w14:paraId="6C56406B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spacing w:before="50"/>
        <w:ind w:hanging="353"/>
      </w:pPr>
      <w:r>
        <w:t>Przedmiot</w:t>
      </w:r>
      <w:r>
        <w:rPr>
          <w:spacing w:val="1"/>
        </w:rPr>
        <w:t xml:space="preserve"> </w:t>
      </w:r>
      <w:r>
        <w:t>ST</w:t>
      </w:r>
    </w:p>
    <w:p w14:paraId="3E0A50C2" w14:textId="56BFCEE0" w:rsidR="00177ACD" w:rsidRDefault="00177ACD" w:rsidP="00C8619F">
      <w:pPr>
        <w:pStyle w:val="Tekstpodstawowy"/>
        <w:kinsoku w:val="0"/>
        <w:overflowPunct w:val="0"/>
        <w:spacing w:before="29" w:line="276" w:lineRule="auto"/>
        <w:ind w:right="120" w:firstLine="707"/>
        <w:jc w:val="both"/>
        <w:rPr>
          <w:w w:val="99"/>
        </w:rPr>
      </w:pPr>
      <w:r>
        <w:t xml:space="preserve">Przedmiotem  niniejszej  specyfikacji  technicznej  (ST)  są  wymagania  ogólne  dotyczące  wykonania i odbioru robót związanych z wykonywaniem ulepszonego podłoża z gruntu stabilizowanego cementem w ramach realizacji zadania: </w:t>
      </w:r>
      <w:r w:rsidR="00484954" w:rsidRPr="00484954">
        <w:rPr>
          <w:b/>
          <w:bCs/>
        </w:rPr>
        <w:t>„</w:t>
      </w:r>
      <w:r w:rsidR="004F1CAE" w:rsidRPr="004F1CAE">
        <w:rPr>
          <w:b/>
          <w:bCs/>
          <w:iCs/>
        </w:rPr>
        <w:t xml:space="preserve">Remont kanalizacji deszczowej wraz z odtworzeniem nawierzchni </w:t>
      </w:r>
      <w:r w:rsidR="004F1CAE" w:rsidRPr="004F1CAE">
        <w:rPr>
          <w:b/>
          <w:bCs/>
          <w:iCs/>
        </w:rPr>
        <w:br/>
        <w:t>i konstrukcji jezdni w ramach zadania pn. „Odbudowa uszkodzonej w czasie powodzi kanalizacji deszczowej w ul. Letniej w km 0+000 – 0+765”</w:t>
      </w:r>
      <w:r w:rsidR="003B4D88">
        <w:rPr>
          <w:b/>
          <w:bCs/>
        </w:rPr>
        <w:t>.</w:t>
      </w:r>
      <w:r w:rsidR="00C8619F">
        <w:rPr>
          <w:b/>
          <w:bCs/>
        </w:rPr>
        <w:t xml:space="preserve"> </w:t>
      </w:r>
    </w:p>
    <w:p w14:paraId="2CC8EFA7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spacing w:before="39"/>
        <w:ind w:hanging="353"/>
        <w:jc w:val="left"/>
      </w:pPr>
      <w:r>
        <w:t>Zakres stosowania</w:t>
      </w:r>
      <w:r>
        <w:rPr>
          <w:spacing w:val="1"/>
        </w:rPr>
        <w:t xml:space="preserve"> </w:t>
      </w:r>
      <w:r>
        <w:t>ST</w:t>
      </w:r>
    </w:p>
    <w:p w14:paraId="339EB6F4" w14:textId="77777777" w:rsidR="00177ACD" w:rsidRDefault="0029662F" w:rsidP="0029662F">
      <w:pPr>
        <w:pStyle w:val="Tekstpodstawowy"/>
        <w:tabs>
          <w:tab w:val="left" w:pos="6435"/>
        </w:tabs>
        <w:kinsoku w:val="0"/>
        <w:overflowPunct w:val="0"/>
        <w:spacing w:before="6"/>
        <w:ind w:left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ab/>
      </w:r>
    </w:p>
    <w:p w14:paraId="6ADD8DF2" w14:textId="77777777" w:rsidR="00177ACD" w:rsidRDefault="00177ACD">
      <w:pPr>
        <w:pStyle w:val="Tekstpodstawowy"/>
        <w:kinsoku w:val="0"/>
        <w:overflowPunct w:val="0"/>
        <w:spacing w:line="276" w:lineRule="auto"/>
      </w:pPr>
      <w:r>
        <w:t>Specyfikacja techniczna (ST) stosowana jest jako dokument przetargowy i kontraktowy przy zlecaniu i realizacji robót określonych w p. 1.1.</w:t>
      </w:r>
    </w:p>
    <w:p w14:paraId="509B7EEA" w14:textId="77777777" w:rsidR="00177ACD" w:rsidRDefault="00177ACD">
      <w:pPr>
        <w:pStyle w:val="Tekstpodstawowy"/>
        <w:kinsoku w:val="0"/>
        <w:overflowPunct w:val="0"/>
        <w:spacing w:before="6"/>
        <w:ind w:left="0"/>
        <w:rPr>
          <w:sz w:val="23"/>
          <w:szCs w:val="23"/>
        </w:rPr>
      </w:pPr>
    </w:p>
    <w:p w14:paraId="7860B68A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ind w:hanging="353"/>
        <w:jc w:val="left"/>
      </w:pPr>
      <w:r>
        <w:t>Zakres robót objętych</w:t>
      </w:r>
      <w:r>
        <w:rPr>
          <w:spacing w:val="1"/>
        </w:rPr>
        <w:t xml:space="preserve"> </w:t>
      </w:r>
      <w:r>
        <w:t>ST</w:t>
      </w:r>
    </w:p>
    <w:p w14:paraId="3147BCAD" w14:textId="77777777" w:rsidR="00177ACD" w:rsidRDefault="00177ACD">
      <w:pPr>
        <w:pStyle w:val="Tekstpodstawowy"/>
        <w:kinsoku w:val="0"/>
        <w:overflowPunct w:val="0"/>
        <w:spacing w:before="29" w:line="276" w:lineRule="auto"/>
        <w:ind w:right="290" w:firstLine="707"/>
      </w:pPr>
      <w:r>
        <w:t xml:space="preserve">Ustalenia   zawarte   w   niniejszej   specyfikacji   dotyczą    zasad   prowadzenia   robót   związanych    z wykonaniem ulepszonego podłoża z gruntu stabilizowanego cementem wg </w:t>
      </w:r>
      <w:r w:rsidR="00887533">
        <w:t>norm.</w:t>
      </w:r>
    </w:p>
    <w:p w14:paraId="281E0C18" w14:textId="77777777" w:rsidR="00177ACD" w:rsidRDefault="00177ACD">
      <w:pPr>
        <w:pStyle w:val="Tekstpodstawowy"/>
        <w:kinsoku w:val="0"/>
        <w:overflowPunct w:val="0"/>
        <w:spacing w:line="278" w:lineRule="auto"/>
        <w:ind w:firstLine="707"/>
      </w:pPr>
      <w:r>
        <w:t>Grunty stabilizowane cementem mogą być stosowane do wykonania ulepszonego podłoża wg Katalogu typowych konstrukcji nawierzchni podatnych i półsztywnych [29].</w:t>
      </w:r>
    </w:p>
    <w:p w14:paraId="23C2C6FE" w14:textId="77777777" w:rsidR="00177ACD" w:rsidRDefault="00177ACD">
      <w:pPr>
        <w:pStyle w:val="Tekstpodstawowy"/>
        <w:kinsoku w:val="0"/>
        <w:overflowPunct w:val="0"/>
        <w:spacing w:before="7"/>
        <w:ind w:left="0"/>
        <w:rPr>
          <w:sz w:val="22"/>
          <w:szCs w:val="22"/>
        </w:rPr>
      </w:pPr>
    </w:p>
    <w:p w14:paraId="0258C2B0" w14:textId="77777777" w:rsidR="00177ACD" w:rsidRDefault="00177ACD">
      <w:pPr>
        <w:pStyle w:val="Tekstpodstawowy"/>
        <w:kinsoku w:val="0"/>
        <w:overflowPunct w:val="0"/>
        <w:ind w:left="556"/>
      </w:pPr>
      <w:r>
        <w:t>Zakres robót dla przedmiotowego zadania obejmuje wykonanie:</w:t>
      </w:r>
    </w:p>
    <w:p w14:paraId="22318732" w14:textId="77777777" w:rsidR="00177ACD" w:rsidRDefault="00177ACD">
      <w:pPr>
        <w:pStyle w:val="Tekstpodstawowy"/>
        <w:kinsoku w:val="0"/>
        <w:overflowPunct w:val="0"/>
        <w:spacing w:before="11"/>
        <w:ind w:left="0"/>
        <w:rPr>
          <w:sz w:val="25"/>
          <w:szCs w:val="25"/>
        </w:rPr>
      </w:pPr>
    </w:p>
    <w:p w14:paraId="611C57EA" w14:textId="76F35AE1" w:rsidR="007F377A" w:rsidRPr="007F377A" w:rsidRDefault="00177ACD" w:rsidP="007F377A">
      <w:pPr>
        <w:rPr>
          <w:sz w:val="20"/>
          <w:szCs w:val="20"/>
        </w:rPr>
      </w:pPr>
      <w:r w:rsidRPr="007F377A">
        <w:rPr>
          <w:sz w:val="20"/>
          <w:szCs w:val="20"/>
        </w:rPr>
        <w:t xml:space="preserve">- warstwy ulepszonego podłoża z </w:t>
      </w:r>
      <w:r w:rsidR="007F377A" w:rsidRPr="007F377A">
        <w:rPr>
          <w:sz w:val="20"/>
          <w:szCs w:val="20"/>
        </w:rPr>
        <w:t>mieszanki popiołowo-</w:t>
      </w:r>
      <w:proofErr w:type="spellStart"/>
      <w:r w:rsidR="007F377A" w:rsidRPr="007F377A">
        <w:rPr>
          <w:sz w:val="20"/>
          <w:szCs w:val="20"/>
        </w:rPr>
        <w:t>żużowej</w:t>
      </w:r>
      <w:proofErr w:type="spellEnd"/>
      <w:r w:rsidR="007F377A" w:rsidRPr="007F377A">
        <w:rPr>
          <w:sz w:val="20"/>
          <w:szCs w:val="20"/>
        </w:rPr>
        <w:t xml:space="preserve"> RM 42 [</w:t>
      </w:r>
      <w:proofErr w:type="spellStart"/>
      <w:r w:rsidR="007F377A" w:rsidRPr="007F377A">
        <w:rPr>
          <w:sz w:val="20"/>
          <w:szCs w:val="20"/>
        </w:rPr>
        <w:t>MPa</w:t>
      </w:r>
      <w:proofErr w:type="spellEnd"/>
      <w:r w:rsidR="007F377A" w:rsidRPr="007F377A">
        <w:rPr>
          <w:sz w:val="20"/>
          <w:szCs w:val="20"/>
        </w:rPr>
        <w:t xml:space="preserve">] </w:t>
      </w:r>
      <w:r w:rsidR="007F377A" w:rsidRPr="007F377A">
        <w:rPr>
          <w:sz w:val="18"/>
          <w:szCs w:val="20"/>
        </w:rPr>
        <w:t xml:space="preserve">≥ 2,5 </w:t>
      </w:r>
      <w:r w:rsidRPr="007F377A">
        <w:rPr>
          <w:sz w:val="20"/>
          <w:szCs w:val="20"/>
        </w:rPr>
        <w:t xml:space="preserve">, gr. </w:t>
      </w:r>
      <w:r w:rsidR="004F1CAE">
        <w:rPr>
          <w:sz w:val="20"/>
          <w:szCs w:val="20"/>
        </w:rPr>
        <w:t>25</w:t>
      </w:r>
      <w:r w:rsidRPr="007F377A">
        <w:rPr>
          <w:sz w:val="20"/>
          <w:szCs w:val="20"/>
        </w:rPr>
        <w:t>cm Zgodnie z Dokumentacją Projektową</w:t>
      </w:r>
    </w:p>
    <w:p w14:paraId="1765992E" w14:textId="77777777" w:rsidR="007F377A" w:rsidRDefault="007F377A" w:rsidP="007F377A">
      <w:pPr>
        <w:pStyle w:val="Tekstpodstawowy"/>
        <w:kinsoku w:val="0"/>
        <w:overflowPunct w:val="0"/>
        <w:spacing w:line="554" w:lineRule="auto"/>
        <w:ind w:left="0" w:right="290"/>
      </w:pPr>
    </w:p>
    <w:p w14:paraId="2FB24624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ind w:hanging="353"/>
      </w:pPr>
      <w:r>
        <w:t>Określenia</w:t>
      </w:r>
      <w:r>
        <w:rPr>
          <w:spacing w:val="-1"/>
        </w:rPr>
        <w:t xml:space="preserve"> </w:t>
      </w:r>
      <w:r>
        <w:t>podstawowe</w:t>
      </w:r>
    </w:p>
    <w:p w14:paraId="6539910B" w14:textId="77777777" w:rsidR="007F377A" w:rsidRPr="007F377A" w:rsidRDefault="007F377A" w:rsidP="007F377A"/>
    <w:p w14:paraId="6C7E3526" w14:textId="77777777" w:rsidR="007F377A" w:rsidRPr="007F377A" w:rsidRDefault="007F377A" w:rsidP="007F377A">
      <w:pPr>
        <w:pStyle w:val="Akapitzlist"/>
        <w:numPr>
          <w:ilvl w:val="2"/>
          <w:numId w:val="3"/>
        </w:numPr>
        <w:kinsoku w:val="0"/>
        <w:overflowPunct w:val="0"/>
        <w:spacing w:before="30" w:line="276" w:lineRule="auto"/>
        <w:ind w:left="284" w:right="117" w:firstLine="0"/>
        <w:jc w:val="both"/>
        <w:rPr>
          <w:sz w:val="20"/>
          <w:szCs w:val="20"/>
        </w:rPr>
      </w:pPr>
      <w:r w:rsidRPr="007F377A">
        <w:rPr>
          <w:sz w:val="20"/>
          <w:szCs w:val="20"/>
        </w:rPr>
        <w:t>Mieszanki betonowe  popiołowo – żużlowe są mieszankami związanymi hydraulicznie których głównymi surowcami są uboczne produkty spalania ( UPS ) węgla kamiennego – popioły lotne, kruszywo antropogeniczne oraz woda a w razie potrzeby również dodatki ulepszające.</w:t>
      </w:r>
    </w:p>
    <w:p w14:paraId="40C9F10F" w14:textId="77777777" w:rsidR="00177ACD" w:rsidRPr="007F377A" w:rsidRDefault="007F377A" w:rsidP="007F377A">
      <w:pPr>
        <w:pStyle w:val="Akapitzlist"/>
        <w:numPr>
          <w:ilvl w:val="2"/>
          <w:numId w:val="3"/>
        </w:numPr>
        <w:kinsoku w:val="0"/>
        <w:overflowPunct w:val="0"/>
        <w:spacing w:before="30" w:line="276" w:lineRule="auto"/>
        <w:ind w:left="284" w:right="117" w:firstLine="0"/>
        <w:jc w:val="both"/>
        <w:rPr>
          <w:sz w:val="20"/>
          <w:szCs w:val="20"/>
        </w:rPr>
      </w:pPr>
      <w:r w:rsidRPr="007F377A">
        <w:rPr>
          <w:sz w:val="20"/>
          <w:szCs w:val="20"/>
        </w:rPr>
        <w:t>Podbudowa z mieszanki betonowej popiołowo – żużlowej to jedna lub więcej warstw zagęszczonej mieszanki, która po stwardnieniu stanowi nośną część nawierzchni ( podbudowy ) używanej do budowy dróg, lotnisk i innych powierzchni przeznaczonych dla ruchu kołowego zgodnie z PN-EN 14227-3:2007 o wytrzymałości po 42 dniach twardnienia opisanych w tablicy nr 1 SST</w:t>
      </w:r>
      <w:r w:rsidR="00177ACD">
        <w:rPr>
          <w:sz w:val="20"/>
          <w:szCs w:val="20"/>
        </w:rPr>
        <w:t>.</w:t>
      </w:r>
    </w:p>
    <w:p w14:paraId="1E31A8D7" w14:textId="77777777" w:rsidR="00177ACD" w:rsidRDefault="00177ACD" w:rsidP="00014FF6">
      <w:pPr>
        <w:pStyle w:val="Akapitzlist"/>
        <w:numPr>
          <w:ilvl w:val="2"/>
          <w:numId w:val="3"/>
        </w:numPr>
        <w:kinsoku w:val="0"/>
        <w:overflowPunct w:val="0"/>
        <w:spacing w:line="276" w:lineRule="auto"/>
        <w:ind w:left="284" w:right="118" w:firstLine="0"/>
        <w:jc w:val="both"/>
        <w:rPr>
          <w:sz w:val="20"/>
          <w:szCs w:val="20"/>
        </w:rPr>
      </w:pPr>
      <w:r>
        <w:rPr>
          <w:sz w:val="20"/>
          <w:szCs w:val="20"/>
        </w:rPr>
        <w:t>Pozostałe określenia są zgodne z obowiązującymi, odpowiednimi polskimi normami i z</w:t>
      </w:r>
      <w:r>
        <w:rPr>
          <w:spacing w:val="21"/>
          <w:sz w:val="20"/>
          <w:szCs w:val="20"/>
        </w:rPr>
        <w:t xml:space="preserve"> </w:t>
      </w:r>
      <w:r>
        <w:rPr>
          <w:sz w:val="20"/>
          <w:szCs w:val="20"/>
        </w:rPr>
        <w:t>definicjami podanymi w ST D-00.00.00 „Wymagania ogólne” pkt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1.4.</w:t>
      </w:r>
    </w:p>
    <w:p w14:paraId="7226F228" w14:textId="77777777" w:rsidR="00177ACD" w:rsidRDefault="00177ACD">
      <w:pPr>
        <w:pStyle w:val="Tekstpodstawowy"/>
        <w:kinsoku w:val="0"/>
        <w:overflowPunct w:val="0"/>
        <w:ind w:left="0"/>
        <w:rPr>
          <w:sz w:val="23"/>
          <w:szCs w:val="23"/>
        </w:rPr>
      </w:pPr>
    </w:p>
    <w:p w14:paraId="5B24CF42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ind w:hanging="353"/>
        <w:jc w:val="left"/>
      </w:pPr>
      <w:r>
        <w:t>Ogólne wymagania dotyczące</w:t>
      </w:r>
      <w:r>
        <w:rPr>
          <w:spacing w:val="-2"/>
        </w:rPr>
        <w:t xml:space="preserve"> </w:t>
      </w:r>
      <w:r>
        <w:t>robót</w:t>
      </w:r>
    </w:p>
    <w:p w14:paraId="2E2FF204" w14:textId="77777777" w:rsidR="00177ACD" w:rsidRDefault="00177ACD">
      <w:pPr>
        <w:pStyle w:val="Tekstpodstawowy"/>
        <w:kinsoku w:val="0"/>
        <w:overflowPunct w:val="0"/>
        <w:spacing w:before="32" w:line="276" w:lineRule="auto"/>
        <w:ind w:right="290" w:firstLine="707"/>
      </w:pPr>
      <w:r>
        <w:t>Ogólne wymagania dotyczące robót podano w ST D-04.05.00 „Podbudowy i ulepszone podłoże z gruntów lub kruszyw stabilizowanych spoiwami hydraulicznymi. Wymagania ogólne” pkt 1.5.</w:t>
      </w:r>
    </w:p>
    <w:p w14:paraId="00645188" w14:textId="77777777" w:rsidR="00177ACD" w:rsidRDefault="00177ACD">
      <w:pPr>
        <w:pStyle w:val="Tekstpodstawowy"/>
        <w:kinsoku w:val="0"/>
        <w:overflowPunct w:val="0"/>
        <w:spacing w:before="32" w:line="276" w:lineRule="auto"/>
        <w:ind w:right="290" w:firstLine="707"/>
        <w:sectPr w:rsidR="00177ACD" w:rsidSect="004F1CAE">
          <w:headerReference w:type="default" r:id="rId8"/>
          <w:footerReference w:type="default" r:id="rId9"/>
          <w:pgSz w:w="11910" w:h="16840"/>
          <w:pgMar w:top="1320" w:right="1300" w:bottom="1660" w:left="1220" w:header="478" w:footer="1002" w:gutter="0"/>
          <w:pgNumType w:start="105"/>
          <w:cols w:space="708"/>
          <w:noEndnote/>
        </w:sectPr>
      </w:pPr>
    </w:p>
    <w:p w14:paraId="23988C39" w14:textId="77777777" w:rsidR="00177ACD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>
        <w:lastRenderedPageBreak/>
        <w:t>Materiały</w:t>
      </w:r>
    </w:p>
    <w:p w14:paraId="2E483AEE" w14:textId="77777777" w:rsidR="00177ACD" w:rsidRDefault="00177ACD">
      <w:pPr>
        <w:pStyle w:val="Tekstpodstawowy"/>
        <w:kinsoku w:val="0"/>
        <w:overflowPunct w:val="0"/>
        <w:ind w:left="0"/>
        <w:rPr>
          <w:b/>
          <w:bCs/>
          <w:sz w:val="30"/>
          <w:szCs w:val="30"/>
        </w:rPr>
      </w:pPr>
    </w:p>
    <w:p w14:paraId="2409849E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spacing w:before="217"/>
        <w:ind w:hanging="353"/>
        <w:jc w:val="left"/>
      </w:pPr>
      <w:r>
        <w:t>Ogólne wymagania dotyczące</w:t>
      </w:r>
      <w:r>
        <w:rPr>
          <w:spacing w:val="1"/>
        </w:rPr>
        <w:t xml:space="preserve"> </w:t>
      </w:r>
      <w:r>
        <w:t>materiałów</w:t>
      </w:r>
    </w:p>
    <w:p w14:paraId="1C31782B" w14:textId="77777777" w:rsidR="00CD41B7" w:rsidRDefault="00CD41B7" w:rsidP="00CD41B7">
      <w:pPr>
        <w:pStyle w:val="Tekstpodstawowy"/>
        <w:kinsoku w:val="0"/>
        <w:overflowPunct w:val="0"/>
        <w:spacing w:before="5"/>
      </w:pPr>
      <w:r>
        <w:t>Materiały do produkcji są zgodne z normą PN-EN 14227-3:2007 mieszanki betonowej popiołowo – żużlowej stanowią kompozycję następujących surowców</w:t>
      </w:r>
    </w:p>
    <w:p w14:paraId="30DBCA23" w14:textId="77777777" w:rsidR="00CD41B7" w:rsidRDefault="00CD41B7" w:rsidP="00CD41B7">
      <w:pPr>
        <w:pStyle w:val="Tekstpodstawowy"/>
        <w:kinsoku w:val="0"/>
        <w:overflowPunct w:val="0"/>
        <w:spacing w:before="5"/>
      </w:pPr>
      <w:r>
        <w:t>- popiół lotny</w:t>
      </w:r>
    </w:p>
    <w:p w14:paraId="7AE6633F" w14:textId="77777777" w:rsidR="00CD41B7" w:rsidRDefault="00CD41B7" w:rsidP="00CD41B7">
      <w:pPr>
        <w:pStyle w:val="Tekstpodstawowy"/>
        <w:kinsoku w:val="0"/>
        <w:overflowPunct w:val="0"/>
        <w:spacing w:before="5"/>
      </w:pPr>
      <w:r>
        <w:t>- kruszywo antropogeniczne</w:t>
      </w:r>
    </w:p>
    <w:p w14:paraId="737A737A" w14:textId="77777777" w:rsidR="00CD41B7" w:rsidRDefault="00CD41B7" w:rsidP="00CD41B7">
      <w:pPr>
        <w:pStyle w:val="Tekstpodstawowy"/>
        <w:kinsoku w:val="0"/>
        <w:overflowPunct w:val="0"/>
        <w:spacing w:before="5"/>
      </w:pPr>
      <w:r>
        <w:t>- woda</w:t>
      </w:r>
    </w:p>
    <w:p w14:paraId="3BACF872" w14:textId="77777777" w:rsidR="00177ACD" w:rsidRDefault="00CD41B7" w:rsidP="00CD41B7">
      <w:pPr>
        <w:pStyle w:val="Tekstpodstawowy"/>
        <w:kinsoku w:val="0"/>
        <w:overflowPunct w:val="0"/>
        <w:spacing w:before="5"/>
        <w:ind w:left="0" w:firstLine="195"/>
      </w:pPr>
      <w:r>
        <w:t>- dodatki</w:t>
      </w:r>
    </w:p>
    <w:p w14:paraId="75C40142" w14:textId="77777777" w:rsidR="00CD41B7" w:rsidRDefault="00CD41B7" w:rsidP="00CD41B7">
      <w:pPr>
        <w:pStyle w:val="Tekstpodstawowy"/>
        <w:kinsoku w:val="0"/>
        <w:overflowPunct w:val="0"/>
        <w:spacing w:before="5"/>
        <w:ind w:left="0"/>
        <w:rPr>
          <w:sz w:val="23"/>
          <w:szCs w:val="23"/>
        </w:rPr>
      </w:pPr>
    </w:p>
    <w:p w14:paraId="7B7124A1" w14:textId="77777777" w:rsidR="00177ACD" w:rsidRDefault="00CD41B7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spacing w:before="1"/>
        <w:ind w:hanging="353"/>
        <w:jc w:val="left"/>
      </w:pPr>
      <w:r>
        <w:t>Popiół lotny</w:t>
      </w:r>
    </w:p>
    <w:p w14:paraId="3E9724CE" w14:textId="77777777" w:rsidR="00177ACD" w:rsidRDefault="00CD41B7" w:rsidP="00CD41B7">
      <w:pPr>
        <w:pStyle w:val="Tekstpodstawowy"/>
        <w:kinsoku w:val="0"/>
        <w:overflowPunct w:val="0"/>
        <w:spacing w:before="1"/>
        <w:ind w:left="0" w:firstLine="195"/>
      </w:pPr>
      <w:r w:rsidRPr="00CD41B7">
        <w:t>Krzemionkowy lub wapienny popiół lotny z węgla kamiennego spełniający wymagania podane w EN14227-4</w:t>
      </w:r>
    </w:p>
    <w:p w14:paraId="476BD777" w14:textId="77777777" w:rsidR="00177ACD" w:rsidRDefault="00177ACD">
      <w:pPr>
        <w:pStyle w:val="Tekstpodstawowy"/>
        <w:kinsoku w:val="0"/>
        <w:overflowPunct w:val="0"/>
        <w:spacing w:before="3"/>
        <w:ind w:left="0"/>
        <w:rPr>
          <w:sz w:val="23"/>
          <w:szCs w:val="23"/>
        </w:rPr>
      </w:pPr>
    </w:p>
    <w:p w14:paraId="0F35C7E6" w14:textId="77777777" w:rsidR="00177ACD" w:rsidRDefault="00CD41B7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ind w:hanging="353"/>
      </w:pPr>
      <w:r>
        <w:t>Kruszywo</w:t>
      </w:r>
    </w:p>
    <w:p w14:paraId="1D4289F7" w14:textId="77777777" w:rsidR="00177ACD" w:rsidRDefault="00CD41B7" w:rsidP="00CD41B7">
      <w:pPr>
        <w:pStyle w:val="Tekstpodstawowy"/>
        <w:kinsoku w:val="0"/>
        <w:overflowPunct w:val="0"/>
        <w:spacing w:before="3"/>
        <w:ind w:left="195"/>
      </w:pPr>
      <w:r w:rsidRPr="00CD41B7">
        <w:t>Kruszywo antropogeniczne jest kruszywem sztucznym pochodzenia mineralnego, sklasyfikowany zgodnie z EN 13242:2002 + A1:2007, uzyskane w wyniku procesu przemysłowego obejmującego termiczną modyfikację.</w:t>
      </w:r>
    </w:p>
    <w:p w14:paraId="1CB3802E" w14:textId="77777777" w:rsidR="00CD41B7" w:rsidRDefault="00CD41B7">
      <w:pPr>
        <w:pStyle w:val="Tekstpodstawowy"/>
        <w:kinsoku w:val="0"/>
        <w:overflowPunct w:val="0"/>
        <w:spacing w:before="3"/>
        <w:ind w:left="0"/>
        <w:rPr>
          <w:sz w:val="23"/>
          <w:szCs w:val="23"/>
        </w:rPr>
      </w:pPr>
    </w:p>
    <w:p w14:paraId="2D492813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spacing w:before="85"/>
        <w:ind w:hanging="353"/>
      </w:pPr>
      <w:r>
        <w:t>Woda</w:t>
      </w:r>
    </w:p>
    <w:p w14:paraId="6A931FB1" w14:textId="77777777" w:rsidR="00177ACD" w:rsidRDefault="009555F5" w:rsidP="009555F5">
      <w:pPr>
        <w:pStyle w:val="Tekstpodstawowy"/>
        <w:kinsoku w:val="0"/>
        <w:overflowPunct w:val="0"/>
        <w:spacing w:before="4"/>
        <w:ind w:left="142"/>
      </w:pPr>
      <w:r w:rsidRPr="009555F5">
        <w:t>Do wytwarzania mieszanki betonowej popiołowo – żużlowej stosuje się wodę wodociągową lub wodę technologiczną</w:t>
      </w:r>
    </w:p>
    <w:p w14:paraId="2933AB62" w14:textId="77777777" w:rsidR="009555F5" w:rsidRDefault="009555F5" w:rsidP="009555F5">
      <w:pPr>
        <w:pStyle w:val="Tekstpodstawowy"/>
        <w:kinsoku w:val="0"/>
        <w:overflowPunct w:val="0"/>
        <w:spacing w:before="4"/>
        <w:ind w:left="142"/>
        <w:rPr>
          <w:sz w:val="23"/>
          <w:szCs w:val="23"/>
        </w:rPr>
      </w:pPr>
    </w:p>
    <w:p w14:paraId="3E429F86" w14:textId="77777777" w:rsidR="00177ACD" w:rsidRDefault="00177ACD">
      <w:pPr>
        <w:pStyle w:val="Nagwek2"/>
        <w:numPr>
          <w:ilvl w:val="1"/>
          <w:numId w:val="3"/>
        </w:numPr>
        <w:tabs>
          <w:tab w:val="left" w:pos="549"/>
        </w:tabs>
        <w:kinsoku w:val="0"/>
        <w:overflowPunct w:val="0"/>
        <w:ind w:hanging="353"/>
        <w:jc w:val="left"/>
      </w:pPr>
      <w:r>
        <w:t>Dodatki</w:t>
      </w:r>
      <w:r>
        <w:rPr>
          <w:spacing w:val="-2"/>
        </w:rPr>
        <w:t xml:space="preserve"> </w:t>
      </w:r>
      <w:r>
        <w:t>ulepszające</w:t>
      </w:r>
    </w:p>
    <w:p w14:paraId="1CEEB81D" w14:textId="77777777" w:rsidR="00177ACD" w:rsidRDefault="009555F5" w:rsidP="009555F5">
      <w:pPr>
        <w:pStyle w:val="Tekstpodstawowy"/>
        <w:kinsoku w:val="0"/>
        <w:overflowPunct w:val="0"/>
        <w:spacing w:before="6"/>
        <w:ind w:left="195"/>
      </w:pPr>
      <w:r w:rsidRPr="00D54788">
        <w:t>Do polepszenia procesu wiązania i procesu twardnienia mieszanki związanej popiołami lotnymi mogą być użyte składniki wspomagające takie jak cement, gips, składniki zawierające chlorek wapniowy lub węglan sodowy</w:t>
      </w:r>
    </w:p>
    <w:p w14:paraId="0D1A019C" w14:textId="77777777" w:rsidR="009555F5" w:rsidRDefault="009555F5" w:rsidP="009555F5">
      <w:pPr>
        <w:pStyle w:val="Tekstpodstawowy"/>
        <w:kinsoku w:val="0"/>
        <w:overflowPunct w:val="0"/>
        <w:spacing w:before="6"/>
        <w:ind w:left="195"/>
        <w:rPr>
          <w:sz w:val="23"/>
          <w:szCs w:val="23"/>
        </w:rPr>
      </w:pPr>
    </w:p>
    <w:p w14:paraId="39BC85AE" w14:textId="77777777" w:rsid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>
        <w:t>Mieszanka betonowa</w:t>
      </w:r>
    </w:p>
    <w:p w14:paraId="10612D0B" w14:textId="77777777" w:rsidR="00177ACD" w:rsidRDefault="00177ACD" w:rsidP="009555F5">
      <w:pPr>
        <w:pStyle w:val="Nagwek2"/>
        <w:tabs>
          <w:tab w:val="left" w:pos="549"/>
        </w:tabs>
        <w:kinsoku w:val="0"/>
        <w:overflowPunct w:val="0"/>
        <w:ind w:left="0" w:firstLine="0"/>
        <w:jc w:val="left"/>
      </w:pPr>
    </w:p>
    <w:p w14:paraId="7B09C7C0" w14:textId="42D48038" w:rsidR="009555F5" w:rsidRDefault="009555F5" w:rsidP="009555F5">
      <w:pPr>
        <w:pStyle w:val="Tekstpodstawowy"/>
        <w:kinsoku w:val="0"/>
        <w:overflowPunct w:val="0"/>
        <w:spacing w:before="8"/>
        <w:jc w:val="center"/>
      </w:pPr>
      <w:r>
        <w:t xml:space="preserve">Uziarnienie mieszanek związanych popiołami lotnymi, zostało określone przez producenta zgodnie z EN 933-1. Krzywe graniczne są uzależnione od klasy mieszanki i zostały pokazane na poniższym rysunku </w:t>
      </w:r>
      <w:r w:rsidR="00926910" w:rsidRPr="00D54788">
        <w:rPr>
          <w:noProof/>
        </w:rPr>
        <w:drawing>
          <wp:inline distT="0" distB="0" distL="0" distR="0" wp14:anchorId="5940A7B1" wp14:editId="1953E713">
            <wp:extent cx="4961890" cy="3594100"/>
            <wp:effectExtent l="0" t="0" r="0" b="0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890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0F8E7" w14:textId="77777777" w:rsidR="00177ACD" w:rsidRDefault="009555F5" w:rsidP="009555F5">
      <w:pPr>
        <w:pStyle w:val="Tekstpodstawowy"/>
        <w:kinsoku w:val="0"/>
        <w:overflowPunct w:val="0"/>
        <w:spacing w:before="8"/>
        <w:ind w:left="0"/>
      </w:pPr>
      <w:r>
        <w:lastRenderedPageBreak/>
        <w:t>Rysunek 2 Krzywe graniczne mieszanki betonowej BP 5,0 oraz BP 6,0</w:t>
      </w:r>
    </w:p>
    <w:p w14:paraId="74997BF9" w14:textId="77777777" w:rsid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>Sprzęt</w:t>
      </w:r>
    </w:p>
    <w:p w14:paraId="3F35F94A" w14:textId="77777777" w:rsidR="009555F5" w:rsidRPr="009555F5" w:rsidRDefault="009555F5" w:rsidP="009555F5"/>
    <w:p w14:paraId="14A97336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4.1 Ogólne wymagania dotyczące sprzętu</w:t>
      </w:r>
    </w:p>
    <w:p w14:paraId="43B5A49A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Wykonawca jest zobowiązany do używania jedynie takiego sprzętu który nie spowoduje niekorzystnego wpływu na jakość wykonywanych robót. Sprzęt wykorzystywany do robót powinien być zgodny z ofertą wykonawcy oraz uzgodniony i zaakceptowany przez Inspektora Nadzoru.</w:t>
      </w:r>
    </w:p>
    <w:p w14:paraId="2A787473" w14:textId="77777777" w:rsidR="009555F5" w:rsidRPr="009555F5" w:rsidRDefault="009555F5" w:rsidP="009555F5">
      <w:pPr>
        <w:widowControl/>
        <w:ind w:firstLine="708"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Sprzęt stosowany do wykonania robót</w:t>
      </w:r>
    </w:p>
    <w:p w14:paraId="6A1824B6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mieszanki stacjonarne</w:t>
      </w:r>
    </w:p>
    <w:p w14:paraId="3B453827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układarki do rozkładania mieszanki</w:t>
      </w:r>
    </w:p>
    <w:p w14:paraId="6988086E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ładowarki</w:t>
      </w:r>
    </w:p>
    <w:p w14:paraId="22B8631E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spycharki</w:t>
      </w:r>
    </w:p>
    <w:p w14:paraId="16BF32BE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równiarki</w:t>
      </w:r>
    </w:p>
    <w:p w14:paraId="400A6962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walce wibracyjne lub statyczne</w:t>
      </w:r>
    </w:p>
    <w:p w14:paraId="6A799D94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>- zagęszczarki płytowe</w:t>
      </w:r>
    </w:p>
    <w:p w14:paraId="569F33D2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ab/>
        <w:t xml:space="preserve">- ubijaki mechaniczne lub małe walce wibracyjne do zagęszczania podbudowy w miejscach trudno dostępnych. </w:t>
      </w:r>
    </w:p>
    <w:p w14:paraId="3493DF33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27E66E30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  <w:rPr>
          <w:rFonts w:eastAsia="Times New Roman"/>
          <w:sz w:val="20"/>
          <w:szCs w:val="20"/>
        </w:rPr>
      </w:pPr>
      <w:r w:rsidRPr="009555F5">
        <w:t>Transport</w:t>
      </w:r>
    </w:p>
    <w:p w14:paraId="4E1DE5ED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6C0AA1AB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Mieszanka betonowa dostarczana jest do klienta luzem. Jej wilgotność zbliżona jest do wilgotności optymalnej. Mieszanka transportowana jest dowolnymi środkami transportu przykrytymi plandekami w warunkach zabezpieczających ją przed zanieczyszczeniem, zmieszaniem z innymi materiałami i nadmiernym zawilgoceniem/wysuszeniem.</w:t>
      </w:r>
    </w:p>
    <w:p w14:paraId="6EE8FE86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7B795FF9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>Wykonanie robót</w:t>
      </w:r>
    </w:p>
    <w:p w14:paraId="7A63D90D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</w:p>
    <w:p w14:paraId="638AC2D4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b/>
          <w:sz w:val="20"/>
          <w:szCs w:val="20"/>
        </w:rPr>
        <w:t>6.1 Ogólne wymagania dotyczące robót</w:t>
      </w:r>
    </w:p>
    <w:p w14:paraId="5D6129A3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Wykonawca jest odpowiedzialny za jakość wykonanych robót, bezpieczeństwo wszelkich czynności na terenie budowy, metody użyte przy budowie oraz za ich zgodność z dokumentacją projektową, niniejszą specyfikacją techniczną i poleceniami Inspektora Nadzoru.</w:t>
      </w:r>
    </w:p>
    <w:p w14:paraId="73873E42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266C6755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27C4FD60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6.2 Ogólne zasady wykonania robót</w:t>
      </w:r>
    </w:p>
    <w:p w14:paraId="4B390904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Wykonawca jest odpowiedzialny: </w:t>
      </w:r>
    </w:p>
    <w:p w14:paraId="661BC0AF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za prowadzenie robót zgodnie z warunkami umowy oraz za jakość zastosowanych materiałów i wykonania robót, za ich zgodność z dokumentacją projektową, projektem organizacji robót opracowanym przez Wykonawcę oraz poleceniami Inżyniera/Kierownika projektu, </w:t>
      </w:r>
    </w:p>
    <w:p w14:paraId="51BBD86F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za stosowanie właściwej metody wykonania robót, </w:t>
      </w:r>
    </w:p>
    <w:p w14:paraId="2E6AF284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za dokładne wytyczenie w planie i wyznaczenie wysokości wszystkich elementów robót zgodnie z wymiarami i rzędnymi określonymi w dokumentacji projektowej. </w:t>
      </w:r>
    </w:p>
    <w:p w14:paraId="57E683C6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</w:p>
    <w:p w14:paraId="415A2A42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Warunki wykonania i odbioru warstw z mieszanki betonowej powinny być zgodne z PN-S-06103:1997.</w:t>
      </w:r>
    </w:p>
    <w:p w14:paraId="3B13EBF6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065008DF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477117F2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6.3 Zasady wykonania robót</w:t>
      </w:r>
    </w:p>
    <w:p w14:paraId="58B07CF3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Sposób wykonania robót powinien być zgodny z dokumentacją projektową oraz szczegółową specyfikacją techniczną (SST). W przypadku braku wystarczających danych można korzystać z ustaleń podanych w niniejszej specyfikacji.</w:t>
      </w:r>
    </w:p>
    <w:p w14:paraId="05B64E8C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3DF00349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6.4 Roboty przygotowawcze</w:t>
      </w:r>
    </w:p>
    <w:p w14:paraId="3BBAEABA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Przed przystąpieniem do robót należy, na podstawie dokumentacji projektowej: </w:t>
      </w:r>
    </w:p>
    <w:p w14:paraId="0CCBA7EE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ustalić lokalizację terenu robót, </w:t>
      </w:r>
    </w:p>
    <w:p w14:paraId="7BF61E70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przeprowadzić obliczenia i pomiary geodezyjne niezbędne do szczegółowego wytyczenia robót oraz ustalenia danych wysokościowych, </w:t>
      </w:r>
    </w:p>
    <w:p w14:paraId="2BFAABBF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lastRenderedPageBreak/>
        <w:t xml:space="preserve">- usunąć istniejące przeszkody, np. obiekty, elementy dróg itd. </w:t>
      </w:r>
    </w:p>
    <w:p w14:paraId="4A9B7802" w14:textId="77777777" w:rsid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4957B25A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4462076E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6.5 Wykonanie podbudowy</w:t>
      </w:r>
    </w:p>
    <w:p w14:paraId="7FC3CD8A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</w:p>
    <w:p w14:paraId="15B12B62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6.5.1. Odcinek próbny (poletko próbne) </w:t>
      </w:r>
    </w:p>
    <w:p w14:paraId="48DA1901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Zaleca się, aby Wykonawca wykonał odcinek próbny w celu: </w:t>
      </w:r>
    </w:p>
    <w:p w14:paraId="71FE235C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stwierdzenia czy sprzęt do produkcji mieszanki, rozkładania i zagęszczania jest właściwy, </w:t>
      </w:r>
    </w:p>
    <w:p w14:paraId="3D9F851F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określenia grubości warstwy wbudowanej mieszanki przed zagęszczeniem, koniecznej do uzyskania wymaganej grubości warstwy zagęszczonej, </w:t>
      </w:r>
    </w:p>
    <w:p w14:paraId="2BC2C41D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określenia liczby przejść walców dla uzyskania wymaganego wskaźnika zagęszczenia podbudowy. </w:t>
      </w:r>
    </w:p>
    <w:p w14:paraId="69EA5BCF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</w:p>
    <w:p w14:paraId="5ED0F4C8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Na odcinku próbnym Wykonawca powinien użyć materiałów oraz sprzętu do rozkładania i zagęszczania, jakie będą stosowane do wykonania podbudowy z betonu popiołowego. </w:t>
      </w:r>
    </w:p>
    <w:p w14:paraId="114B7BAB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Powierzchnia odcinka próbnego powinna wynosić od 400 m2 do 800 m2, a długość nie powinna być mniejsza niż 200. Odcinek próbny powinien być zlokalizowany w miejscu wskazanym przez Inżyniera/Kierownika projektu. </w:t>
      </w:r>
    </w:p>
    <w:p w14:paraId="17D40EE3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Wykonawca może przystąpić do wykonania podbudowy z mieszanki betonowej popiołowo-żużlowej po uzyskaniu akceptacji Inżyniera/Kierownika projektu. </w:t>
      </w:r>
    </w:p>
    <w:p w14:paraId="3D4BE40B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6.5.2. Przygotowanie podłoża </w:t>
      </w:r>
    </w:p>
    <w:p w14:paraId="23786213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Podbudowa powinna być wykonana na podłożu odpowiednio wyprofilowanym do wymaganych w projekcie spadków poprzecznych i podłużnych oraz przechyłek na łukach. </w:t>
      </w:r>
    </w:p>
    <w:p w14:paraId="5C5731D7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Podłoże powinno być zagęszczone, do co najmniej 100% maksymalnego zagęszczenia. Koryto pod podbudowę należy wykonać według ustaleń dokumentacji projektowej. Jeśli dokumentacja projektowa przewiduje, to na podłożu nieprzepuszczalnym należy wykonać warstwę odsączającą według wymagań SST. Dodatkowo w przypadku podłoża </w:t>
      </w:r>
      <w:proofErr w:type="spellStart"/>
      <w:r w:rsidRPr="009555F5">
        <w:rPr>
          <w:rFonts w:eastAsia="Times New Roman"/>
          <w:sz w:val="20"/>
          <w:szCs w:val="24"/>
        </w:rPr>
        <w:t>wysadzinowego</w:t>
      </w:r>
      <w:proofErr w:type="spellEnd"/>
      <w:r w:rsidRPr="009555F5">
        <w:rPr>
          <w:rFonts w:eastAsia="Times New Roman"/>
          <w:sz w:val="20"/>
          <w:szCs w:val="24"/>
        </w:rPr>
        <w:t xml:space="preserve"> należy zabezpieczyć je przed skutkami mrozu.</w:t>
      </w:r>
    </w:p>
    <w:p w14:paraId="181FF520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1D0B954F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606BB284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b/>
          <w:sz w:val="20"/>
          <w:szCs w:val="20"/>
        </w:rPr>
        <w:t xml:space="preserve">6.5.3. Wytwarzanie i układanie mieszanki </w:t>
      </w:r>
    </w:p>
    <w:p w14:paraId="1EAC6259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Mieszanie surowców mieszanki wykonuje się w mieszarkach zapewniających odpowiednią homogenizację składników. </w:t>
      </w:r>
    </w:p>
    <w:p w14:paraId="5645B57D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Układanie mieszanki jest możliwe w temperaturze &gt; 5°C oraz w okresie suchym, w związku z czym zabudowa mieszanki w okresie od października do marca włącznie realizowana jest na wyłączną odpowiedzialność Wykonawcy. </w:t>
      </w:r>
    </w:p>
    <w:p w14:paraId="4B506F5A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Mieszankę należy układać mechanicznie bezzwłocznie po dostarczeniu w miejsce wbudowania. Mieszanka powinna być ułożona ściśle do przewidzianego profilu podbudowy z zapasem na zagęszczenie, określonym w czasie budowy. W celu utrzymania prawidłowego profilu w czasie układania i zagęszczania oraz w celu zabezpieczenia krawędzi podbudowy można stosować prowadnice. </w:t>
      </w:r>
    </w:p>
    <w:p w14:paraId="67CC9B98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W przypadku wykonywania dwóch warstw podbudowy z mieszanki betonowej popiołowo – żużlowej, układanie górnej warstwy powinno następować bezpośrednio po zagęszczeniu dolnej.</w:t>
      </w:r>
    </w:p>
    <w:p w14:paraId="2F7A167F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79BDDEC6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6.5.4. Zagęszczenie mieszanki </w:t>
      </w:r>
    </w:p>
    <w:p w14:paraId="04184D91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Zagęszczenie mieszanki powinno rozpocząć się bezpośrednio po jej ułożeniu. Zagęszczenie wykonuje się w sposób mechaniczny, np. płytami wibracyjnymi lub walcami wibracyjnymi bądź walcami statycznymi. </w:t>
      </w:r>
    </w:p>
    <w:p w14:paraId="33645C10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Wskaźnik zagęszczenia </w:t>
      </w:r>
      <w:proofErr w:type="spellStart"/>
      <w:r w:rsidRPr="009555F5">
        <w:rPr>
          <w:rFonts w:eastAsia="Times New Roman"/>
          <w:sz w:val="20"/>
          <w:szCs w:val="24"/>
        </w:rPr>
        <w:t>Is</w:t>
      </w:r>
      <w:proofErr w:type="spellEnd"/>
      <w:r w:rsidRPr="009555F5">
        <w:rPr>
          <w:rFonts w:eastAsia="Times New Roman"/>
          <w:sz w:val="20"/>
          <w:szCs w:val="24"/>
        </w:rPr>
        <w:t xml:space="preserve"> na budowie nie powinien być mniejszy niż: </w:t>
      </w:r>
    </w:p>
    <w:p w14:paraId="2C2CA7FB" w14:textId="77777777" w:rsidR="009555F5" w:rsidRPr="009555F5" w:rsidRDefault="009555F5" w:rsidP="009555F5">
      <w:pPr>
        <w:widowControl/>
        <w:spacing w:after="164"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1,03 przy ruchu KR5-KR6 </w:t>
      </w:r>
    </w:p>
    <w:p w14:paraId="48351DAD" w14:textId="77777777" w:rsidR="009555F5" w:rsidRPr="009555F5" w:rsidRDefault="009555F5" w:rsidP="009555F5">
      <w:pPr>
        <w:widowControl/>
        <w:spacing w:after="164"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1,00 przy ruchu KR3-KR4 </w:t>
      </w:r>
    </w:p>
    <w:p w14:paraId="38C0595A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0,98 przy ruchu KR1-KR2 </w:t>
      </w:r>
    </w:p>
    <w:p w14:paraId="4630B3ED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557369F5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47B4B432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6.5.5. Pielęgnacja podbudowy </w:t>
      </w:r>
    </w:p>
    <w:p w14:paraId="7A71B3FC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Zagęszczoną mieszankę poddaje się pielęgnacji jednym z niżej podanych sposobów przez: </w:t>
      </w:r>
    </w:p>
    <w:p w14:paraId="7712B1DF" w14:textId="77777777" w:rsidR="009555F5" w:rsidRPr="009555F5" w:rsidRDefault="009555F5" w:rsidP="009555F5">
      <w:pPr>
        <w:widowControl/>
        <w:spacing w:after="169"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a) spryskanie emulsją asfaltową w ilości 0,3 kg na 1 m2 podbudowy, </w:t>
      </w:r>
    </w:p>
    <w:p w14:paraId="233EA46F" w14:textId="77777777" w:rsidR="009555F5" w:rsidRPr="009555F5" w:rsidRDefault="009555F5" w:rsidP="009555F5">
      <w:pPr>
        <w:widowControl/>
        <w:spacing w:after="169"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b) spryskanie preparatami powłokowymi, jak przy powierzchniowej pielęgnacji betonu, </w:t>
      </w:r>
    </w:p>
    <w:p w14:paraId="353709DF" w14:textId="77777777" w:rsidR="009555F5" w:rsidRPr="009555F5" w:rsidRDefault="009555F5" w:rsidP="009555F5">
      <w:pPr>
        <w:widowControl/>
        <w:spacing w:after="169"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c) przykrycie warstwą bitumiczną na zimno o grubości min. 3 cm, </w:t>
      </w:r>
    </w:p>
    <w:p w14:paraId="1B8277CC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lastRenderedPageBreak/>
        <w:t xml:space="preserve">d) wykonanie kolejnej warstwy np. z kruszywa. </w:t>
      </w:r>
    </w:p>
    <w:p w14:paraId="773A8108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</w:p>
    <w:p w14:paraId="1A750B64" w14:textId="77777777" w:rsidR="009555F5" w:rsidRPr="009555F5" w:rsidRDefault="009555F5" w:rsidP="009555F5">
      <w:pPr>
        <w:widowControl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6.5.6. Roboty wykończeniowe </w:t>
      </w:r>
    </w:p>
    <w:p w14:paraId="1742BBFE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Roboty wykończeniowe powinny być zgodne z dokumentacją projektową. Do robót wykończeniowych należą prace związane z dostosowaniem wykonanych robót do istniejących warunków terenowych.</w:t>
      </w:r>
    </w:p>
    <w:p w14:paraId="7632CFBE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>Kontrola jakości robót</w:t>
      </w:r>
    </w:p>
    <w:p w14:paraId="1658AF60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7.1. Ogólne zasady kontroli jakości robót </w:t>
      </w:r>
    </w:p>
    <w:p w14:paraId="634CB962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Celem kontroli jakości robót powinno być takie sterowanie ich przygotowaniem i wykonaniem, aby osiągnąć założoną jakość robót. Wykonawca jest zobowiązany określić zamierzony sposób wykonania robót, możliwości techniczne, kadrowe i plan organizacji robót gwarantujący wykonanie robót zgodnie z dokumentacją projektową oraz ustaleniami akceptowanymi przez Inspektora Nadzoru </w:t>
      </w:r>
    </w:p>
    <w:p w14:paraId="1170D7B2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7.2. Badania przed przystąpieniem do robót </w:t>
      </w:r>
    </w:p>
    <w:p w14:paraId="310F7B24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Przed przystąpieniem do robót Wykonawca powinien uzyskać wymagane dokumenty, dopuszczające wyrób do obrotu i powszechnego stosowania. </w:t>
      </w:r>
    </w:p>
    <w:p w14:paraId="39F3E5C0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Funkcjonująca u Producenta mieszanki Zakładowa Kontrola Produkcji, opisana w Księdze Zakładowej Kontroli Produkcji, prowadzi stałą wewnętrzną kontrolę produkcji, zapewniając uzyskiwanie wymaganych właściwości na zgodność z dokumentem odniesienia dla mieszanek związanych popiołami lotnymi </w:t>
      </w:r>
    </w:p>
    <w:p w14:paraId="5CC1D023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Na żądanie klienta wystawiane jest Świadectwo Jakości na każdą zakupioną ilość materiału.</w:t>
      </w:r>
    </w:p>
    <w:p w14:paraId="125AC34E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3F035317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7.2.1. Badania </w:t>
      </w:r>
      <w:proofErr w:type="spellStart"/>
      <w:r w:rsidRPr="009555F5">
        <w:rPr>
          <w:rFonts w:eastAsia="Times New Roman"/>
          <w:b/>
          <w:sz w:val="20"/>
          <w:szCs w:val="20"/>
        </w:rPr>
        <w:t>autokontrolne</w:t>
      </w:r>
      <w:proofErr w:type="spellEnd"/>
      <w:r w:rsidRPr="009555F5">
        <w:rPr>
          <w:rFonts w:eastAsia="Times New Roman"/>
          <w:b/>
          <w:sz w:val="20"/>
          <w:szCs w:val="20"/>
        </w:rPr>
        <w:t xml:space="preserve"> mieszanki związanej popiołami lotnymi</w:t>
      </w:r>
    </w:p>
    <w:p w14:paraId="7D976554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Sprawdzenie jakości mieszanki betonowej popiołowo-żużlowej polega na kontrolowaniu jej wilgotności, uziarnienia oraz wytrzymałości na ściskanie po 42 dniach. Wymagania dla wytrzymałości na ściskanie po 42 dniach w zależności od rodzaju mieszanki podano w tablicy nr 1.</w:t>
      </w:r>
    </w:p>
    <w:p w14:paraId="34174EC3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7D35636E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6"/>
        <w:gridCol w:w="1586"/>
        <w:gridCol w:w="1586"/>
        <w:gridCol w:w="1586"/>
        <w:gridCol w:w="1590"/>
      </w:tblGrid>
      <w:tr w:rsidR="009555F5" w:rsidRPr="009555F5" w14:paraId="6B9D3F24" w14:textId="77777777" w:rsidTr="00156105">
        <w:trPr>
          <w:trHeight w:val="99"/>
        </w:trPr>
        <w:tc>
          <w:tcPr>
            <w:tcW w:w="7934" w:type="dxa"/>
            <w:gridSpan w:val="5"/>
          </w:tcPr>
          <w:p w14:paraId="043475F1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Tablica 1 Wytrzymałości na ściskanie Mieszanka betonowa</w:t>
            </w:r>
          </w:p>
        </w:tc>
      </w:tr>
      <w:tr w:rsidR="009555F5" w:rsidRPr="009555F5" w14:paraId="174D42BF" w14:textId="77777777" w:rsidTr="00156105">
        <w:trPr>
          <w:trHeight w:val="102"/>
        </w:trPr>
        <w:tc>
          <w:tcPr>
            <w:tcW w:w="1586" w:type="dxa"/>
          </w:tcPr>
          <w:p w14:paraId="0A8C48CF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BP 1.5 </w:t>
            </w:r>
          </w:p>
        </w:tc>
        <w:tc>
          <w:tcPr>
            <w:tcW w:w="1586" w:type="dxa"/>
          </w:tcPr>
          <w:p w14:paraId="42D1E313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BP 2.5 </w:t>
            </w:r>
          </w:p>
        </w:tc>
        <w:tc>
          <w:tcPr>
            <w:tcW w:w="1586" w:type="dxa"/>
          </w:tcPr>
          <w:p w14:paraId="09011A62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BP 5.0 </w:t>
            </w:r>
          </w:p>
        </w:tc>
        <w:tc>
          <w:tcPr>
            <w:tcW w:w="1586" w:type="dxa"/>
          </w:tcPr>
          <w:p w14:paraId="0A5DEA36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BP 6.0 </w:t>
            </w:r>
          </w:p>
        </w:tc>
        <w:tc>
          <w:tcPr>
            <w:tcW w:w="1586" w:type="dxa"/>
          </w:tcPr>
          <w:p w14:paraId="4FEECD78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BP 8.0 </w:t>
            </w:r>
          </w:p>
        </w:tc>
      </w:tr>
      <w:tr w:rsidR="009555F5" w:rsidRPr="009555F5" w14:paraId="31578E15" w14:textId="77777777" w:rsidTr="00156105">
        <w:trPr>
          <w:trHeight w:val="102"/>
        </w:trPr>
        <w:tc>
          <w:tcPr>
            <w:tcW w:w="7934" w:type="dxa"/>
            <w:gridSpan w:val="5"/>
          </w:tcPr>
          <w:p w14:paraId="0A065E2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Wytrzymałości na ściskanie </w:t>
            </w: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Rm</w:t>
            </w:r>
            <w:proofErr w:type="spellEnd"/>
            <w:r w:rsidRPr="009555F5">
              <w:rPr>
                <w:rFonts w:eastAsia="Times New Roman"/>
                <w:sz w:val="20"/>
                <w:szCs w:val="24"/>
              </w:rPr>
              <w:t xml:space="preserve"> 42 [ </w:t>
            </w: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MPa</w:t>
            </w:r>
            <w:proofErr w:type="spellEnd"/>
            <w:r w:rsidRPr="009555F5">
              <w:rPr>
                <w:rFonts w:eastAsia="Times New Roman"/>
                <w:sz w:val="20"/>
                <w:szCs w:val="24"/>
              </w:rPr>
              <w:t xml:space="preserve">] </w:t>
            </w:r>
          </w:p>
        </w:tc>
      </w:tr>
      <w:tr w:rsidR="009555F5" w:rsidRPr="009555F5" w14:paraId="2CD1B7C6" w14:textId="77777777" w:rsidTr="00156105">
        <w:trPr>
          <w:trHeight w:val="99"/>
        </w:trPr>
        <w:tc>
          <w:tcPr>
            <w:tcW w:w="1586" w:type="dxa"/>
          </w:tcPr>
          <w:p w14:paraId="06F29C24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≥ 0,5 </w:t>
            </w:r>
          </w:p>
        </w:tc>
        <w:tc>
          <w:tcPr>
            <w:tcW w:w="1586" w:type="dxa"/>
          </w:tcPr>
          <w:p w14:paraId="245CC2C2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≥ 1,5 </w:t>
            </w:r>
          </w:p>
        </w:tc>
        <w:tc>
          <w:tcPr>
            <w:tcW w:w="1586" w:type="dxa"/>
          </w:tcPr>
          <w:p w14:paraId="15A8505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≥ 2,5 </w:t>
            </w:r>
          </w:p>
        </w:tc>
        <w:tc>
          <w:tcPr>
            <w:tcW w:w="1586" w:type="dxa"/>
          </w:tcPr>
          <w:p w14:paraId="751FC8F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≥ 3,0 </w:t>
            </w:r>
          </w:p>
        </w:tc>
        <w:tc>
          <w:tcPr>
            <w:tcW w:w="1586" w:type="dxa"/>
          </w:tcPr>
          <w:p w14:paraId="5F6E7D81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≥ 5,0 </w:t>
            </w:r>
          </w:p>
        </w:tc>
      </w:tr>
      <w:tr w:rsidR="009555F5" w:rsidRPr="009555F5" w14:paraId="71BBE8E6" w14:textId="77777777" w:rsidTr="00156105">
        <w:trPr>
          <w:trHeight w:val="614"/>
        </w:trPr>
        <w:tc>
          <w:tcPr>
            <w:tcW w:w="7934" w:type="dxa"/>
            <w:gridSpan w:val="5"/>
          </w:tcPr>
          <w:p w14:paraId="0483EEB7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Oznaczenia: </w:t>
            </w:r>
          </w:p>
          <w:p w14:paraId="54699668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Rm</w:t>
            </w:r>
            <w:proofErr w:type="spellEnd"/>
            <w:r w:rsidRPr="009555F5">
              <w:rPr>
                <w:rFonts w:eastAsia="Times New Roman"/>
                <w:sz w:val="20"/>
                <w:szCs w:val="24"/>
              </w:rPr>
              <w:t xml:space="preserve"> 42 - wytrzymałość na ściskanie próbek walcowych po 42 dniach twardnienia, w tym ostatnie 14 dni moczenia w wodzie, </w:t>
            </w:r>
          </w:p>
        </w:tc>
      </w:tr>
    </w:tbl>
    <w:p w14:paraId="50E2A695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221D72AE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4"/>
        </w:rPr>
      </w:pPr>
      <w:r w:rsidRPr="009555F5">
        <w:rPr>
          <w:rFonts w:eastAsia="Times New Roman"/>
          <w:b/>
          <w:sz w:val="20"/>
          <w:szCs w:val="20"/>
        </w:rPr>
        <w:t xml:space="preserve">7.3. Badania w czasie robót </w:t>
      </w:r>
    </w:p>
    <w:p w14:paraId="5EC53ACD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O ile stosowana na budowie praktyka nie stanowi inaczej, to zaleca się aby częstotliwość oraz zakres badań i pomiarów, które Wykonawca powinien wykonać w czasie robót były wykonywane wg zapisów tablicy 2.</w:t>
      </w:r>
    </w:p>
    <w:p w14:paraId="4F6DB026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0"/>
        <w:gridCol w:w="2606"/>
        <w:gridCol w:w="2835"/>
      </w:tblGrid>
      <w:tr w:rsidR="009555F5" w:rsidRPr="009555F5" w14:paraId="5F38904F" w14:textId="77777777" w:rsidTr="00156105">
        <w:trPr>
          <w:trHeight w:val="99"/>
        </w:trPr>
        <w:tc>
          <w:tcPr>
            <w:tcW w:w="2180" w:type="dxa"/>
          </w:tcPr>
          <w:p w14:paraId="3E0B8E4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Tablica 2. Częstotliwość oraz zakres badań i pomiarów w czasie robót Lp. </w:t>
            </w:r>
          </w:p>
        </w:tc>
        <w:tc>
          <w:tcPr>
            <w:tcW w:w="2606" w:type="dxa"/>
          </w:tcPr>
          <w:p w14:paraId="5C5EFA69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Wyszczególnienie robót </w:t>
            </w:r>
          </w:p>
        </w:tc>
        <w:tc>
          <w:tcPr>
            <w:tcW w:w="2835" w:type="dxa"/>
          </w:tcPr>
          <w:p w14:paraId="42B97133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Częstotliwość badań </w:t>
            </w:r>
          </w:p>
        </w:tc>
      </w:tr>
      <w:tr w:rsidR="009555F5" w:rsidRPr="009555F5" w14:paraId="3DC86ECB" w14:textId="77777777" w:rsidTr="00156105">
        <w:trPr>
          <w:trHeight w:val="99"/>
        </w:trPr>
        <w:tc>
          <w:tcPr>
            <w:tcW w:w="2180" w:type="dxa"/>
          </w:tcPr>
          <w:p w14:paraId="18051E4A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1 </w:t>
            </w:r>
          </w:p>
        </w:tc>
        <w:tc>
          <w:tcPr>
            <w:tcW w:w="2606" w:type="dxa"/>
          </w:tcPr>
          <w:p w14:paraId="1767AC77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Wytyczenie robót </w:t>
            </w:r>
          </w:p>
        </w:tc>
        <w:tc>
          <w:tcPr>
            <w:tcW w:w="2835" w:type="dxa"/>
          </w:tcPr>
          <w:p w14:paraId="7F5011D1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1 raz </w:t>
            </w:r>
          </w:p>
        </w:tc>
      </w:tr>
      <w:tr w:rsidR="009555F5" w:rsidRPr="009555F5" w14:paraId="271F497A" w14:textId="77777777" w:rsidTr="00156105">
        <w:trPr>
          <w:trHeight w:val="99"/>
        </w:trPr>
        <w:tc>
          <w:tcPr>
            <w:tcW w:w="2180" w:type="dxa"/>
          </w:tcPr>
          <w:p w14:paraId="4D4F42E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2 </w:t>
            </w:r>
          </w:p>
        </w:tc>
        <w:tc>
          <w:tcPr>
            <w:tcW w:w="2606" w:type="dxa"/>
          </w:tcPr>
          <w:p w14:paraId="74C76E7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Roboty przygotowawcze </w:t>
            </w:r>
          </w:p>
        </w:tc>
        <w:tc>
          <w:tcPr>
            <w:tcW w:w="2835" w:type="dxa"/>
          </w:tcPr>
          <w:p w14:paraId="21E69CEF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Ocena ciągła </w:t>
            </w:r>
          </w:p>
        </w:tc>
      </w:tr>
      <w:tr w:rsidR="009555F5" w:rsidRPr="009555F5" w14:paraId="3877446A" w14:textId="77777777" w:rsidTr="00156105">
        <w:trPr>
          <w:trHeight w:val="99"/>
        </w:trPr>
        <w:tc>
          <w:tcPr>
            <w:tcW w:w="2180" w:type="dxa"/>
          </w:tcPr>
          <w:p w14:paraId="7652A030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3 </w:t>
            </w:r>
          </w:p>
        </w:tc>
        <w:tc>
          <w:tcPr>
            <w:tcW w:w="2606" w:type="dxa"/>
          </w:tcPr>
          <w:p w14:paraId="5AD84D98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Uziarnienie i wilgotność mieszanki </w:t>
            </w:r>
          </w:p>
        </w:tc>
        <w:tc>
          <w:tcPr>
            <w:tcW w:w="2835" w:type="dxa"/>
          </w:tcPr>
          <w:p w14:paraId="3725994F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1 raz dziennie </w:t>
            </w:r>
          </w:p>
        </w:tc>
      </w:tr>
      <w:tr w:rsidR="009555F5" w:rsidRPr="009555F5" w14:paraId="3981FBD4" w14:textId="77777777" w:rsidTr="00156105">
        <w:trPr>
          <w:trHeight w:val="221"/>
        </w:trPr>
        <w:tc>
          <w:tcPr>
            <w:tcW w:w="2180" w:type="dxa"/>
          </w:tcPr>
          <w:p w14:paraId="528872BE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4 </w:t>
            </w:r>
          </w:p>
        </w:tc>
        <w:tc>
          <w:tcPr>
            <w:tcW w:w="2606" w:type="dxa"/>
          </w:tcPr>
          <w:p w14:paraId="57A6D3D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Wytrzymałość na ściskanie próbek z mieszanki bet. </w:t>
            </w: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popioł</w:t>
            </w:r>
            <w:proofErr w:type="spellEnd"/>
            <w:r w:rsidRPr="009555F5">
              <w:rPr>
                <w:rFonts w:eastAsia="Times New Roman"/>
                <w:sz w:val="20"/>
                <w:szCs w:val="24"/>
              </w:rPr>
              <w:t>.-</w:t>
            </w: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żużl</w:t>
            </w:r>
            <w:proofErr w:type="spellEnd"/>
            <w:r w:rsidRPr="009555F5">
              <w:rPr>
                <w:rFonts w:eastAsia="Times New Roman"/>
                <w:sz w:val="20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14:paraId="361AB441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Seria 6 próbek z dziennej działki roboczej </w:t>
            </w:r>
          </w:p>
        </w:tc>
      </w:tr>
      <w:tr w:rsidR="009555F5" w:rsidRPr="009555F5" w14:paraId="09427953" w14:textId="77777777" w:rsidTr="00156105">
        <w:trPr>
          <w:trHeight w:val="99"/>
        </w:trPr>
        <w:tc>
          <w:tcPr>
            <w:tcW w:w="2180" w:type="dxa"/>
          </w:tcPr>
          <w:p w14:paraId="4AA6C22A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5 </w:t>
            </w:r>
          </w:p>
        </w:tc>
        <w:tc>
          <w:tcPr>
            <w:tcW w:w="2606" w:type="dxa"/>
          </w:tcPr>
          <w:p w14:paraId="7A73B067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Sprawdzenie podłoża </w:t>
            </w:r>
          </w:p>
        </w:tc>
        <w:tc>
          <w:tcPr>
            <w:tcW w:w="2835" w:type="dxa"/>
          </w:tcPr>
          <w:p w14:paraId="434355E1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Ocena ciągła </w:t>
            </w:r>
          </w:p>
        </w:tc>
      </w:tr>
      <w:tr w:rsidR="009555F5" w:rsidRPr="009555F5" w14:paraId="3CB91CBC" w14:textId="77777777" w:rsidTr="00156105">
        <w:trPr>
          <w:trHeight w:val="222"/>
        </w:trPr>
        <w:tc>
          <w:tcPr>
            <w:tcW w:w="2180" w:type="dxa"/>
          </w:tcPr>
          <w:p w14:paraId="56351DCC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6 </w:t>
            </w:r>
          </w:p>
        </w:tc>
        <w:tc>
          <w:tcPr>
            <w:tcW w:w="2606" w:type="dxa"/>
          </w:tcPr>
          <w:p w14:paraId="4EC5013C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Zagęszczenie mieszanki </w:t>
            </w:r>
          </w:p>
        </w:tc>
        <w:tc>
          <w:tcPr>
            <w:tcW w:w="2835" w:type="dxa"/>
          </w:tcPr>
          <w:p w14:paraId="76CD4AB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 jednym miejscu na dziennej działce roboczej </w:t>
            </w:r>
          </w:p>
        </w:tc>
      </w:tr>
      <w:tr w:rsidR="009555F5" w:rsidRPr="009555F5" w14:paraId="26EACD83" w14:textId="77777777" w:rsidTr="00156105">
        <w:trPr>
          <w:trHeight w:val="222"/>
        </w:trPr>
        <w:tc>
          <w:tcPr>
            <w:tcW w:w="2180" w:type="dxa"/>
          </w:tcPr>
          <w:p w14:paraId="24903DAD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lastRenderedPageBreak/>
              <w:t xml:space="preserve">7 </w:t>
            </w:r>
          </w:p>
        </w:tc>
        <w:tc>
          <w:tcPr>
            <w:tcW w:w="2606" w:type="dxa"/>
          </w:tcPr>
          <w:p w14:paraId="4C9AE678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Grubość warstw podbudowy </w:t>
            </w:r>
          </w:p>
        </w:tc>
        <w:tc>
          <w:tcPr>
            <w:tcW w:w="2835" w:type="dxa"/>
          </w:tcPr>
          <w:p w14:paraId="6D887484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 miejscach badania zagęszczenia mieszanki </w:t>
            </w:r>
          </w:p>
        </w:tc>
      </w:tr>
      <w:tr w:rsidR="009555F5" w:rsidRPr="009555F5" w14:paraId="33C3BDD7" w14:textId="77777777" w:rsidTr="00156105">
        <w:trPr>
          <w:trHeight w:val="102"/>
        </w:trPr>
        <w:tc>
          <w:tcPr>
            <w:tcW w:w="2180" w:type="dxa"/>
          </w:tcPr>
          <w:p w14:paraId="18DAE140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8 </w:t>
            </w:r>
          </w:p>
        </w:tc>
        <w:tc>
          <w:tcPr>
            <w:tcW w:w="2606" w:type="dxa"/>
          </w:tcPr>
          <w:p w14:paraId="200012BE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Szerokość podbudowy </w:t>
            </w:r>
          </w:p>
        </w:tc>
        <w:tc>
          <w:tcPr>
            <w:tcW w:w="2835" w:type="dxa"/>
          </w:tcPr>
          <w:p w14:paraId="3DDBC93B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W 3 miejscach dziennej działki roboczej </w:t>
            </w:r>
          </w:p>
        </w:tc>
      </w:tr>
      <w:tr w:rsidR="009555F5" w:rsidRPr="009555F5" w14:paraId="3AACFFDB" w14:textId="77777777" w:rsidTr="00156105">
        <w:trPr>
          <w:trHeight w:val="221"/>
        </w:trPr>
        <w:tc>
          <w:tcPr>
            <w:tcW w:w="2180" w:type="dxa"/>
          </w:tcPr>
          <w:p w14:paraId="7756C009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9 </w:t>
            </w:r>
          </w:p>
        </w:tc>
        <w:tc>
          <w:tcPr>
            <w:tcW w:w="2606" w:type="dxa"/>
          </w:tcPr>
          <w:p w14:paraId="56121ECA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Równość w profilu podłużnym i przekroju poprzecznym </w:t>
            </w:r>
          </w:p>
        </w:tc>
        <w:tc>
          <w:tcPr>
            <w:tcW w:w="2835" w:type="dxa"/>
          </w:tcPr>
          <w:p w14:paraId="10341F9A" w14:textId="77777777" w:rsidR="009555F5" w:rsidRPr="009555F5" w:rsidRDefault="009555F5" w:rsidP="009555F5">
            <w:pPr>
              <w:widowControl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 xml:space="preserve">Profil podłużny i przekrój poprzeczny w każdym hektometrze </w:t>
            </w:r>
          </w:p>
        </w:tc>
      </w:tr>
    </w:tbl>
    <w:p w14:paraId="19E05525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7.3.1. Uziarnienie mieszanki betonowej popiołowo-żużlowej</w:t>
      </w:r>
    </w:p>
    <w:p w14:paraId="4E2F2516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Próbki do badań należy pobierać przed zagęszczeniem mieszanki betonowej. Uziarnienie powinno być zgodne z wymaganiami podanymi w pkt. 3. </w:t>
      </w:r>
    </w:p>
    <w:p w14:paraId="01AEA320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7.3.2. Wilgotność mieszanki </w:t>
      </w:r>
    </w:p>
    <w:p w14:paraId="23B4A5D8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Wilgotność mieszanki powinna być równa wilgotności optymalnej, określonej w projekcie składu tej mieszanki, z tolerancją +10% - 20% jej wartości. </w:t>
      </w:r>
    </w:p>
    <w:p w14:paraId="644B112E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4"/>
        </w:rPr>
        <w:t xml:space="preserve">7.3.3. Wytrzymałość na ściskanie próbek betonu popiołowego </w:t>
      </w:r>
    </w:p>
    <w:p w14:paraId="2EDF0E05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Wytrzymałość na ściskanie określa się na próbkach walcowych. Próbki do badań należy pobierać z miejsc wybranych losowo – w trakcie produkcji podczas załadunku na środki transportu, a na budowie w warstwie rozłożonej przed jej zagęszczeniem. Próbki należy formować i przechowywać zgodnie z PN-S-06103 pkt 3.2.8.12. Wyniki wytrzymałości na ściskanie powinny być zgodne z wartościami z tablicy numer 1.</w:t>
      </w:r>
    </w:p>
    <w:p w14:paraId="3E299668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5C7BDD49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7.3.4. Sprawdzanie podłoża </w:t>
      </w:r>
    </w:p>
    <w:p w14:paraId="16E51AA1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Właściwości gruntu należy badać przy każdej zmianie rodzaju gruntu. Nośność i zagęszczenie powinny być zgodne z wymaganiami dla przyjętego obciążenia. </w:t>
      </w:r>
    </w:p>
    <w:p w14:paraId="6E3B558C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7.3.5. Zagęszczenie mieszanki </w:t>
      </w:r>
    </w:p>
    <w:p w14:paraId="754DCB80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Mieszanka powinna być zagęszczana do osiągnięcia wskaźnika zagęszczenia nie mniejszego niż określonego w pkt 6.5.4. Alternatywne zagęszczenie gruntu można ustalić na podstawie wskaźnika odkształcenia </w:t>
      </w:r>
      <w:proofErr w:type="spellStart"/>
      <w:r w:rsidRPr="009555F5">
        <w:rPr>
          <w:rFonts w:eastAsia="Times New Roman"/>
          <w:sz w:val="20"/>
          <w:szCs w:val="24"/>
        </w:rPr>
        <w:t>Io</w:t>
      </w:r>
      <w:proofErr w:type="spellEnd"/>
      <w:r w:rsidRPr="009555F5">
        <w:rPr>
          <w:rFonts w:eastAsia="Times New Roman"/>
          <w:sz w:val="20"/>
          <w:szCs w:val="24"/>
        </w:rPr>
        <w:t>, równego stosunkowi modułów odkształcenia wtórnego E2 do pierwotnego E1, którego wartości podano w tablicy 3.</w:t>
      </w:r>
    </w:p>
    <w:p w14:paraId="4484E037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389A7B6B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>Tablica 3 Zagęszczenie i nośność podbudowy</w:t>
      </w:r>
    </w:p>
    <w:p w14:paraId="197D7EC2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7E748581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497"/>
        <w:gridCol w:w="1191"/>
        <w:gridCol w:w="990"/>
        <w:gridCol w:w="1113"/>
        <w:gridCol w:w="908"/>
        <w:gridCol w:w="907"/>
        <w:gridCol w:w="908"/>
        <w:gridCol w:w="907"/>
      </w:tblGrid>
      <w:tr w:rsidR="009555F5" w:rsidRPr="009555F5" w14:paraId="47863BF1" w14:textId="77777777" w:rsidTr="00156105">
        <w:tc>
          <w:tcPr>
            <w:tcW w:w="960" w:type="dxa"/>
            <w:vMerge w:val="restart"/>
          </w:tcPr>
          <w:p w14:paraId="5732AC6F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L.P.</w:t>
            </w:r>
          </w:p>
        </w:tc>
        <w:tc>
          <w:tcPr>
            <w:tcW w:w="1498" w:type="dxa"/>
            <w:vMerge w:val="restart"/>
          </w:tcPr>
          <w:p w14:paraId="4E0E00DB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Zastosowanie</w:t>
            </w:r>
          </w:p>
        </w:tc>
        <w:tc>
          <w:tcPr>
            <w:tcW w:w="3302" w:type="dxa"/>
            <w:gridSpan w:val="3"/>
            <w:vMerge w:val="restart"/>
          </w:tcPr>
          <w:p w14:paraId="0A43A5EE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Wtórny moduł odkształcenia mierzony płytą o średnicy 30 cm [MPA]</w:t>
            </w:r>
          </w:p>
        </w:tc>
        <w:tc>
          <w:tcPr>
            <w:tcW w:w="3636" w:type="dxa"/>
            <w:gridSpan w:val="4"/>
          </w:tcPr>
          <w:p w14:paraId="6041632A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Zagęszczenie</w:t>
            </w:r>
          </w:p>
        </w:tc>
      </w:tr>
      <w:tr w:rsidR="009555F5" w:rsidRPr="009555F5" w14:paraId="79301854" w14:textId="77777777" w:rsidTr="00156105">
        <w:tc>
          <w:tcPr>
            <w:tcW w:w="960" w:type="dxa"/>
            <w:vMerge/>
          </w:tcPr>
          <w:p w14:paraId="03B665CB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498" w:type="dxa"/>
            <w:vMerge/>
          </w:tcPr>
          <w:p w14:paraId="076BDD0A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3302" w:type="dxa"/>
            <w:gridSpan w:val="3"/>
            <w:vMerge/>
          </w:tcPr>
          <w:p w14:paraId="500B7643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727" w:type="dxa"/>
            <w:gridSpan w:val="3"/>
          </w:tcPr>
          <w:p w14:paraId="62C4D9EE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Is</w:t>
            </w:r>
            <w:proofErr w:type="spellEnd"/>
          </w:p>
        </w:tc>
        <w:tc>
          <w:tcPr>
            <w:tcW w:w="909" w:type="dxa"/>
          </w:tcPr>
          <w:p w14:paraId="34E96763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proofErr w:type="spellStart"/>
            <w:r w:rsidRPr="009555F5">
              <w:rPr>
                <w:rFonts w:eastAsia="Times New Roman"/>
                <w:sz w:val="20"/>
                <w:szCs w:val="24"/>
              </w:rPr>
              <w:t>Io</w:t>
            </w:r>
            <w:proofErr w:type="spellEnd"/>
          </w:p>
        </w:tc>
      </w:tr>
      <w:tr w:rsidR="009555F5" w:rsidRPr="009555F5" w14:paraId="4B2C09E1" w14:textId="77777777" w:rsidTr="00156105">
        <w:tc>
          <w:tcPr>
            <w:tcW w:w="960" w:type="dxa"/>
            <w:vMerge/>
          </w:tcPr>
          <w:p w14:paraId="452246C7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498" w:type="dxa"/>
            <w:vMerge/>
          </w:tcPr>
          <w:p w14:paraId="4F02084C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194" w:type="dxa"/>
          </w:tcPr>
          <w:p w14:paraId="1C053ACE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1</w:t>
            </w:r>
          </w:p>
          <w:p w14:paraId="0FADB998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2</w:t>
            </w:r>
          </w:p>
        </w:tc>
        <w:tc>
          <w:tcPr>
            <w:tcW w:w="992" w:type="dxa"/>
          </w:tcPr>
          <w:p w14:paraId="16B5BE02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3</w:t>
            </w:r>
          </w:p>
          <w:p w14:paraId="554718A2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4</w:t>
            </w:r>
          </w:p>
        </w:tc>
        <w:tc>
          <w:tcPr>
            <w:tcW w:w="1116" w:type="dxa"/>
          </w:tcPr>
          <w:p w14:paraId="2388EAC0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5</w:t>
            </w:r>
          </w:p>
          <w:p w14:paraId="56A290CE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6</w:t>
            </w:r>
          </w:p>
        </w:tc>
        <w:tc>
          <w:tcPr>
            <w:tcW w:w="909" w:type="dxa"/>
          </w:tcPr>
          <w:p w14:paraId="359A0C7F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1</w:t>
            </w:r>
          </w:p>
          <w:p w14:paraId="71DE3FEC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2</w:t>
            </w:r>
          </w:p>
        </w:tc>
        <w:tc>
          <w:tcPr>
            <w:tcW w:w="909" w:type="dxa"/>
          </w:tcPr>
          <w:p w14:paraId="76472E20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3</w:t>
            </w:r>
          </w:p>
          <w:p w14:paraId="23C18952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4</w:t>
            </w:r>
          </w:p>
        </w:tc>
        <w:tc>
          <w:tcPr>
            <w:tcW w:w="909" w:type="dxa"/>
          </w:tcPr>
          <w:p w14:paraId="52BDE6D4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5</w:t>
            </w:r>
          </w:p>
          <w:p w14:paraId="5A4D3D43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KR 6</w:t>
            </w:r>
          </w:p>
        </w:tc>
        <w:tc>
          <w:tcPr>
            <w:tcW w:w="909" w:type="dxa"/>
          </w:tcPr>
          <w:p w14:paraId="603422E8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-</w:t>
            </w:r>
          </w:p>
        </w:tc>
      </w:tr>
      <w:tr w:rsidR="009555F5" w:rsidRPr="009555F5" w14:paraId="4A423CEE" w14:textId="77777777" w:rsidTr="00156105">
        <w:tc>
          <w:tcPr>
            <w:tcW w:w="960" w:type="dxa"/>
          </w:tcPr>
          <w:p w14:paraId="7383D048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1.</w:t>
            </w:r>
          </w:p>
        </w:tc>
        <w:tc>
          <w:tcPr>
            <w:tcW w:w="1498" w:type="dxa"/>
          </w:tcPr>
          <w:p w14:paraId="22DA484E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Podbudowa dla KR 1 – KR 6</w:t>
            </w:r>
          </w:p>
        </w:tc>
        <w:tc>
          <w:tcPr>
            <w:tcW w:w="1194" w:type="dxa"/>
          </w:tcPr>
          <w:p w14:paraId="2B148C6A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120</w:t>
            </w:r>
          </w:p>
        </w:tc>
        <w:tc>
          <w:tcPr>
            <w:tcW w:w="992" w:type="dxa"/>
          </w:tcPr>
          <w:p w14:paraId="4E5B7B33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140</w:t>
            </w:r>
          </w:p>
        </w:tc>
        <w:tc>
          <w:tcPr>
            <w:tcW w:w="1116" w:type="dxa"/>
          </w:tcPr>
          <w:p w14:paraId="26923250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180</w:t>
            </w:r>
          </w:p>
        </w:tc>
        <w:tc>
          <w:tcPr>
            <w:tcW w:w="909" w:type="dxa"/>
          </w:tcPr>
          <w:p w14:paraId="51A0F849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≥0,98</w:t>
            </w:r>
          </w:p>
        </w:tc>
        <w:tc>
          <w:tcPr>
            <w:tcW w:w="909" w:type="dxa"/>
          </w:tcPr>
          <w:p w14:paraId="2761DE77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≥1,0</w:t>
            </w:r>
          </w:p>
        </w:tc>
        <w:tc>
          <w:tcPr>
            <w:tcW w:w="909" w:type="dxa"/>
          </w:tcPr>
          <w:p w14:paraId="70A03BD1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≥1,03</w:t>
            </w:r>
          </w:p>
        </w:tc>
        <w:tc>
          <w:tcPr>
            <w:tcW w:w="909" w:type="dxa"/>
          </w:tcPr>
          <w:p w14:paraId="4E23B0CB" w14:textId="77777777" w:rsidR="009555F5" w:rsidRPr="009555F5" w:rsidRDefault="009555F5" w:rsidP="009555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4"/>
              </w:rPr>
            </w:pPr>
            <w:r w:rsidRPr="009555F5">
              <w:rPr>
                <w:rFonts w:eastAsia="Times New Roman"/>
                <w:sz w:val="20"/>
                <w:szCs w:val="24"/>
              </w:rPr>
              <w:t>≤2,2</w:t>
            </w:r>
          </w:p>
        </w:tc>
      </w:tr>
    </w:tbl>
    <w:p w14:paraId="6A28407D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Badanie należy wykonać po upływie 72h od momentu zakończenia zagęszczania</w:t>
      </w:r>
    </w:p>
    <w:p w14:paraId="253EE6EF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792E2B66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7.3.6. Nośność podbudowy </w:t>
      </w:r>
    </w:p>
    <w:p w14:paraId="7B43DA51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Nośność zagęszczonej warstwy mieszanki należy badać po upływie 3 dni od momentu jej zagęszczenia. Oznaczenia dokonać za pomocą obciążenia statycznego płytą o średnicy 300 mm wg metodyki podanej w PN-S-02205:1998 załącznik B. Wymagane wartości modułu E2 należy przyjmować wg tablicy nr 3. W przypadku nie uzyskania odpowiedniej nośności badania należy powtórzyć na drugi dzień lub później po wstępnym związaniu mieszanki. </w:t>
      </w:r>
    </w:p>
    <w:p w14:paraId="751B55C6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Częstotliwość badań modułu odkształcenia sprawdzanej warstwy powinna być nie mniejsza niż 3 punkty badawcze na każde 2000 m2 powierzchni a dodatkowo w miejscach wskazanych przez Inżyniera/ Kierownika projektu.</w:t>
      </w:r>
    </w:p>
    <w:p w14:paraId="34B692FA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5B315902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7.3.7. Grubość warstw podbudowy </w:t>
      </w:r>
    </w:p>
    <w:p w14:paraId="0F3099EA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Grubość warstwy należy mierzyć bezpośrednio po jej zagęszczeniu w odległości, co najmniej 0,5 m od krawędzi. Grubość warstwy nie może różnić się od projektowanej o więcej niż ±1cm.</w:t>
      </w:r>
    </w:p>
    <w:p w14:paraId="568D66F8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09B42472" w14:textId="77777777" w:rsidR="009555F5" w:rsidRPr="009555F5" w:rsidRDefault="009555F5" w:rsidP="009555F5">
      <w:pPr>
        <w:keepNext/>
        <w:widowControl/>
        <w:overflowPunct w:val="0"/>
        <w:spacing w:before="120" w:after="120"/>
        <w:jc w:val="both"/>
        <w:outlineLvl w:val="1"/>
        <w:rPr>
          <w:rFonts w:eastAsia="Times New Roman"/>
          <w:b/>
          <w:sz w:val="20"/>
          <w:szCs w:val="20"/>
        </w:rPr>
      </w:pPr>
      <w:r w:rsidRPr="009555F5">
        <w:rPr>
          <w:rFonts w:eastAsia="Times New Roman"/>
          <w:b/>
          <w:sz w:val="20"/>
          <w:szCs w:val="20"/>
        </w:rPr>
        <w:t xml:space="preserve">7.3.8. Szerokość podbudowy </w:t>
      </w:r>
    </w:p>
    <w:p w14:paraId="5EE6CF8D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Szerokość podbudowy nie może różnić się od szerokości projektowanej o więcej niż +10 cm, -5 cm. </w:t>
      </w:r>
    </w:p>
    <w:p w14:paraId="57B53F85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7.3.9. Równość w profilu podłużnym i przekroju poprzecznym </w:t>
      </w:r>
    </w:p>
    <w:p w14:paraId="5F52AF5A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Nierówności poprzeczne podbudowy i ulepszonego podłoża należy mierzyć 4-metrową łatą. Nierówności nie powinny przekraczać: </w:t>
      </w:r>
    </w:p>
    <w:p w14:paraId="021DE7F7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- 12 mm dla podbudowy zasadniczej, </w:t>
      </w:r>
    </w:p>
    <w:p w14:paraId="5058A128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- 15 mm dla podbudowy pomocniczej i ulepszonego podłoża. </w:t>
      </w:r>
    </w:p>
    <w:p w14:paraId="732B5EBC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61DE5605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>Obmiar robót</w:t>
      </w:r>
    </w:p>
    <w:p w14:paraId="2996E43F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ab/>
        <w:t>Jednostką obmiarową jest  m</w:t>
      </w:r>
      <w:r w:rsidRPr="009555F5">
        <w:rPr>
          <w:rFonts w:eastAsia="Times New Roman"/>
          <w:sz w:val="20"/>
          <w:szCs w:val="20"/>
          <w:vertAlign w:val="superscript"/>
        </w:rPr>
        <w:t>2</w:t>
      </w:r>
      <w:r w:rsidRPr="009555F5">
        <w:rPr>
          <w:rFonts w:eastAsia="Times New Roman"/>
          <w:sz w:val="20"/>
          <w:szCs w:val="20"/>
        </w:rPr>
        <w:t xml:space="preserve"> (metr kwadratowy) podbudowy  z mieszanki popiołowo - żużlowej.</w:t>
      </w:r>
    </w:p>
    <w:p w14:paraId="1CBF03FB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14:paraId="67086569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>Odbiór robót</w:t>
      </w:r>
    </w:p>
    <w:p w14:paraId="482753F2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ab/>
        <w:t>Ogólne zasady odbioru robót podano w OST D-M-00.00.00 „Wymagania ogólne” pkt 8.</w:t>
      </w:r>
    </w:p>
    <w:p w14:paraId="27CC4CD9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ab/>
        <w:t xml:space="preserve">Roboty uznaje się za zgodne z dokumentacją projektową, SST i wymaganiami Inżyniera, jeżeli wszystkie pomiary i badania z zachowaniem tolerancji wg pkt 6 dały wyniki pozytywne. </w:t>
      </w:r>
      <w:r w:rsidRPr="009555F5">
        <w:rPr>
          <w:rFonts w:eastAsia="Times New Roman"/>
          <w:sz w:val="20"/>
          <w:szCs w:val="20"/>
        </w:rPr>
        <w:tab/>
        <w:t>Jeżeli wytrzymałość średnia próbek będzie mniejsza od dolnej granicy określonej w OST dla poszczególnych rodzajów podbudów i ulepszonego podłoża, to warstwa wadliwie wykonana zostanie zerwana i wymieniona na nową o odpowiednich właściwościach na koszt Wykonawcy.</w:t>
      </w:r>
    </w:p>
    <w:p w14:paraId="63ACE3D1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14:paraId="7AACB199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14:paraId="4E263145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>Podstawa płatności</w:t>
      </w:r>
    </w:p>
    <w:p w14:paraId="2A3CF31E" w14:textId="77777777" w:rsidR="009555F5" w:rsidRPr="009555F5" w:rsidRDefault="009555F5" w:rsidP="009555F5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ab/>
        <w:t>Cena wykonania 1 m</w:t>
      </w:r>
      <w:r w:rsidRPr="009555F5">
        <w:rPr>
          <w:rFonts w:eastAsia="Times New Roman"/>
          <w:sz w:val="20"/>
          <w:szCs w:val="20"/>
          <w:vertAlign w:val="superscript"/>
        </w:rPr>
        <w:t>2</w:t>
      </w:r>
      <w:r w:rsidRPr="009555F5">
        <w:rPr>
          <w:rFonts w:eastAsia="Times New Roman"/>
          <w:sz w:val="20"/>
          <w:szCs w:val="20"/>
        </w:rPr>
        <w:t xml:space="preserve"> ) podbudowy  z mieszanki popiołowo - żużlowej obejmuje:</w:t>
      </w:r>
    </w:p>
    <w:p w14:paraId="7F479193" w14:textId="77777777" w:rsidR="009555F5" w:rsidRPr="009555F5" w:rsidRDefault="009555F5" w:rsidP="009555F5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w przypadku wytwarzania mieszanek  na miejscu:</w:t>
      </w:r>
    </w:p>
    <w:p w14:paraId="77A89FC6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prace pomiarowe i roboty przygotowawcze,</w:t>
      </w:r>
    </w:p>
    <w:p w14:paraId="1B065403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oznakowanie robót,</w:t>
      </w:r>
    </w:p>
    <w:p w14:paraId="5CD1ABEA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dostarczenie, ustawienie, rozebranie i odwiezienie prowadnic oraz innych materiałów i urządzeń pomocniczych,</w:t>
      </w:r>
    </w:p>
    <w:p w14:paraId="72BD0C04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dostarczenie i rozścielenie mieszanki zgodnej z receptą laboratoryjną,</w:t>
      </w:r>
    </w:p>
    <w:p w14:paraId="5982F7C1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zagęszczenie warstwy,</w:t>
      </w:r>
    </w:p>
    <w:p w14:paraId="10677C29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pielęgnacja wykonanej warstwy</w:t>
      </w:r>
    </w:p>
    <w:p w14:paraId="6D12EA96" w14:textId="77777777" w:rsidR="009555F5" w:rsidRPr="009555F5" w:rsidRDefault="009555F5" w:rsidP="009555F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9555F5">
        <w:rPr>
          <w:rFonts w:eastAsia="Times New Roman"/>
          <w:sz w:val="20"/>
          <w:szCs w:val="20"/>
        </w:rPr>
        <w:t>przeprowadzenie pomiarów i badań laboratoryjnych, wymaganych w specyfikacji technicznej,</w:t>
      </w:r>
    </w:p>
    <w:p w14:paraId="09BE7774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</w:p>
    <w:p w14:paraId="6AF95376" w14:textId="77777777" w:rsidR="009555F5" w:rsidRPr="009555F5" w:rsidRDefault="009555F5" w:rsidP="009555F5">
      <w:pPr>
        <w:pStyle w:val="Nagwek1"/>
        <w:numPr>
          <w:ilvl w:val="0"/>
          <w:numId w:val="3"/>
        </w:numPr>
        <w:kinsoku w:val="0"/>
        <w:overflowPunct w:val="0"/>
        <w:spacing w:before="83"/>
        <w:ind w:left="567"/>
      </w:pPr>
      <w:r w:rsidRPr="009555F5">
        <w:t xml:space="preserve">DOKUMENTY POWOŁANE </w:t>
      </w:r>
    </w:p>
    <w:p w14:paraId="7A03CA27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„Mieszanki związane spoiwem hydraulicznym do dróg krajowych” WT-5 2010. Wymagania Techniczne GDDKiA Warszawa </w:t>
      </w:r>
    </w:p>
    <w:p w14:paraId="7E6F36C5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„Raport z badań wstępnych typu mieszanek związanych popiołami lotnymi na zgodność z normą PN-EN 14227-3” </w:t>
      </w:r>
    </w:p>
    <w:p w14:paraId="0B952678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PN-EN 14227-3:2007 „Mieszanki związane spoiwem hydraulicznym. Wymagania. Część 3: Mieszanki związane popiołami lotnymi” </w:t>
      </w:r>
    </w:p>
    <w:p w14:paraId="73F189A8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PN-EN 14227-4:2005 „Mieszanki związane spoiwem hydraulicznym. Specyfikacja. Część 4: Popioły lotne do mieszanek” </w:t>
      </w:r>
    </w:p>
    <w:p w14:paraId="143AD77D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PN-EN 13242:2002+A1:2007 „Kruszywa do niezwiązanych i związanych hydraulicznie materiałów stosowanych w obiektach budowlanych i budownictwie drogowym” </w:t>
      </w:r>
    </w:p>
    <w:p w14:paraId="306987CA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PN-EN 933-1:2012 „Badania geometrycznych właściwości kruszyw. Część 1: Oznaczanie składu ziarnowego. Metoda przesiewania” </w:t>
      </w:r>
    </w:p>
    <w:p w14:paraId="5B8B1EC2" w14:textId="77777777" w:rsidR="009555F5" w:rsidRPr="009555F5" w:rsidRDefault="009555F5" w:rsidP="009555F5">
      <w:pPr>
        <w:widowControl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 xml:space="preserve">PN-S-06103:1997 „Drogi samochodowe. Podbudowa z betonu popiołowego” </w:t>
      </w:r>
    </w:p>
    <w:p w14:paraId="0327D22B" w14:textId="77777777" w:rsidR="009555F5" w:rsidRPr="009555F5" w:rsidRDefault="009555F5" w:rsidP="009555F5">
      <w:pPr>
        <w:widowControl/>
        <w:autoSpaceDE/>
        <w:autoSpaceDN/>
        <w:adjustRightInd/>
        <w:rPr>
          <w:rFonts w:eastAsia="Times New Roman"/>
          <w:sz w:val="20"/>
          <w:szCs w:val="24"/>
        </w:rPr>
      </w:pPr>
      <w:r w:rsidRPr="009555F5">
        <w:rPr>
          <w:rFonts w:eastAsia="Times New Roman"/>
          <w:sz w:val="20"/>
          <w:szCs w:val="24"/>
        </w:rPr>
        <w:t>PN-S-02205:1998 „Drogi samochodowe. Roboty ziemne. Wymagania i badania”</w:t>
      </w:r>
    </w:p>
    <w:p w14:paraId="29B67F5C" w14:textId="77777777" w:rsidR="00177ACD" w:rsidRDefault="00177ACD" w:rsidP="009555F5">
      <w:pPr>
        <w:pStyle w:val="Nagwek1"/>
        <w:tabs>
          <w:tab w:val="left" w:pos="477"/>
        </w:tabs>
        <w:kinsoku w:val="0"/>
        <w:overflowPunct w:val="0"/>
        <w:ind w:left="0" w:firstLine="0"/>
      </w:pPr>
    </w:p>
    <w:sectPr w:rsidR="00177ACD" w:rsidSect="004F1CAE">
      <w:pgSz w:w="11910" w:h="16840"/>
      <w:pgMar w:top="1320" w:right="1300" w:bottom="1660" w:left="1220" w:header="478" w:footer="113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F06D" w14:textId="77777777" w:rsidR="003B3236" w:rsidRDefault="003B3236">
      <w:r>
        <w:separator/>
      </w:r>
    </w:p>
  </w:endnote>
  <w:endnote w:type="continuationSeparator" w:id="0">
    <w:p w14:paraId="515381F1" w14:textId="77777777" w:rsidR="003B3236" w:rsidRDefault="003B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35454340"/>
  <w:p w14:paraId="5D28A7E5" w14:textId="77777777" w:rsidR="004F1CAE" w:rsidRDefault="00C8619F" w:rsidP="003B4D88">
    <w:pPr>
      <w:pStyle w:val="Tekstpodstawowy"/>
      <w:kinsoku w:val="0"/>
      <w:overflowPunct w:val="0"/>
      <w:spacing w:before="12"/>
      <w:ind w:left="20"/>
      <w:jc w:val="center"/>
      <w:rPr>
        <w:iCs/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0" allowOverlap="1" wp14:anchorId="37C22F03" wp14:editId="584101DC">
              <wp:simplePos x="0" y="0"/>
              <wp:positionH relativeFrom="page">
                <wp:posOffset>899160</wp:posOffset>
              </wp:positionH>
              <wp:positionV relativeFrom="page">
                <wp:posOffset>9359167</wp:posOffset>
              </wp:positionV>
              <wp:extent cx="5761990" cy="127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61990" cy="12700"/>
                        <a:chOff x="1416" y="15085"/>
                        <a:chExt cx="9073" cy="28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1416" y="15093"/>
                          <a:ext cx="3910" cy="20"/>
                        </a:xfrm>
                        <a:custGeom>
                          <a:avLst/>
                          <a:gdLst>
                            <a:gd name="T0" fmla="*/ 0 w 3910"/>
                            <a:gd name="T1" fmla="*/ 0 h 20"/>
                            <a:gd name="T2" fmla="*/ 3910 w 391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910" h="20">
                              <a:moveTo>
                                <a:pt x="0" y="0"/>
                              </a:moveTo>
                              <a:lnTo>
                                <a:pt x="3910" y="0"/>
                              </a:lnTo>
                            </a:path>
                          </a:pathLst>
                        </a:cu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5326" y="15085"/>
                          <a:ext cx="20" cy="20"/>
                        </a:xfrm>
                        <a:custGeom>
                          <a:avLst/>
                          <a:gdLst>
                            <a:gd name="T0" fmla="*/ 0 w 20"/>
                            <a:gd name="T1" fmla="*/ 14 h 20"/>
                            <a:gd name="T2" fmla="*/ 14 w 20"/>
                            <a:gd name="T3" fmla="*/ 14 h 20"/>
                            <a:gd name="T4" fmla="*/ 14 w 20"/>
                            <a:gd name="T5" fmla="*/ 0 h 20"/>
                            <a:gd name="T6" fmla="*/ 0 w 20"/>
                            <a:gd name="T7" fmla="*/ 0 h 20"/>
                            <a:gd name="T8" fmla="*/ 0 w 20"/>
                            <a:gd name="T9" fmla="*/ 14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5340" y="15093"/>
                          <a:ext cx="5149" cy="20"/>
                        </a:xfrm>
                        <a:custGeom>
                          <a:avLst/>
                          <a:gdLst>
                            <a:gd name="T0" fmla="*/ 0 w 5149"/>
                            <a:gd name="T1" fmla="*/ 0 h 20"/>
                            <a:gd name="T2" fmla="*/ 5149 w 514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149" h="20">
                              <a:moveTo>
                                <a:pt x="0" y="0"/>
                              </a:moveTo>
                              <a:lnTo>
                                <a:pt x="5149" y="0"/>
                              </a:lnTo>
                            </a:path>
                          </a:pathLst>
                        </a:cu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7A58B840" id="Group 1" o:spid="_x0000_s1026" style="position:absolute;margin-left:70.8pt;margin-top:736.95pt;width:453.7pt;height:1pt;z-index:-251658240;mso-position-horizontal-relative:page;mso-position-vertical-relative:page" coordorigin="1416,15085" coordsize="9073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" o:allowincell="f">
              <v:shape id="Freeform 2" o:spid="_x0000_s1027" style="position:absolute;left:1416;top:15093;width:3910;height:20;visibility:visible;mso-wrap-style:square;v-text-anchor:top" coordsize="391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" path="m,l3910,e" filled="f" strokeweight=".25397mm">
                <v:path arrowok="t" o:connecttype="custom" o:connectlocs="0,0;3910,0" o:connectangles="0,0"/>
              </v:shape>
              <v:shape id="Freeform 3" o:spid="_x0000_s1028" style="position:absolute;left:5326;top:15085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" path="m,14r14,l14,,,,,14xe" fillcolor="black" stroked="f">
                <v:path arrowok="t" o:connecttype="custom" o:connectlocs="0,14;14,14;14,0;0,0;0,14" o:connectangles="0,0,0,0,0"/>
              </v:shape>
              <v:shape id="Freeform 4" o:spid="_x0000_s1029" style="position:absolute;left:5340;top:15093;width:5149;height:20;visibility:visible;mso-wrap-style:square;v-text-anchor:top" coordsize="51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" path="m,l5149,e" filled="f" strokeweight=".25397mm">
                <v:path arrowok="t" o:connecttype="custom" o:connectlocs="0,0;5149,0" o:connectangles="0,0"/>
              </v:shape>
              <w10:wrap anchorx="page" anchory="page"/>
            </v:group>
          </w:pict>
        </mc:Fallback>
      </mc:AlternateContent>
    </w:r>
    <w:bookmarkEnd w:id="0"/>
    <w:r w:rsidR="004F1CAE" w:rsidRPr="004F1CAE">
      <w:rPr>
        <w:iCs/>
        <w:noProof/>
      </w:rPr>
      <w:t xml:space="preserve">Remont kanalizacji deszczowej wraz z odtworzeniem nawierzchni </w:t>
    </w:r>
    <w:r w:rsidR="004F1CAE" w:rsidRPr="004F1CAE">
      <w:rPr>
        <w:iCs/>
        <w:noProof/>
      </w:rPr>
      <w:br/>
      <w:t xml:space="preserve">i konstrukcji jezdni w ramach zadania pn. „Odbudowa uszkodzonej w czasie powodzi kanalizacji deszczowej </w:t>
    </w:r>
  </w:p>
  <w:p w14:paraId="3CA8249F" w14:textId="6402DEC2" w:rsidR="003B4D88" w:rsidRDefault="004F1CAE" w:rsidP="003B4D88">
    <w:pPr>
      <w:pStyle w:val="Tekstpodstawowy"/>
      <w:kinsoku w:val="0"/>
      <w:overflowPunct w:val="0"/>
      <w:spacing w:before="12"/>
      <w:ind w:left="20"/>
      <w:jc w:val="center"/>
      <w:rPr>
        <w:spacing w:val="-10"/>
        <w:sz w:val="18"/>
        <w:szCs w:val="18"/>
      </w:rPr>
    </w:pPr>
    <w:r w:rsidRPr="004F1CAE">
      <w:rPr>
        <w:iCs/>
        <w:noProof/>
      </w:rPr>
      <w:t>w ul. Letniej w km 0+000 – 0+765”</w:t>
    </w:r>
  </w:p>
  <w:p w14:paraId="085460C7" w14:textId="1991B743" w:rsidR="00090DE6" w:rsidRDefault="00090DE6" w:rsidP="003B4D88">
    <w:pPr>
      <w:pStyle w:val="Tekstpodstawowy"/>
      <w:kinsoku w:val="0"/>
      <w:overflowPunct w:val="0"/>
      <w:spacing w:line="240" w:lineRule="exact"/>
      <w:jc w:val="center"/>
      <w:rPr>
        <w:sz w:val="24"/>
        <w:szCs w:val="24"/>
      </w:rPr>
    </w:pPr>
  </w:p>
  <w:p w14:paraId="28115F54" w14:textId="0E3675AA" w:rsidR="00177ACD" w:rsidRDefault="00177ACD">
    <w:pPr>
      <w:pStyle w:val="Tekstpodstawowy"/>
      <w:kinsoku w:val="0"/>
      <w:overflowPunct w:val="0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76E76" w14:textId="77777777" w:rsidR="003B3236" w:rsidRDefault="003B3236">
      <w:r>
        <w:separator/>
      </w:r>
    </w:p>
  </w:footnote>
  <w:footnote w:type="continuationSeparator" w:id="0">
    <w:p w14:paraId="677B48AF" w14:textId="77777777" w:rsidR="003B3236" w:rsidRDefault="003B3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F102" w14:textId="7D73CE4A" w:rsidR="003B4D88" w:rsidRDefault="003B4D88" w:rsidP="003B4D88">
    <w:pPr>
      <w:pStyle w:val="Nagwek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BC76FCC" wp14:editId="205D04D5">
              <wp:simplePos x="0" y="0"/>
              <wp:positionH relativeFrom="page">
                <wp:posOffset>2838893</wp:posOffset>
              </wp:positionH>
              <wp:positionV relativeFrom="page">
                <wp:posOffset>287079</wp:posOffset>
              </wp:positionV>
              <wp:extent cx="2052084" cy="165735"/>
              <wp:effectExtent l="0" t="0" r="5715" b="5715"/>
              <wp:wrapNone/>
              <wp:docPr id="179308052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208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8B104" w14:textId="6FA8BD3E" w:rsidR="003B4D88" w:rsidRDefault="003B4D88" w:rsidP="003B4D88">
                          <w:pPr>
                            <w:pStyle w:val="Tekstpodstawowy"/>
                            <w:kinsoku w:val="0"/>
                            <w:overflowPunct w:val="0"/>
                            <w:spacing w:before="10"/>
                            <w:ind w:left="20"/>
                          </w:pPr>
                          <w:r>
                            <w:t>Specyfikacja Techniczna D.04.05.01a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BC76FC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23.55pt;margin-top:22.6pt;width:16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" o:allowincell="f" filled="f" stroked="f">
              <v:textbox inset="0,0,0,0">
                <w:txbxContent>
                  <w:p w14:paraId="1D18B104" w14:textId="6FA8BD3E" w:rsidR="003B4D88" w:rsidRDefault="003B4D88" w:rsidP="003B4D88">
                    <w:pPr>
                      <w:pStyle w:val="Tekstpodstawowy"/>
                      <w:kinsoku w:val="0"/>
                      <w:overflowPunct w:val="0"/>
                      <w:spacing w:before="10"/>
                      <w:ind w:left="20"/>
                    </w:pPr>
                    <w:r>
                      <w:t>Specyfikacja Techniczna D.04.05.01</w:t>
                    </w:r>
                    <w: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fldChar w:fldCharType="begin"/>
    </w:r>
    <w:r>
      <w:instrText>PAGE   \* MERGEFORMAT</w:instrText>
    </w:r>
    <w:r>
      <w:fldChar w:fldCharType="separate"/>
    </w:r>
    <w:r>
      <w:t>116</w:t>
    </w:r>
    <w:r>
      <w:fldChar w:fldCharType="end"/>
    </w:r>
  </w:p>
  <w:p w14:paraId="1DAD88A2" w14:textId="4F5B525E" w:rsidR="003B4D88" w:rsidRDefault="003B4D88" w:rsidP="003B4D88">
    <w:pPr>
      <w:pStyle w:val="Tekstpodstawowy"/>
      <w:kinsoku w:val="0"/>
      <w:overflowPunct w:val="0"/>
      <w:spacing w:line="14" w:lineRule="auto"/>
      <w:ind w:left="0"/>
    </w:pPr>
  </w:p>
  <w:p w14:paraId="17F45095" w14:textId="77777777" w:rsidR="00177ACD" w:rsidRPr="003B4D88" w:rsidRDefault="00177ACD" w:rsidP="003B4D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AE0EC82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77" w:hanging="281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548" w:hanging="352"/>
      </w:pPr>
      <w:rPr>
        <w:rFonts w:ascii="Times New Roman" w:hAnsi="Times New Roman" w:cs="Times New Roman"/>
        <w:b/>
        <w:bCs/>
        <w:spacing w:val="0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96" w:hanging="557"/>
      </w:pPr>
      <w:rPr>
        <w:rFonts w:ascii="Times New Roman" w:hAnsi="Times New Roman" w:cs="Times New Roman"/>
        <w:b/>
        <w:bCs/>
        <w:spacing w:val="0"/>
        <w:w w:val="99"/>
        <w:sz w:val="20"/>
        <w:szCs w:val="20"/>
      </w:rPr>
    </w:lvl>
    <w:lvl w:ilvl="3">
      <w:numFmt w:val="bullet"/>
      <w:lvlText w:val="•"/>
      <w:lvlJc w:val="left"/>
      <w:pPr>
        <w:ind w:left="1645" w:hanging="557"/>
      </w:pPr>
    </w:lvl>
    <w:lvl w:ilvl="4">
      <w:numFmt w:val="bullet"/>
      <w:lvlText w:val="•"/>
      <w:lvlJc w:val="left"/>
      <w:pPr>
        <w:ind w:left="2751" w:hanging="557"/>
      </w:pPr>
    </w:lvl>
    <w:lvl w:ilvl="5">
      <w:numFmt w:val="bullet"/>
      <w:lvlText w:val="•"/>
      <w:lvlJc w:val="left"/>
      <w:pPr>
        <w:ind w:left="3857" w:hanging="557"/>
      </w:pPr>
    </w:lvl>
    <w:lvl w:ilvl="6">
      <w:numFmt w:val="bullet"/>
      <w:lvlText w:val="•"/>
      <w:lvlJc w:val="left"/>
      <w:pPr>
        <w:ind w:left="4963" w:hanging="557"/>
      </w:pPr>
    </w:lvl>
    <w:lvl w:ilvl="7">
      <w:numFmt w:val="bullet"/>
      <w:lvlText w:val="•"/>
      <w:lvlJc w:val="left"/>
      <w:pPr>
        <w:ind w:left="6069" w:hanging="557"/>
      </w:pPr>
    </w:lvl>
    <w:lvl w:ilvl="8">
      <w:numFmt w:val="bullet"/>
      <w:lvlText w:val="•"/>
      <w:lvlJc w:val="left"/>
      <w:pPr>
        <w:ind w:left="7174" w:hanging="557"/>
      </w:pPr>
    </w:lvl>
  </w:abstractNum>
  <w:abstractNum w:abstractNumId="2" w15:restartNumberingAfterBreak="0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525" w:hanging="456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•"/>
      <w:lvlJc w:val="left"/>
      <w:pPr>
        <w:ind w:left="891" w:hanging="456"/>
      </w:pPr>
    </w:lvl>
    <w:lvl w:ilvl="2">
      <w:numFmt w:val="bullet"/>
      <w:lvlText w:val="•"/>
      <w:lvlJc w:val="left"/>
      <w:pPr>
        <w:ind w:left="1263" w:hanging="456"/>
      </w:pPr>
    </w:lvl>
    <w:lvl w:ilvl="3">
      <w:numFmt w:val="bullet"/>
      <w:lvlText w:val="•"/>
      <w:lvlJc w:val="left"/>
      <w:pPr>
        <w:ind w:left="1634" w:hanging="456"/>
      </w:pPr>
    </w:lvl>
    <w:lvl w:ilvl="4">
      <w:numFmt w:val="bullet"/>
      <w:lvlText w:val="•"/>
      <w:lvlJc w:val="left"/>
      <w:pPr>
        <w:ind w:left="2006" w:hanging="456"/>
      </w:pPr>
    </w:lvl>
    <w:lvl w:ilvl="5">
      <w:numFmt w:val="bullet"/>
      <w:lvlText w:val="•"/>
      <w:lvlJc w:val="left"/>
      <w:pPr>
        <w:ind w:left="2378" w:hanging="456"/>
      </w:pPr>
    </w:lvl>
    <w:lvl w:ilvl="6">
      <w:numFmt w:val="bullet"/>
      <w:lvlText w:val="•"/>
      <w:lvlJc w:val="left"/>
      <w:pPr>
        <w:ind w:left="2749" w:hanging="456"/>
      </w:pPr>
    </w:lvl>
    <w:lvl w:ilvl="7">
      <w:numFmt w:val="bullet"/>
      <w:lvlText w:val="•"/>
      <w:lvlJc w:val="left"/>
      <w:pPr>
        <w:ind w:left="3121" w:hanging="456"/>
      </w:pPr>
    </w:lvl>
    <w:lvl w:ilvl="8">
      <w:numFmt w:val="bullet"/>
      <w:lvlText w:val="•"/>
      <w:lvlJc w:val="left"/>
      <w:pPr>
        <w:ind w:left="3492" w:hanging="456"/>
      </w:pPr>
    </w:lvl>
  </w:abstractNum>
  <w:abstractNum w:abstractNumId="3" w15:restartNumberingAfterBreak="0">
    <w:nsid w:val="00000404"/>
    <w:multiLevelType w:val="multilevel"/>
    <w:tmpl w:val="00000887"/>
    <w:lvl w:ilvl="0">
      <w:numFmt w:val="bullet"/>
      <w:lvlText w:val="-"/>
      <w:lvlJc w:val="left"/>
      <w:pPr>
        <w:ind w:left="566" w:hanging="370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442" w:hanging="370"/>
      </w:pPr>
    </w:lvl>
    <w:lvl w:ilvl="2">
      <w:numFmt w:val="bullet"/>
      <w:lvlText w:val="•"/>
      <w:lvlJc w:val="left"/>
      <w:pPr>
        <w:ind w:left="2325" w:hanging="370"/>
      </w:pPr>
    </w:lvl>
    <w:lvl w:ilvl="3">
      <w:numFmt w:val="bullet"/>
      <w:lvlText w:val="•"/>
      <w:lvlJc w:val="left"/>
      <w:pPr>
        <w:ind w:left="3207" w:hanging="370"/>
      </w:pPr>
    </w:lvl>
    <w:lvl w:ilvl="4">
      <w:numFmt w:val="bullet"/>
      <w:lvlText w:val="•"/>
      <w:lvlJc w:val="left"/>
      <w:pPr>
        <w:ind w:left="4090" w:hanging="370"/>
      </w:pPr>
    </w:lvl>
    <w:lvl w:ilvl="5">
      <w:numFmt w:val="bullet"/>
      <w:lvlText w:val="•"/>
      <w:lvlJc w:val="left"/>
      <w:pPr>
        <w:ind w:left="4973" w:hanging="370"/>
      </w:pPr>
    </w:lvl>
    <w:lvl w:ilvl="6">
      <w:numFmt w:val="bullet"/>
      <w:lvlText w:val="•"/>
      <w:lvlJc w:val="left"/>
      <w:pPr>
        <w:ind w:left="5855" w:hanging="370"/>
      </w:pPr>
    </w:lvl>
    <w:lvl w:ilvl="7">
      <w:numFmt w:val="bullet"/>
      <w:lvlText w:val="•"/>
      <w:lvlJc w:val="left"/>
      <w:pPr>
        <w:ind w:left="6738" w:hanging="370"/>
      </w:pPr>
    </w:lvl>
    <w:lvl w:ilvl="8">
      <w:numFmt w:val="bullet"/>
      <w:lvlText w:val="•"/>
      <w:lvlJc w:val="left"/>
      <w:pPr>
        <w:ind w:left="7621" w:hanging="370"/>
      </w:pPr>
    </w:lvl>
  </w:abstractNum>
  <w:abstractNum w:abstractNumId="4" w15:restartNumberingAfterBreak="0">
    <w:nsid w:val="3EEE79DA"/>
    <w:multiLevelType w:val="multilevel"/>
    <w:tmpl w:val="00000885"/>
    <w:lvl w:ilvl="0">
      <w:start w:val="1"/>
      <w:numFmt w:val="decimal"/>
      <w:lvlText w:val="%1."/>
      <w:lvlJc w:val="left"/>
      <w:pPr>
        <w:ind w:left="477" w:hanging="281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548" w:hanging="352"/>
      </w:pPr>
      <w:rPr>
        <w:rFonts w:ascii="Times New Roman" w:hAnsi="Times New Roman" w:cs="Times New Roman"/>
        <w:b/>
        <w:bCs/>
        <w:spacing w:val="0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96" w:hanging="557"/>
      </w:pPr>
      <w:rPr>
        <w:rFonts w:ascii="Times New Roman" w:hAnsi="Times New Roman" w:cs="Times New Roman"/>
        <w:b/>
        <w:bCs/>
        <w:spacing w:val="0"/>
        <w:w w:val="99"/>
        <w:sz w:val="20"/>
        <w:szCs w:val="20"/>
      </w:rPr>
    </w:lvl>
    <w:lvl w:ilvl="3">
      <w:numFmt w:val="bullet"/>
      <w:lvlText w:val="•"/>
      <w:lvlJc w:val="left"/>
      <w:pPr>
        <w:ind w:left="1645" w:hanging="557"/>
      </w:pPr>
    </w:lvl>
    <w:lvl w:ilvl="4">
      <w:numFmt w:val="bullet"/>
      <w:lvlText w:val="•"/>
      <w:lvlJc w:val="left"/>
      <w:pPr>
        <w:ind w:left="2751" w:hanging="557"/>
      </w:pPr>
    </w:lvl>
    <w:lvl w:ilvl="5">
      <w:numFmt w:val="bullet"/>
      <w:lvlText w:val="•"/>
      <w:lvlJc w:val="left"/>
      <w:pPr>
        <w:ind w:left="3857" w:hanging="557"/>
      </w:pPr>
    </w:lvl>
    <w:lvl w:ilvl="6">
      <w:numFmt w:val="bullet"/>
      <w:lvlText w:val="•"/>
      <w:lvlJc w:val="left"/>
      <w:pPr>
        <w:ind w:left="4963" w:hanging="557"/>
      </w:pPr>
    </w:lvl>
    <w:lvl w:ilvl="7">
      <w:numFmt w:val="bullet"/>
      <w:lvlText w:val="•"/>
      <w:lvlJc w:val="left"/>
      <w:pPr>
        <w:ind w:left="6069" w:hanging="557"/>
      </w:pPr>
    </w:lvl>
    <w:lvl w:ilvl="8">
      <w:numFmt w:val="bullet"/>
      <w:lvlText w:val="•"/>
      <w:lvlJc w:val="left"/>
      <w:pPr>
        <w:ind w:left="7174" w:hanging="557"/>
      </w:pPr>
    </w:lvl>
  </w:abstractNum>
  <w:abstractNum w:abstractNumId="5" w15:restartNumberingAfterBreak="0">
    <w:nsid w:val="64AF6A3F"/>
    <w:multiLevelType w:val="singleLevel"/>
    <w:tmpl w:val="9F5026F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442141927">
    <w:abstractNumId w:val="3"/>
  </w:num>
  <w:num w:numId="2" w16cid:durableId="562983773">
    <w:abstractNumId w:val="2"/>
  </w:num>
  <w:num w:numId="3" w16cid:durableId="1041054778">
    <w:abstractNumId w:val="1"/>
  </w:num>
  <w:num w:numId="4" w16cid:durableId="579869802">
    <w:abstractNumId w:val="4"/>
  </w:num>
  <w:num w:numId="5" w16cid:durableId="148754697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356495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E6"/>
    <w:rsid w:val="00014FF6"/>
    <w:rsid w:val="00090DE6"/>
    <w:rsid w:val="000C2BB4"/>
    <w:rsid w:val="00123CE8"/>
    <w:rsid w:val="001444AD"/>
    <w:rsid w:val="00156105"/>
    <w:rsid w:val="00177ACD"/>
    <w:rsid w:val="001C5F76"/>
    <w:rsid w:val="0029662F"/>
    <w:rsid w:val="002B2423"/>
    <w:rsid w:val="00330B66"/>
    <w:rsid w:val="00335B06"/>
    <w:rsid w:val="003916D1"/>
    <w:rsid w:val="003A2110"/>
    <w:rsid w:val="003B3236"/>
    <w:rsid w:val="003B4D88"/>
    <w:rsid w:val="00413CAC"/>
    <w:rsid w:val="004249E1"/>
    <w:rsid w:val="00484954"/>
    <w:rsid w:val="004F1CAE"/>
    <w:rsid w:val="00504F86"/>
    <w:rsid w:val="00524389"/>
    <w:rsid w:val="00542224"/>
    <w:rsid w:val="006343FD"/>
    <w:rsid w:val="00752A0D"/>
    <w:rsid w:val="007A467C"/>
    <w:rsid w:val="007D154C"/>
    <w:rsid w:val="007F377A"/>
    <w:rsid w:val="00887533"/>
    <w:rsid w:val="00893742"/>
    <w:rsid w:val="00926910"/>
    <w:rsid w:val="009328BA"/>
    <w:rsid w:val="009555F5"/>
    <w:rsid w:val="00A8651D"/>
    <w:rsid w:val="00B71161"/>
    <w:rsid w:val="00BA2797"/>
    <w:rsid w:val="00C8619F"/>
    <w:rsid w:val="00CD41B7"/>
    <w:rsid w:val="00CE3C46"/>
    <w:rsid w:val="00D33A1E"/>
    <w:rsid w:val="00D54788"/>
    <w:rsid w:val="00DE2552"/>
    <w:rsid w:val="00DF0376"/>
    <w:rsid w:val="00E06081"/>
    <w:rsid w:val="00E36990"/>
    <w:rsid w:val="00F0397A"/>
    <w:rsid w:val="00F10D8A"/>
    <w:rsid w:val="00F85532"/>
    <w:rsid w:val="00FF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BF5E6F"/>
  <w14:defaultImageDpi w14:val="0"/>
  <w15:docId w15:val="{ECF95C75-F407-4B69-A797-F6FB6FDC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1"/>
    <w:qFormat/>
    <w:pPr>
      <w:spacing w:before="1"/>
      <w:ind w:left="477" w:hanging="28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1"/>
    <w:qFormat/>
    <w:pPr>
      <w:ind w:left="548" w:hanging="353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19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locked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1"/>
    <w:qFormat/>
    <w:pPr>
      <w:ind w:left="548" w:hanging="353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pPr>
      <w:ind w:left="6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90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90DE6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90D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90DE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2ED16-2B7F-4CAE-8CA5-96B986BD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2429</Words>
  <Characters>14575</Characters>
  <Application>Microsoft Office Word</Application>
  <DocSecurity>0</DocSecurity>
  <Lines>121</Lines>
  <Paragraphs>33</Paragraphs>
  <ScaleCrop>false</ScaleCrop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D.04.04.02</dc:title>
  <dc:subject/>
  <dc:creator>User</dc:creator>
  <cp:keywords/>
  <dc:description/>
  <cp:lastModifiedBy>Michał Ksel</cp:lastModifiedBy>
  <cp:revision>9</cp:revision>
  <dcterms:created xsi:type="dcterms:W3CDTF">2022-02-18T08:18:00Z</dcterms:created>
  <dcterms:modified xsi:type="dcterms:W3CDTF">2025-11-01T18:59:00Z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