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0"/>
        <w:ind w:hanging="425" w:left="425"/>
        <w:rPr>
          <w:rFonts w:ascii="Calibri" w:hAnsi="Calibri" w:cs="Calibri"/>
          <w:sz w:val="24"/>
          <w:szCs w:val="24"/>
        </w:rPr>
      </w:pPr>
      <w:r>
        <mc:AlternateContent>
          <mc:Choice Requires="wps">
            <w:drawing>
              <wp:anchor behindDoc="0" distT="0" distB="0" distL="114300" distR="114300" simplePos="0" locked="0" layoutInCell="0" allowOverlap="1" relativeHeight="4" wp14:anchorId="25E85156">
                <wp:simplePos x="0" y="0"/>
                <wp:positionH relativeFrom="margin">
                  <wp:align>right</wp:align>
                </wp:positionH>
                <wp:positionV relativeFrom="paragraph">
                  <wp:posOffset>361950</wp:posOffset>
                </wp:positionV>
                <wp:extent cx="5760720" cy="2066925"/>
                <wp:effectExtent l="0" t="0" r="0" b="0"/>
                <wp:wrapSquare wrapText="bothSides"/>
                <wp:docPr id="1" name="Pole tekstowe 111"/>
                <a:graphic xmlns:a="http://schemas.openxmlformats.org/drawingml/2006/main">
                  <a:graphicData uri="http://schemas.microsoft.com/office/word/2010/wordprocessingShape">
                    <wps:wsp>
                      <wps:cNvSpPr/>
                      <wps:spPr>
                        <a:xfrm>
                          <a:off x="0" y="0"/>
                          <a:ext cx="5760720" cy="2066760"/>
                        </a:xfrm>
                        <a:prstGeom prst="rect">
                          <a:avLst/>
                        </a:prstGeom>
                        <a:noFill/>
                        <a:ln w="6350">
                          <a:noFill/>
                        </a:ln>
                      </wps:spPr>
                      <wps:style>
                        <a:lnRef idx="0"/>
                        <a:fillRef idx="0"/>
                        <a:effectRef idx="0"/>
                        <a:fontRef idx="minor"/>
                      </wps:style>
                      <wps:txbx>
                        <w:txbxContent>
                          <w:p>
                            <w:pPr>
                              <w:pStyle w:val="Zawartoramki"/>
                              <w:spacing w:lineRule="auto" w:line="312"/>
                              <w:jc w:val="center"/>
                              <w:rPr>
                                <w:color w:val="FF0000"/>
                                <w:sz w:val="40"/>
                                <w:szCs w:val="40"/>
                              </w:rPr>
                            </w:pPr>
                            <w:bookmarkStart w:id="0" w:name="OLE_LINK7"/>
                            <w:bookmarkStart w:id="1" w:name="OLE_LINK4"/>
                            <w:bookmarkEnd w:id="0"/>
                            <w:bookmarkEnd w:id="1"/>
                            <w:sdt>
                              <w:sdtPr>
                                <w:placeholder>
                                  <w:docPart w:val="A5D2C0FF5CFB49F094EAF54D35B39D29"/>
                                </w:placeholder>
                                <w:alias w:val="nazwa"/>
                                <w:id w:val="1504374608"/>
                              </w:sdtPr>
                              <w:sdtContent>
                                <w:r>
                                  <w:rPr>
                                    <w:color w:val="FF0000"/>
                                    <w:sz w:val="40"/>
                                    <w:szCs w:val="40"/>
                                  </w:rPr>
                                </w:r>
                                <w:r>
                                  <w:rPr>
                                    <w:color w:val="FF0000"/>
                                    <w:sz w:val="40"/>
                                    <w:szCs w:val="40"/>
                                  </w:rPr>
                                  <w:t xml:space="preserve">Dostawa żywienia zbiorowego  </w:t>
                                </w:r>
                              </w:sdtContent>
                            </w:sdt>
                          </w:p>
                          <w:p>
                            <w:pPr>
                              <w:pStyle w:val="Zawartoramki"/>
                              <w:spacing w:lineRule="auto" w:line="312"/>
                              <w:jc w:val="center"/>
                              <w:rPr>
                                <w:rStyle w:val="Calibri20ty"/>
                                <w:color w:val="004289"/>
                              </w:rPr>
                            </w:pPr>
                            <w:r>
                              <w:rPr>
                                <w:color w:val="004289"/>
                              </w:rPr>
                            </w:r>
                            <w:bookmarkStart w:id="2" w:name="OLE_LINK71"/>
                            <w:bookmarkStart w:id="3" w:name="OLE_LINK41"/>
                            <w:bookmarkStart w:id="4" w:name="OLE_LINK71"/>
                            <w:bookmarkStart w:id="5" w:name="OLE_LINK41"/>
                            <w:bookmarkEnd w:id="4"/>
                            <w:bookmarkEnd w:id="5"/>
                          </w:p>
                          <w:p>
                            <w:pPr>
                              <w:pStyle w:val="Zawartoramki"/>
                              <w:spacing w:lineRule="auto" w:line="312" w:before="0" w:after="160"/>
                              <w:jc w:val="center"/>
                              <w:rPr>
                                <w:color w:val="808080"/>
                              </w:rPr>
                            </w:pPr>
                            <w:bookmarkStart w:id="6" w:name="OLE_LINK8"/>
                            <w:bookmarkStart w:id="7" w:name="OLE_LINK5"/>
                            <w:r>
                              <w:rPr>
                                <w:rStyle w:val="Calibri16"/>
                                <w:color w:val="000000"/>
                              </w:rPr>
                              <w:t>Specyfikacja Warunków Zamówienia (SWZ)</w:t>
                            </w:r>
                            <w:bookmarkEnd w:id="6"/>
                            <w:bookmarkEnd w:id="7"/>
                          </w:p>
                        </w:txbxContent>
                      </wps:txbx>
                      <wps:bodyPr anchor="t">
                        <a:prstTxWarp prst="textNoShape"/>
                        <a:noAutofit/>
                      </wps:bodyPr>
                    </wps:wsp>
                  </a:graphicData>
                </a:graphic>
              </wp:anchor>
            </w:drawing>
          </mc:Choice>
          <mc:Fallback>
            <w:pict>
              <v:rect id="shape_0" ID="Pole tekstowe 111" path="m0,0l-2147483645,0l-2147483645,-2147483646l0,-2147483646xe" stroked="f" o:allowincell="f" style="position:absolute;margin-left:-9.05pt;margin-top:28.5pt;width:453.55pt;height:162.7pt;mso-wrap-style:square;v-text-anchor:top;mso-position-horizontal:right;mso-position-horizontal-relative:margin" wp14:anchorId="25E85156">
                <v:fill o:detectmouseclick="t" on="false"/>
                <v:stroke color="#3465a4" weight="6480" joinstyle="round" endcap="flat"/>
                <v:textbox>
                  <w:txbxContent>
                    <w:p>
                      <w:pPr>
                        <w:pStyle w:val="Zawartoramki"/>
                        <w:spacing w:lineRule="auto" w:line="312"/>
                        <w:jc w:val="center"/>
                        <w:rPr>
                          <w:color w:val="FF0000"/>
                          <w:sz w:val="40"/>
                          <w:szCs w:val="40"/>
                        </w:rPr>
                      </w:pPr>
                      <w:bookmarkStart w:id="8" w:name="OLE_LINK7"/>
                      <w:bookmarkStart w:id="9" w:name="OLE_LINK4"/>
                      <w:bookmarkEnd w:id="8"/>
                      <w:bookmarkEnd w:id="9"/>
                      <w:sdt>
                        <w:sdtPr>
                          <w:placeholder>
                            <w:docPart w:val="A5D2C0FF5CFB49F094EAF54D35B39D29"/>
                          </w:placeholder>
                          <w:alias w:val="nazwa"/>
                          <w:id w:val="1504374608"/>
                        </w:sdtPr>
                        <w:sdtContent>
                          <w:r>
                            <w:rPr>
                              <w:color w:val="FF0000"/>
                              <w:sz w:val="40"/>
                              <w:szCs w:val="40"/>
                            </w:rPr>
                          </w:r>
                          <w:r>
                            <w:rPr>
                              <w:color w:val="FF0000"/>
                              <w:sz w:val="40"/>
                              <w:szCs w:val="40"/>
                            </w:rPr>
                            <w:t xml:space="preserve">Dostawa żywienia zbiorowego  </w:t>
                          </w:r>
                        </w:sdtContent>
                      </w:sdt>
                    </w:p>
                    <w:p>
                      <w:pPr>
                        <w:pStyle w:val="Zawartoramki"/>
                        <w:spacing w:lineRule="auto" w:line="312"/>
                        <w:jc w:val="center"/>
                        <w:rPr>
                          <w:rStyle w:val="Calibri20ty"/>
                          <w:color w:val="004289"/>
                        </w:rPr>
                      </w:pPr>
                      <w:r>
                        <w:rPr>
                          <w:color w:val="004289"/>
                        </w:rPr>
                      </w:r>
                      <w:bookmarkStart w:id="10" w:name="OLE_LINK71"/>
                      <w:bookmarkStart w:id="11" w:name="OLE_LINK41"/>
                      <w:bookmarkStart w:id="12" w:name="OLE_LINK71"/>
                      <w:bookmarkStart w:id="13" w:name="OLE_LINK41"/>
                      <w:bookmarkEnd w:id="12"/>
                      <w:bookmarkEnd w:id="13"/>
                    </w:p>
                    <w:p>
                      <w:pPr>
                        <w:pStyle w:val="Zawartoramki"/>
                        <w:spacing w:lineRule="auto" w:line="312" w:before="0" w:after="160"/>
                        <w:jc w:val="center"/>
                        <w:rPr>
                          <w:color w:val="808080"/>
                        </w:rPr>
                      </w:pPr>
                      <w:bookmarkStart w:id="14" w:name="OLE_LINK8"/>
                      <w:bookmarkStart w:id="15" w:name="OLE_LINK5"/>
                      <w:r>
                        <w:rPr>
                          <w:rStyle w:val="Calibri16"/>
                          <w:color w:val="000000"/>
                        </w:rPr>
                        <w:t>Specyfikacja Warunków Zamówienia (SWZ)</w:t>
                      </w:r>
                      <w:bookmarkEnd w:id="14"/>
                      <w:bookmarkEnd w:id="15"/>
                    </w:p>
                  </w:txbxContent>
                </v:textbox>
                <w10:wrap type="square"/>
              </v:rect>
            </w:pict>
          </mc:Fallback>
        </mc:AlternateContent>
      </w:r>
      <w:r>
        <w:rPr>
          <w:rFonts w:cs="Calibri"/>
          <w:sz w:val="24"/>
          <w:szCs w:val="24"/>
        </w:rPr>
        <w:t xml:space="preserve"> </w:t>
      </w:r>
    </w:p>
    <w:p>
      <w:pPr>
        <w:pStyle w:val="Normal"/>
        <w:spacing w:lineRule="auto" w:line="312" w:before="0" w:after="0"/>
        <w:ind w:hanging="425" w:left="425"/>
        <w:rPr>
          <w:rFonts w:ascii="Calibri" w:hAnsi="Calibri" w:cs="Calibri"/>
          <w:sz w:val="24"/>
          <w:szCs w:val="24"/>
        </w:rPr>
      </w:pPr>
      <w:r>
        <w:rPr>
          <w:rFonts w:cs="Calibri"/>
          <w:sz w:val="24"/>
          <w:szCs w:val="24"/>
        </w:rPr>
        <mc:AlternateContent>
          <mc:Choice Requires="wps">
            <w:drawing>
              <wp:anchor behindDoc="0" distT="0" distB="97790" distL="114300" distR="114300" simplePos="0" locked="0" layoutInCell="0" allowOverlap="1" relativeHeight="2" wp14:anchorId="780BC312">
                <wp:simplePos x="0" y="0"/>
                <wp:positionH relativeFrom="margin">
                  <wp:posOffset>-635</wp:posOffset>
                </wp:positionH>
                <wp:positionV relativeFrom="paragraph">
                  <wp:posOffset>2592070</wp:posOffset>
                </wp:positionV>
                <wp:extent cx="5684520" cy="2164080"/>
                <wp:effectExtent l="0" t="0" r="0" b="7620"/>
                <wp:wrapSquare wrapText="bothSides"/>
                <wp:docPr id="2" name="Pole tekstowe 113"/>
                <a:graphic xmlns:a="http://schemas.openxmlformats.org/drawingml/2006/main">
                  <a:graphicData uri="http://schemas.microsoft.com/office/word/2010/wordprocessingShape">
                    <wps:wsp>
                      <wps:cNvSpPr/>
                      <wps:spPr>
                        <a:xfrm>
                          <a:off x="0" y="0"/>
                          <a:ext cx="5684400" cy="2163960"/>
                        </a:xfrm>
                        <a:prstGeom prst="rect">
                          <a:avLst/>
                        </a:prstGeom>
                        <a:noFill/>
                        <a:ln w="6350">
                          <a:noFill/>
                        </a:ln>
                      </wps:spPr>
                      <wps:style>
                        <a:lnRef idx="0"/>
                        <a:fillRef idx="0"/>
                        <a:effectRef idx="0"/>
                        <a:fontRef idx="minor"/>
                      </wps:style>
                      <wps:txbx>
                        <w:txbxContent>
                          <w:tbl>
                            <w:tblPr>
                              <w:tblStyle w:val="Tabela-Siatka"/>
                              <w:tblW w:w="866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4376"/>
                              <w:gridCol w:w="4292"/>
                            </w:tblGrid>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w:asciiTheme="minorHAnsi" w:cstheme="minorHAnsi" w:hAnsiTheme="minorHAnsi"/>
                                      <w:b/>
                                      <w:bCs/>
                                      <w:color w:val="FFC000"/>
                                    </w:rPr>
                                  </w:pPr>
                                  <w:r>
                                    <w:rPr>
                                      <w:rFonts w:eastAsia="Calibri" w:cs="Calibri" w:ascii="Calibri" w:hAnsi="Calibri" w:asciiTheme="minorHAnsi" w:cstheme="minorHAnsi" w:hAnsiTheme="minorHAnsi"/>
                                      <w:b/>
                                      <w:bCs/>
                                      <w:color w:val="004289"/>
                                      <w:kern w:val="0"/>
                                      <w:sz w:val="28"/>
                                      <w:szCs w:val="28"/>
                                      <w:lang w:val="pl-PL" w:eastAsia="en-US" w:bidi="ar-SA"/>
                                    </w:rPr>
                                    <w:t>Tryb:</w:t>
                                  </w:r>
                                </w:p>
                              </w:tc>
                              <w:tc>
                                <w:tcPr>
                                  <w:tcW w:w="4292"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Light" w:asciiTheme="minorHAnsi" w:cstheme="majorHAnsi" w:hAnsiTheme="minorHAnsi"/>
                                      <w:b/>
                                      <w:bCs/>
                                      <w:color w:val="FFC000"/>
                                    </w:rPr>
                                  </w:pPr>
                                  <w:r>
                                    <w:rPr>
                                      <w:rFonts w:eastAsia="Calibri" w:cs="Calibri Light" w:ascii="Calibri" w:hAnsi="Calibri" w:asciiTheme="minorHAnsi" w:cstheme="majorHAnsi" w:hAnsiTheme="minorHAnsi"/>
                                      <w:b/>
                                      <w:bCs/>
                                      <w:color w:val="004289"/>
                                      <w:kern w:val="0"/>
                                      <w:sz w:val="28"/>
                                      <w:szCs w:val="28"/>
                                      <w:lang w:val="pl-PL" w:eastAsia="en-US" w:bidi="ar-SA"/>
                                    </w:rPr>
                                    <w:t>Kody CPV:</w:t>
                                  </w:r>
                                </w:p>
                              </w:tc>
                            </w:tr>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color w:val="auto"/>
                                      <w:sz w:val="28"/>
                                      <w:szCs w:val="28"/>
                                    </w:rPr>
                                  </w:pPr>
                                  <w:sdt>
                                    <w:sdtPr>
                                      <w:id w:val="-565647518"/>
                                      <w:dropDownList>
                                        <w:listItem w:displayText="Wybierz element." w:value="Wybierz element."/>
                                        <w:listItem w:displayText="podstawowy bez negocjacji" w:value="podstawowy bez negocjacji"/>
                                        <w:listItem w:displayText="podstawowym z fakultatywnymi negocjacjami" w:value="podstawowym z fakultatywnymi negocjacjami"/>
                                        <w:listItem w:displayText="podstawowym z obligatoryjnymi negocjacjami" w:value="podstawowym z obligatoryjnymi negocjacjami"/>
                                        <w:listItem w:displayText="wolnej ręki" w:value="wolnej ręki"/>
                                      </w:dropDownList>
                                    </w:sdtPr>
                                    <w:sdtContent>
                                      <w:r>
                                        <w:rPr>
                                          <w:rFonts w:eastAsia="Calibri"/>
                                          <w:kern w:val="0"/>
                                          <w:lang w:val="pl-PL" w:eastAsia="en-US" w:bidi="ar-SA"/>
                                        </w:rPr>
                                      </w:r>
                                      <w:r>
                                        <w:rPr>
                                          <w:rFonts w:eastAsia="Calibri"/>
                                          <w:kern w:val="0"/>
                                          <w:lang w:val="pl-PL" w:eastAsia="en-US" w:bidi="ar-SA"/>
                                        </w:rPr>
                                        <w:t>podstawowy bez negocjacji</w:t>
                                      </w:r>
                                    </w:sdtContent>
                                  </w:sdt>
                                </w:p>
                              </w:tc>
                              <w:tc>
                                <w:tcPr>
                                  <w:tcW w:w="4292" w:type="dxa"/>
                                  <w:vMerge w:val="restart"/>
                                  <w:tcBorders>
                                    <w:top w:val="nil"/>
                                    <w:left w:val="nil"/>
                                    <w:bottom w:val="nil"/>
                                    <w:right w:val="nil"/>
                                  </w:tcBorders>
                                </w:tcPr>
                                <w:p>
                                  <w:pPr>
                                    <w:pStyle w:val="Podstawowyakapit"/>
                                    <w:widowControl w:val="false"/>
                                    <w:suppressAutoHyphens w:val="true"/>
                                    <w:spacing w:before="0" w:after="120"/>
                                    <w:ind w:right="-333"/>
                                    <w:jc w:val="left"/>
                                    <w:rPr>
                                      <w:rStyle w:val="Calibri12"/>
                                    </w:rPr>
                                  </w:pPr>
                                  <w:r>
                                    <w:rPr>
                                      <w:rStyle w:val="Calibri12"/>
                                      <w:rFonts w:eastAsia="Calibri"/>
                                      <w:kern w:val="0"/>
                                      <w:lang w:val="pl-PL" w:eastAsia="en-US" w:bidi="ar-SA"/>
                                    </w:rPr>
                                    <w:t>15800000-6</w:t>
                                  </w:r>
                                </w:p>
                              </w:tc>
                            </w:tr>
                            <w:tr>
                              <w:trPr>
                                <w:trHeight w:val="492" w:hRule="atLeast"/>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w:asciiTheme="minorHAnsi" w:cstheme="minorHAnsi" w:hAnsiTheme="minorHAnsi"/>
                                      <w:b/>
                                      <w:bCs/>
                                      <w:color w:val="FFC000"/>
                                    </w:rPr>
                                  </w:pPr>
                                  <w:r>
                                    <w:rPr>
                                      <w:rFonts w:eastAsia="Calibri" w:cs="Calibri" w:ascii="Calibri" w:hAnsi="Calibri" w:asciiTheme="minorHAnsi" w:cstheme="minorHAnsi" w:hAnsiTheme="minorHAnsi"/>
                                      <w:b/>
                                      <w:bCs/>
                                      <w:color w:val="004289"/>
                                      <w:kern w:val="0"/>
                                      <w:sz w:val="28"/>
                                      <w:szCs w:val="28"/>
                                      <w:lang w:val="pl-PL" w:eastAsia="en-US" w:bidi="ar-SA"/>
                                    </w:rPr>
                                    <w:t>Znak sprawy:</w:t>
                                  </w:r>
                                </w:p>
                              </w:tc>
                              <w:tc>
                                <w:tcPr>
                                  <w:tcW w:w="4292" w:type="dxa"/>
                                  <w:vMerge w:val="continue"/>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b/>
                                      <w:bCs/>
                                      <w:color w:val="FFC000"/>
                                    </w:rPr>
                                  </w:pPr>
                                  <w:r>
                                    <w:rPr>
                                      <w:rFonts w:cs="Calibri Light" w:cstheme="majorHAnsi" w:ascii="Calibri Light" w:hAnsi="Calibri Light"/>
                                      <w:b/>
                                      <w:bCs/>
                                      <w:color w:val="FFC000"/>
                                    </w:rPr>
                                  </w:r>
                                </w:p>
                              </w:tc>
                            </w:tr>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rPr>
                                  </w:pPr>
                                  <w:r>
                                    <w:rPr>
                                      <w:rFonts w:eastAsia="Calibri" w:ascii="Calibri" w:hAnsi="Calibri"/>
                                      <w:kern w:val="0"/>
                                      <w:lang w:val="pl-PL" w:eastAsia="en-US" w:bidi="ar-SA"/>
                                    </w:rPr>
                                    <w:t>KW/6/ZP/2026</w:t>
                                  </w:r>
                                </w:p>
                              </w:tc>
                              <w:tc>
                                <w:tcPr>
                                  <w:tcW w:w="4292" w:type="dxa"/>
                                  <w:vMerge w:val="continue"/>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sz w:val="28"/>
                                      <w:szCs w:val="28"/>
                                    </w:rPr>
                                  </w:pPr>
                                  <w:r>
                                    <w:rPr>
                                      <w:rFonts w:cs="Calibri Light" w:cstheme="majorHAnsi" w:ascii="Calibri Light" w:hAnsi="Calibri Light"/>
                                      <w:sz w:val="28"/>
                                      <w:szCs w:val="28"/>
                                    </w:rPr>
                                  </w:r>
                                </w:p>
                              </w:tc>
                            </w:tr>
                          </w:tbl>
                          <w:p>
                            <w:pPr>
                              <w:pStyle w:val="Podstawowyakapit"/>
                              <w:spacing w:before="0" w:after="120"/>
                              <w:rPr>
                                <w:rFonts w:ascii="Calibri" w:hAnsi="Calibri" w:cs="Calibri" w:asciiTheme="minorHAnsi" w:cstheme="minorHAnsi" w:hAnsiTheme="minorHAnsi"/>
                              </w:rPr>
                            </w:pPr>
                            <w:r>
                              <w:rPr>
                                <w:color w:val="000000"/>
                              </w:rPr>
                            </w:r>
                          </w:p>
                        </w:txbxContent>
                      </wps:txbx>
                      <wps:bodyPr anchor="t">
                        <a:prstTxWarp prst="textNoShape"/>
                        <a:noAutofit/>
                      </wps:bodyPr>
                    </wps:wsp>
                  </a:graphicData>
                </a:graphic>
              </wp:anchor>
            </w:drawing>
          </mc:Choice>
          <mc:Fallback>
            <w:pict>
              <v:rect id="shape_0" ID="Pole tekstowe 113" path="m0,0l-2147483645,0l-2147483645,-2147483646l0,-2147483646xe" stroked="f" o:allowincell="f" style="position:absolute;margin-left:-0.05pt;margin-top:204.1pt;width:447.55pt;height:170.35pt;mso-wrap-style:none;v-text-anchor:middle;mso-position-horizontal-relative:margin" wp14:anchorId="780BC312">
                <v:fill o:detectmouseclick="t" on="false"/>
                <v:stroke color="#3465a4" weight="6480" joinstyle="round" endcap="flat"/>
                <v:textbox>
                  <w:txbxContent>
                    <w:tbl>
                      <w:tblPr>
                        <w:tblStyle w:val="Tabela-Siatka"/>
                        <w:tblW w:w="866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4376"/>
                        <w:gridCol w:w="4292"/>
                      </w:tblGrid>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w:asciiTheme="minorHAnsi" w:cstheme="minorHAnsi" w:hAnsiTheme="minorHAnsi"/>
                                <w:b/>
                                <w:bCs/>
                                <w:color w:val="FFC000"/>
                              </w:rPr>
                            </w:pPr>
                            <w:r>
                              <w:rPr>
                                <w:rFonts w:eastAsia="Calibri" w:cs="Calibri" w:ascii="Calibri" w:hAnsi="Calibri" w:asciiTheme="minorHAnsi" w:cstheme="minorHAnsi" w:hAnsiTheme="minorHAnsi"/>
                                <w:b/>
                                <w:bCs/>
                                <w:color w:val="004289"/>
                                <w:kern w:val="0"/>
                                <w:sz w:val="28"/>
                                <w:szCs w:val="28"/>
                                <w:lang w:val="pl-PL" w:eastAsia="en-US" w:bidi="ar-SA"/>
                              </w:rPr>
                              <w:t>Tryb:</w:t>
                            </w:r>
                          </w:p>
                        </w:tc>
                        <w:tc>
                          <w:tcPr>
                            <w:tcW w:w="4292"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Light" w:asciiTheme="minorHAnsi" w:cstheme="majorHAnsi" w:hAnsiTheme="minorHAnsi"/>
                                <w:b/>
                                <w:bCs/>
                                <w:color w:val="FFC000"/>
                              </w:rPr>
                            </w:pPr>
                            <w:r>
                              <w:rPr>
                                <w:rFonts w:eastAsia="Calibri" w:cs="Calibri Light" w:ascii="Calibri" w:hAnsi="Calibri" w:asciiTheme="minorHAnsi" w:cstheme="majorHAnsi" w:hAnsiTheme="minorHAnsi"/>
                                <w:b/>
                                <w:bCs/>
                                <w:color w:val="004289"/>
                                <w:kern w:val="0"/>
                                <w:sz w:val="28"/>
                                <w:szCs w:val="28"/>
                                <w:lang w:val="pl-PL" w:eastAsia="en-US" w:bidi="ar-SA"/>
                              </w:rPr>
                              <w:t>Kody CPV:</w:t>
                            </w:r>
                          </w:p>
                        </w:tc>
                      </w:tr>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color w:val="auto"/>
                                <w:sz w:val="28"/>
                                <w:szCs w:val="28"/>
                              </w:rPr>
                            </w:pPr>
                            <w:sdt>
                              <w:sdtPr>
                                <w:id w:val="-565647518"/>
                                <w:dropDownList>
                                  <w:listItem w:displayText="Wybierz element." w:value="Wybierz element."/>
                                  <w:listItem w:displayText="podstawowy bez negocjacji" w:value="podstawowy bez negocjacji"/>
                                  <w:listItem w:displayText="podstawowym z fakultatywnymi negocjacjami" w:value="podstawowym z fakultatywnymi negocjacjami"/>
                                  <w:listItem w:displayText="podstawowym z obligatoryjnymi negocjacjami" w:value="podstawowym z obligatoryjnymi negocjacjami"/>
                                  <w:listItem w:displayText="wolnej ręki" w:value="wolnej ręki"/>
                                </w:dropDownList>
                              </w:sdtPr>
                              <w:sdtContent>
                                <w:r>
                                  <w:rPr>
                                    <w:rFonts w:eastAsia="Calibri"/>
                                    <w:kern w:val="0"/>
                                    <w:lang w:val="pl-PL" w:eastAsia="en-US" w:bidi="ar-SA"/>
                                  </w:rPr>
                                </w:r>
                                <w:r>
                                  <w:rPr>
                                    <w:rFonts w:eastAsia="Calibri"/>
                                    <w:kern w:val="0"/>
                                    <w:lang w:val="pl-PL" w:eastAsia="en-US" w:bidi="ar-SA"/>
                                  </w:rPr>
                                  <w:t>podstawowy bez negocjacji</w:t>
                                </w:r>
                              </w:sdtContent>
                            </w:sdt>
                          </w:p>
                        </w:tc>
                        <w:tc>
                          <w:tcPr>
                            <w:tcW w:w="4292" w:type="dxa"/>
                            <w:vMerge w:val="restart"/>
                            <w:tcBorders>
                              <w:top w:val="nil"/>
                              <w:left w:val="nil"/>
                              <w:bottom w:val="nil"/>
                              <w:right w:val="nil"/>
                            </w:tcBorders>
                          </w:tcPr>
                          <w:p>
                            <w:pPr>
                              <w:pStyle w:val="Podstawowyakapit"/>
                              <w:widowControl w:val="false"/>
                              <w:suppressAutoHyphens w:val="true"/>
                              <w:spacing w:before="0" w:after="120"/>
                              <w:ind w:right="-333"/>
                              <w:jc w:val="left"/>
                              <w:rPr>
                                <w:rStyle w:val="Calibri12"/>
                              </w:rPr>
                            </w:pPr>
                            <w:r>
                              <w:rPr>
                                <w:rStyle w:val="Calibri12"/>
                                <w:rFonts w:eastAsia="Calibri"/>
                                <w:kern w:val="0"/>
                                <w:lang w:val="pl-PL" w:eastAsia="en-US" w:bidi="ar-SA"/>
                              </w:rPr>
                              <w:t>15800000-6</w:t>
                            </w:r>
                          </w:p>
                        </w:tc>
                      </w:tr>
                      <w:tr>
                        <w:trPr>
                          <w:trHeight w:val="492" w:hRule="atLeast"/>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cs="Calibri" w:asciiTheme="minorHAnsi" w:cstheme="minorHAnsi" w:hAnsiTheme="minorHAnsi"/>
                                <w:b/>
                                <w:bCs/>
                                <w:color w:val="FFC000"/>
                              </w:rPr>
                            </w:pPr>
                            <w:r>
                              <w:rPr>
                                <w:rFonts w:eastAsia="Calibri" w:cs="Calibri" w:ascii="Calibri" w:hAnsi="Calibri" w:asciiTheme="minorHAnsi" w:cstheme="minorHAnsi" w:hAnsiTheme="minorHAnsi"/>
                                <w:b/>
                                <w:bCs/>
                                <w:color w:val="004289"/>
                                <w:kern w:val="0"/>
                                <w:sz w:val="28"/>
                                <w:szCs w:val="28"/>
                                <w:lang w:val="pl-PL" w:eastAsia="en-US" w:bidi="ar-SA"/>
                              </w:rPr>
                              <w:t>Znak sprawy:</w:t>
                            </w:r>
                          </w:p>
                        </w:tc>
                        <w:tc>
                          <w:tcPr>
                            <w:tcW w:w="4292" w:type="dxa"/>
                            <w:vMerge w:val="continue"/>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b/>
                                <w:bCs/>
                                <w:color w:val="FFC000"/>
                              </w:rPr>
                            </w:pPr>
                            <w:r>
                              <w:rPr>
                                <w:rFonts w:cs="Calibri Light" w:cstheme="majorHAnsi" w:ascii="Calibri Light" w:hAnsi="Calibri Light"/>
                                <w:b/>
                                <w:bCs/>
                                <w:color w:val="FFC000"/>
                              </w:rPr>
                            </w:r>
                          </w:p>
                        </w:tc>
                      </w:tr>
                      <w:tr>
                        <w:trPr/>
                        <w:tc>
                          <w:tcPr>
                            <w:tcW w:w="4376" w:type="dxa"/>
                            <w:tcBorders>
                              <w:top w:val="nil"/>
                              <w:left w:val="nil"/>
                              <w:bottom w:val="nil"/>
                              <w:right w:val="nil"/>
                            </w:tcBorders>
                          </w:tcPr>
                          <w:p>
                            <w:pPr>
                              <w:pStyle w:val="Podstawowyakapit"/>
                              <w:widowControl w:val="false"/>
                              <w:suppressAutoHyphens w:val="true"/>
                              <w:spacing w:before="0" w:after="120"/>
                              <w:jc w:val="left"/>
                              <w:rPr>
                                <w:rFonts w:ascii="Calibri" w:hAnsi="Calibri"/>
                              </w:rPr>
                            </w:pPr>
                            <w:r>
                              <w:rPr>
                                <w:rFonts w:eastAsia="Calibri" w:ascii="Calibri" w:hAnsi="Calibri"/>
                                <w:kern w:val="0"/>
                                <w:lang w:val="pl-PL" w:eastAsia="en-US" w:bidi="ar-SA"/>
                              </w:rPr>
                              <w:t>KW/6/ZP/2026</w:t>
                            </w:r>
                          </w:p>
                        </w:tc>
                        <w:tc>
                          <w:tcPr>
                            <w:tcW w:w="4292" w:type="dxa"/>
                            <w:vMerge w:val="continue"/>
                            <w:tcBorders>
                              <w:top w:val="nil"/>
                              <w:left w:val="nil"/>
                              <w:bottom w:val="nil"/>
                              <w:right w:val="nil"/>
                            </w:tcBorders>
                          </w:tcPr>
                          <w:p>
                            <w:pPr>
                              <w:pStyle w:val="Podstawowyakapit"/>
                              <w:widowControl w:val="false"/>
                              <w:suppressAutoHyphens w:val="true"/>
                              <w:spacing w:before="0" w:after="120"/>
                              <w:jc w:val="left"/>
                              <w:rPr>
                                <w:rFonts w:ascii="Calibri Light" w:hAnsi="Calibri Light" w:cs="Calibri Light" w:asciiTheme="majorHAnsi" w:cstheme="majorHAnsi" w:hAnsiTheme="majorHAnsi"/>
                                <w:sz w:val="28"/>
                                <w:szCs w:val="28"/>
                              </w:rPr>
                            </w:pPr>
                            <w:r>
                              <w:rPr>
                                <w:rFonts w:cs="Calibri Light" w:cstheme="majorHAnsi" w:ascii="Calibri Light" w:hAnsi="Calibri Light"/>
                                <w:sz w:val="28"/>
                                <w:szCs w:val="28"/>
                              </w:rPr>
                            </w:r>
                          </w:p>
                        </w:tc>
                      </w:tr>
                    </w:tbl>
                    <w:p>
                      <w:pPr>
                        <w:pStyle w:val="Podstawowyakapit"/>
                        <w:spacing w:before="0" w:after="120"/>
                        <w:rPr>
                          <w:rFonts w:ascii="Calibri" w:hAnsi="Calibri" w:cs="Calibri" w:asciiTheme="minorHAnsi" w:cstheme="minorHAnsi" w:hAnsiTheme="minorHAnsi"/>
                        </w:rPr>
                      </w:pPr>
                      <w:r>
                        <w:rPr>
                          <w:color w:val="000000"/>
                        </w:rPr>
                      </w:r>
                    </w:p>
                  </w:txbxContent>
                </v:textbox>
                <w10:wrap type="square"/>
              </v:rect>
            </w:pict>
          </mc:Fallback>
        </mc:AlternateContent>
      </w:r>
    </w:p>
    <w:p>
      <w:pPr>
        <w:pStyle w:val="Normal"/>
        <w:spacing w:lineRule="auto" w:line="312" w:before="0" w:after="0"/>
        <w:ind w:hanging="425" w:left="425"/>
        <w:rPr>
          <w:rFonts w:ascii="Calibri" w:hAnsi="Calibri" w:cs="Calibri"/>
          <w:sz w:val="24"/>
          <w:szCs w:val="24"/>
        </w:rPr>
      </w:pPr>
      <w:r>
        <w:rPr>
          <w:rFonts w:cs="Calibri"/>
          <w:sz w:val="24"/>
          <w:szCs w:val="24"/>
        </w:rPr>
      </w:r>
    </w:p>
    <w:p>
      <w:pPr>
        <w:pStyle w:val="Normal"/>
        <w:spacing w:lineRule="auto" w:line="312" w:before="0" w:after="0"/>
        <w:ind w:hanging="425" w:left="425"/>
        <w:rPr>
          <w:rFonts w:ascii="Calibri" w:hAnsi="Calibri" w:cs="Calibri"/>
          <w:sz w:val="24"/>
          <w:szCs w:val="24"/>
        </w:rPr>
      </w:pPr>
      <w:r>
        <w:rPr>
          <w:rFonts w:cs="Calibri"/>
          <w:sz w:val="24"/>
          <w:szCs w:val="24"/>
        </w:rPr>
      </w:r>
    </w:p>
    <w:p>
      <w:pPr>
        <w:pStyle w:val="Normal"/>
        <w:spacing w:lineRule="auto" w:line="312" w:before="0" w:after="0"/>
        <w:ind w:hanging="425" w:left="425"/>
        <w:rPr>
          <w:rFonts w:ascii="Calibri" w:hAnsi="Calibri" w:cs="Calibri"/>
          <w:sz w:val="24"/>
          <w:szCs w:val="24"/>
        </w:rPr>
      </w:pPr>
      <w:r>
        <w:rPr>
          <w:rFonts w:cs="Calibri"/>
          <w:sz w:val="24"/>
          <w:szCs w:val="24"/>
        </w:rPr>
        <w:t>Zatwierdził:</w:t>
      </w:r>
    </w:p>
    <w:p>
      <w:pPr>
        <w:pStyle w:val="Normal"/>
        <w:spacing w:lineRule="auto" w:line="312" w:before="0" w:after="0"/>
        <w:ind w:hanging="425" w:left="425"/>
        <w:rPr>
          <w:rFonts w:ascii="Calibri" w:hAnsi="Calibri" w:cs="Calibri"/>
          <w:sz w:val="24"/>
          <w:szCs w:val="24"/>
        </w:rPr>
      </w:pPr>
      <w:r>
        <w:rPr>
          <w:rFonts w:cs="Calibri"/>
          <w:sz w:val="24"/>
          <w:szCs w:val="24"/>
        </w:rPr>
        <w:t xml:space="preserve">Michał Bucki </w:t>
      </w:r>
    </w:p>
    <w:p>
      <w:pPr>
        <w:sectPr>
          <w:type w:val="nextPage"/>
          <w:pgSz w:w="11906" w:h="16838"/>
          <w:pgMar w:left="1417" w:right="1417" w:gutter="0" w:header="0" w:top="1417" w:footer="0" w:bottom="1417"/>
          <w:pgNumType w:start="0" w:fmt="decimal"/>
          <w:formProt w:val="false"/>
          <w:textDirection w:val="lrTb"/>
          <w:docGrid w:type="default" w:linePitch="360" w:charSpace="8192"/>
        </w:sectPr>
        <w:pStyle w:val="Normal"/>
        <w:spacing w:lineRule="auto" w:line="312" w:before="0" w:after="0"/>
        <w:ind w:hanging="425" w:left="425"/>
        <w:rPr>
          <w:rFonts w:ascii="Calibri" w:hAnsi="Calibri" w:cs="Calibri"/>
          <w:sz w:val="24"/>
          <w:szCs w:val="24"/>
        </w:rPr>
      </w:pPr>
      <w:r>
        <w:rPr>
          <w:rFonts w:cs="Calibri"/>
          <w:sz w:val="24"/>
          <w:szCs w:val="24"/>
        </w:rPr>
        <w:t>Dyrektor</w:t>
      </w:r>
      <w:r>
        <w:br w:type="page"/>
      </w:r>
    </w:p>
    <w:p>
      <w:pPr>
        <w:pStyle w:val="Normal"/>
        <w:spacing w:lineRule="auto" w:line="312" w:before="0" w:after="0"/>
        <w:ind w:hanging="425" w:left="425"/>
        <w:rPr>
          <w:rFonts w:ascii="Calibri" w:hAnsi="Calibri" w:cs="Calibri"/>
          <w:sz w:val="24"/>
          <w:szCs w:val="24"/>
        </w:rPr>
      </w:pPr>
      <w:r>
        <w:rPr>
          <w:rFonts w:cs="Calibri"/>
          <w:sz w:val="24"/>
          <w:szCs w:val="24"/>
        </w:rPr>
      </w:r>
    </w:p>
    <w:sdt>
      <w:sdtPr>
        <w:docPartObj>
          <w:docPartGallery w:val="Table of Contents"/>
          <w:docPartUnique w:val="true"/>
        </w:docPartObj>
      </w:sdtPr>
      <w:sdtContent>
        <w:p>
          <w:pPr>
            <w:pStyle w:val="TOCHeading"/>
            <w:tabs>
              <w:tab w:val="clear" w:pos="708"/>
              <w:tab w:val="left" w:pos="3450" w:leader="none"/>
            </w:tabs>
            <w:spacing w:lineRule="auto" w:line="312" w:before="0" w:after="0"/>
            <w:ind w:hanging="567"/>
            <w:rPr>
              <w:rFonts w:ascii="Calibri" w:hAnsi="Calibri" w:cs="Calibri"/>
              <w:b/>
              <w:bCs/>
              <w:color w:val="004289"/>
              <w:sz w:val="24"/>
              <w:szCs w:val="24"/>
            </w:rPr>
          </w:pPr>
          <w:r>
            <w:rPr>
              <w:rFonts w:cs="Calibri" w:ascii="Calibri" w:hAnsi="Calibri"/>
              <w:b/>
              <w:bCs/>
              <w:color w:val="004289"/>
              <w:sz w:val="24"/>
              <w:szCs w:val="24"/>
            </w:rPr>
            <w:t xml:space="preserve">             </w:t>
          </w:r>
          <w:r>
            <w:rPr>
              <w:rFonts w:cs="Calibri" w:ascii="Calibri" w:hAnsi="Calibri"/>
              <w:b/>
              <w:bCs/>
              <w:color w:val="004289"/>
              <w:sz w:val="24"/>
              <w:szCs w:val="24"/>
            </w:rPr>
            <w:t>Spis treści</w:t>
            <w:tab/>
          </w:r>
        </w:p>
        <w:p>
          <w:pPr>
            <w:pStyle w:val="TOC1"/>
            <w:rPr>
              <w:rFonts w:eastAsia="" w:eastAsiaTheme="minorEastAsia"/>
              <w:lang w:eastAsia="pl-PL"/>
            </w:rPr>
          </w:pPr>
          <w:r>
            <w:fldChar w:fldCharType="begin"/>
          </w:r>
          <w:r>
            <w:rPr>
              <w:webHidden/>
              <w:rStyle w:val="Czeindeksu"/>
              <w:b/>
              <w:bCs/>
              <w:vanish w:val="false"/>
              <w:rFonts w:cs="Calibri"/>
            </w:rPr>
            <w:instrText xml:space="preserve"> TOC \z \o "1-3" \u \h</w:instrText>
          </w:r>
          <w:r>
            <w:rPr>
              <w:webHidden/>
              <w:rStyle w:val="Czeindeksu"/>
              <w:b/>
              <w:bCs/>
              <w:vanish w:val="false"/>
              <w:rFonts w:cs="Calibri"/>
            </w:rPr>
            <w:fldChar w:fldCharType="separate"/>
          </w:r>
          <w:hyperlink w:anchor="_Toc109123437">
            <w:r>
              <w:rPr>
                <w:webHidden/>
                <w:rStyle w:val="Czeindeksu"/>
                <w:rFonts w:cs="Calibri"/>
                <w:b/>
                <w:bCs/>
                <w:vanish w:val="false"/>
              </w:rPr>
              <w:t>I.</w:t>
            </w:r>
            <w:r>
              <w:rPr>
                <w:rStyle w:val="Czeindeksu"/>
                <w:rFonts w:eastAsia="" w:eastAsiaTheme="minorEastAsia"/>
                <w:lang w:eastAsia="pl-PL"/>
              </w:rPr>
              <w:tab/>
            </w:r>
            <w:r>
              <w:rPr>
                <w:rStyle w:val="Czeindeksu"/>
                <w:rFonts w:cs="Calibri"/>
                <w:b/>
                <w:bCs/>
              </w:rPr>
              <w:t>Podstawowe informacje o Zamawiającym oraz adres strony internetowej prowadzonego postępowania</w:t>
            </w:r>
            <w:r>
              <w:rPr>
                <w:webHidden/>
              </w:rPr>
              <w:fldChar w:fldCharType="begin"/>
            </w:r>
            <w:r>
              <w:rPr>
                <w:webHidden/>
              </w:rPr>
              <w:instrText xml:space="preserve">PAGEREF _Toc109123437 \h</w:instrText>
            </w:r>
            <w:r>
              <w:rPr>
                <w:webHidden/>
              </w:rPr>
              <w:fldChar w:fldCharType="separate"/>
            </w:r>
            <w:r>
              <w:rPr>
                <w:rStyle w:val="Czeindeksu"/>
              </w:rPr>
              <w:tab/>
              <w:t>2</w:t>
            </w:r>
            <w:r>
              <w:rPr>
                <w:webHidden/>
              </w:rPr>
              <w:fldChar w:fldCharType="end"/>
            </w:r>
          </w:hyperlink>
        </w:p>
        <w:p>
          <w:pPr>
            <w:pStyle w:val="TOC1"/>
            <w:rPr>
              <w:rFonts w:eastAsia="" w:eastAsiaTheme="minorEastAsia"/>
              <w:lang w:eastAsia="pl-PL"/>
            </w:rPr>
          </w:pPr>
          <w:hyperlink w:anchor="_Toc109123438">
            <w:r>
              <w:rPr>
                <w:webHidden/>
                <w:rStyle w:val="Czeindeksu"/>
                <w:rFonts w:cs="Calibri"/>
                <w:b/>
                <w:bCs/>
                <w:vanish w:val="false"/>
              </w:rPr>
              <w:t>II.</w:t>
            </w:r>
            <w:r>
              <w:rPr>
                <w:rStyle w:val="Czeindeksu"/>
                <w:rFonts w:eastAsia="" w:eastAsiaTheme="minorEastAsia"/>
                <w:lang w:eastAsia="pl-PL"/>
              </w:rPr>
              <w:tab/>
            </w:r>
            <w:r>
              <w:rPr>
                <w:rStyle w:val="Czeindeksu"/>
                <w:rFonts w:cs="Calibri"/>
                <w:b/>
                <w:bCs/>
              </w:rPr>
              <w:t>Podstawowe informacje o postępowaniu, w tym tryb udzielenia zamówienia, informacja, czy Zamawiający przewiduje wybór najkorzystniejszej oferty z możliwością prowadzenia negocjacji, definicje</w:t>
            </w:r>
            <w:r>
              <w:rPr>
                <w:webHidden/>
              </w:rPr>
              <w:fldChar w:fldCharType="begin"/>
            </w:r>
            <w:r>
              <w:rPr>
                <w:webHidden/>
              </w:rPr>
              <w:instrText xml:space="preserve">PAGEREF _Toc109123438 \h</w:instrText>
            </w:r>
            <w:r>
              <w:rPr>
                <w:webHidden/>
              </w:rPr>
              <w:fldChar w:fldCharType="separate"/>
            </w:r>
            <w:r>
              <w:rPr>
                <w:rStyle w:val="Czeindeksu"/>
              </w:rPr>
              <w:tab/>
              <w:t>2</w:t>
            </w:r>
            <w:r>
              <w:rPr>
                <w:webHidden/>
              </w:rPr>
              <w:fldChar w:fldCharType="end"/>
            </w:r>
          </w:hyperlink>
        </w:p>
        <w:p>
          <w:pPr>
            <w:pStyle w:val="TOC1"/>
            <w:rPr>
              <w:rFonts w:eastAsia="" w:eastAsiaTheme="minorEastAsia"/>
              <w:lang w:eastAsia="pl-PL"/>
            </w:rPr>
          </w:pPr>
          <w:hyperlink w:anchor="_Toc109123439">
            <w:r>
              <w:rPr>
                <w:webHidden/>
                <w:rStyle w:val="Czeindeksu"/>
                <w:rFonts w:cs="Calibri"/>
                <w:b/>
                <w:bCs/>
                <w:vanish w:val="false"/>
              </w:rPr>
              <w:t>III.</w:t>
            </w:r>
            <w:r>
              <w:rPr>
                <w:rStyle w:val="Czeindeksu"/>
                <w:rFonts w:eastAsia="" w:eastAsiaTheme="minorEastAsia"/>
                <w:lang w:eastAsia="pl-PL"/>
              </w:rPr>
              <w:tab/>
            </w:r>
            <w:r>
              <w:rPr>
                <w:rStyle w:val="Czeindeksu"/>
                <w:rFonts w:cs="Calibri"/>
                <w:b/>
                <w:bCs/>
              </w:rPr>
              <w:t>Opis przedmiotu zamówienia</w:t>
            </w:r>
            <w:r>
              <w:rPr>
                <w:webHidden/>
              </w:rPr>
              <w:fldChar w:fldCharType="begin"/>
            </w:r>
            <w:r>
              <w:rPr>
                <w:webHidden/>
              </w:rPr>
              <w:instrText xml:space="preserve">PAGEREF _Toc109123439 \h</w:instrText>
            </w:r>
            <w:r>
              <w:rPr>
                <w:webHidden/>
              </w:rPr>
              <w:fldChar w:fldCharType="separate"/>
            </w:r>
            <w:r>
              <w:rPr>
                <w:rStyle w:val="Czeindeksu"/>
              </w:rPr>
              <w:tab/>
              <w:t>4</w:t>
            </w:r>
            <w:r>
              <w:rPr>
                <w:webHidden/>
              </w:rPr>
              <w:fldChar w:fldCharType="end"/>
            </w:r>
          </w:hyperlink>
        </w:p>
        <w:p>
          <w:pPr>
            <w:pStyle w:val="TOC1"/>
            <w:rPr>
              <w:rFonts w:eastAsia="" w:eastAsiaTheme="minorEastAsia"/>
              <w:lang w:eastAsia="pl-PL"/>
            </w:rPr>
          </w:pPr>
          <w:hyperlink w:anchor="_Toc109123440">
            <w:r>
              <w:rPr>
                <w:webHidden/>
                <w:rStyle w:val="Czeindeksu"/>
                <w:rFonts w:cs="Calibri"/>
                <w:b/>
                <w:bCs/>
                <w:vanish w:val="false"/>
              </w:rPr>
              <w:t>IV.</w:t>
            </w:r>
            <w:r>
              <w:rPr>
                <w:rStyle w:val="Czeindeksu"/>
                <w:rFonts w:eastAsia="" w:eastAsiaTheme="minorEastAsia"/>
                <w:lang w:eastAsia="pl-PL"/>
              </w:rPr>
              <w:tab/>
            </w:r>
            <w:r>
              <w:rPr>
                <w:rStyle w:val="Czeindeksu"/>
                <w:rFonts w:cs="Calibri"/>
                <w:b/>
                <w:bCs/>
              </w:rPr>
              <w:t>Termin wykonania zamówienia</w:t>
            </w:r>
            <w:r>
              <w:rPr>
                <w:webHidden/>
              </w:rPr>
              <w:fldChar w:fldCharType="begin"/>
            </w:r>
            <w:r>
              <w:rPr>
                <w:webHidden/>
              </w:rPr>
              <w:instrText xml:space="preserve">PAGEREF _Toc109123440 \h</w:instrText>
            </w:r>
            <w:r>
              <w:rPr>
                <w:webHidden/>
              </w:rPr>
              <w:fldChar w:fldCharType="separate"/>
            </w:r>
            <w:r>
              <w:rPr>
                <w:rStyle w:val="Czeindeksu"/>
              </w:rPr>
              <w:tab/>
              <w:t>4</w:t>
            </w:r>
            <w:r>
              <w:rPr>
                <w:webHidden/>
              </w:rPr>
              <w:fldChar w:fldCharType="end"/>
            </w:r>
          </w:hyperlink>
        </w:p>
        <w:p>
          <w:pPr>
            <w:pStyle w:val="TOC1"/>
            <w:rPr>
              <w:rFonts w:eastAsia="" w:eastAsiaTheme="minorEastAsia"/>
              <w:lang w:eastAsia="pl-PL"/>
            </w:rPr>
          </w:pPr>
          <w:hyperlink w:anchor="_Toc109123441">
            <w:r>
              <w:rPr>
                <w:webHidden/>
                <w:rStyle w:val="Czeindeksu"/>
                <w:rFonts w:cs="Calibri"/>
                <w:b/>
                <w:bCs/>
                <w:vanish w:val="false"/>
              </w:rPr>
              <w:t>V.</w:t>
            </w:r>
            <w:r>
              <w:rPr>
                <w:rStyle w:val="Czeindeksu"/>
                <w:rFonts w:eastAsia="" w:eastAsiaTheme="minorEastAsia"/>
                <w:lang w:eastAsia="pl-PL"/>
              </w:rPr>
              <w:tab/>
            </w:r>
            <w:r>
              <w:rPr>
                <w:rStyle w:val="Czeindeksu"/>
                <w:rFonts w:cs="Calibri"/>
                <w:b/>
                <w:bCs/>
              </w:rPr>
              <w:t>Projektowane postanowienia umowy w sprawie zamówienia publicznego, które zostaną wprowadzone do treści tej umowy</w:t>
            </w:r>
            <w:r>
              <w:rPr>
                <w:webHidden/>
              </w:rPr>
              <w:fldChar w:fldCharType="begin"/>
            </w:r>
            <w:r>
              <w:rPr>
                <w:webHidden/>
              </w:rPr>
              <w:instrText xml:space="preserve">PAGEREF _Toc109123441 \h</w:instrText>
            </w:r>
            <w:r>
              <w:rPr>
                <w:webHidden/>
              </w:rPr>
              <w:fldChar w:fldCharType="separate"/>
            </w:r>
            <w:r>
              <w:rPr>
                <w:rStyle w:val="Czeindeksu"/>
              </w:rPr>
              <w:tab/>
              <w:t>4</w:t>
            </w:r>
            <w:r>
              <w:rPr>
                <w:webHidden/>
              </w:rPr>
              <w:fldChar w:fldCharType="end"/>
            </w:r>
          </w:hyperlink>
        </w:p>
        <w:p>
          <w:pPr>
            <w:pStyle w:val="TOC1"/>
            <w:rPr>
              <w:rFonts w:eastAsia="" w:eastAsiaTheme="minorEastAsia"/>
              <w:lang w:eastAsia="pl-PL"/>
            </w:rPr>
          </w:pPr>
          <w:hyperlink w:anchor="_Toc109123442">
            <w:r>
              <w:rPr>
                <w:webHidden/>
                <w:rStyle w:val="Czeindeksu"/>
                <w:rFonts w:cs="Calibri"/>
                <w:b/>
                <w:bCs/>
                <w:vanish w:val="false"/>
              </w:rPr>
              <w:t>VI.</w:t>
            </w:r>
            <w:r>
              <w:rPr>
                <w:rStyle w:val="Czeindeksu"/>
                <w:rFonts w:eastAsia="" w:eastAsiaTheme="minorEastAsia"/>
                <w:lang w:eastAsia="pl-PL"/>
              </w:rPr>
              <w:tab/>
            </w:r>
            <w:r>
              <w:rPr>
                <w:rStyle w:val="Czeindeksu"/>
                <w:rFonts w:cs="Calibri"/>
                <w:b/>
                <w:bCs/>
              </w:rPr>
              <w:t>Informacje o środkach komunikacji elektronicznej, przy użyciu których Zamawiający będzie komunikował się z Wykonawcami</w:t>
            </w:r>
            <w:r>
              <w:rPr>
                <w:webHidden/>
              </w:rPr>
              <w:fldChar w:fldCharType="begin"/>
            </w:r>
            <w:r>
              <w:rPr>
                <w:webHidden/>
              </w:rPr>
              <w:instrText xml:space="preserve">PAGEREF _Toc109123442 \h</w:instrText>
            </w:r>
            <w:r>
              <w:rPr>
                <w:webHidden/>
              </w:rPr>
              <w:fldChar w:fldCharType="separate"/>
            </w:r>
            <w:r>
              <w:rPr>
                <w:rStyle w:val="Czeindeksu"/>
              </w:rPr>
              <w:tab/>
              <w:t>5</w:t>
            </w:r>
            <w:r>
              <w:rPr>
                <w:webHidden/>
              </w:rPr>
              <w:fldChar w:fldCharType="end"/>
            </w:r>
          </w:hyperlink>
        </w:p>
        <w:p>
          <w:pPr>
            <w:pStyle w:val="TOC1"/>
            <w:rPr>
              <w:rFonts w:eastAsia="" w:eastAsiaTheme="minorEastAsia"/>
              <w:lang w:eastAsia="pl-PL"/>
            </w:rPr>
          </w:pPr>
          <w:hyperlink w:anchor="_Toc109123443">
            <w:r>
              <w:rPr>
                <w:webHidden/>
                <w:rStyle w:val="Czeindeksu"/>
                <w:rFonts w:cs="Calibri"/>
                <w:b/>
                <w:bCs/>
                <w:vanish w:val="false"/>
              </w:rPr>
              <w:t>VII.</w:t>
            </w:r>
            <w:r>
              <w:rPr>
                <w:rStyle w:val="Czeindeksu"/>
                <w:rFonts w:eastAsia="" w:eastAsiaTheme="minorEastAsia"/>
                <w:lang w:eastAsia="pl-PL"/>
              </w:rPr>
              <w:tab/>
            </w:r>
            <w:r>
              <w:rPr>
                <w:rStyle w:val="Czeindeksu"/>
                <w:rFonts w:cs="Calibri"/>
                <w:b/>
                <w:bCs/>
              </w:rPr>
              <w:t>Osoby uprawnione do kontaktowania się z Wykonawcami</w:t>
            </w:r>
            <w:r>
              <w:rPr>
                <w:webHidden/>
              </w:rPr>
              <w:fldChar w:fldCharType="begin"/>
            </w:r>
            <w:r>
              <w:rPr>
                <w:webHidden/>
              </w:rPr>
              <w:instrText xml:space="preserve">PAGEREF _Toc109123443 \h</w:instrText>
            </w:r>
            <w:r>
              <w:rPr>
                <w:webHidden/>
              </w:rPr>
              <w:fldChar w:fldCharType="separate"/>
            </w:r>
            <w:r>
              <w:rPr>
                <w:rStyle w:val="Czeindeksu"/>
              </w:rPr>
              <w:tab/>
              <w:t>6</w:t>
            </w:r>
            <w:r>
              <w:rPr>
                <w:webHidden/>
              </w:rPr>
              <w:fldChar w:fldCharType="end"/>
            </w:r>
          </w:hyperlink>
        </w:p>
        <w:p>
          <w:pPr>
            <w:pStyle w:val="TOC1"/>
            <w:rPr>
              <w:rFonts w:eastAsia="" w:eastAsiaTheme="minorEastAsia"/>
              <w:lang w:eastAsia="pl-PL"/>
            </w:rPr>
          </w:pPr>
          <w:hyperlink w:anchor="_Toc109123444">
            <w:r>
              <w:rPr>
                <w:webHidden/>
                <w:rStyle w:val="Czeindeksu"/>
                <w:rFonts w:cs="Calibri"/>
                <w:b/>
                <w:bCs/>
                <w:vanish w:val="false"/>
              </w:rPr>
              <w:t>VIII.</w:t>
            </w:r>
            <w:r>
              <w:rPr>
                <w:rStyle w:val="Czeindeksu"/>
                <w:rFonts w:eastAsia="" w:eastAsiaTheme="minorEastAsia"/>
                <w:lang w:eastAsia="pl-PL"/>
              </w:rPr>
              <w:tab/>
            </w:r>
            <w:r>
              <w:rPr>
                <w:rStyle w:val="Czeindeksu"/>
                <w:rFonts w:cs="Calibri"/>
                <w:b/>
                <w:bCs/>
              </w:rPr>
              <w:t>Termin związania ofertą</w:t>
            </w:r>
            <w:r>
              <w:rPr>
                <w:webHidden/>
              </w:rPr>
              <w:fldChar w:fldCharType="begin"/>
            </w:r>
            <w:r>
              <w:rPr>
                <w:webHidden/>
              </w:rPr>
              <w:instrText xml:space="preserve">PAGEREF _Toc109123444 \h</w:instrText>
            </w:r>
            <w:r>
              <w:rPr>
                <w:webHidden/>
              </w:rPr>
              <w:fldChar w:fldCharType="separate"/>
            </w:r>
            <w:r>
              <w:rPr>
                <w:rStyle w:val="Czeindeksu"/>
              </w:rPr>
              <w:tab/>
              <w:t>7</w:t>
            </w:r>
            <w:r>
              <w:rPr>
                <w:webHidden/>
              </w:rPr>
              <w:fldChar w:fldCharType="end"/>
            </w:r>
          </w:hyperlink>
        </w:p>
        <w:p>
          <w:pPr>
            <w:pStyle w:val="TOC1"/>
            <w:rPr>
              <w:rFonts w:eastAsia="" w:eastAsiaTheme="minorEastAsia"/>
              <w:lang w:eastAsia="pl-PL"/>
            </w:rPr>
          </w:pPr>
          <w:hyperlink w:anchor="_Toc109123445">
            <w:r>
              <w:rPr>
                <w:webHidden/>
                <w:rStyle w:val="Czeindeksu"/>
                <w:rFonts w:cs="Calibri"/>
                <w:b/>
                <w:bCs/>
                <w:vanish w:val="false"/>
              </w:rPr>
              <w:t>IX.</w:t>
            </w:r>
            <w:r>
              <w:rPr>
                <w:rStyle w:val="Czeindeksu"/>
                <w:rFonts w:eastAsia="" w:eastAsiaTheme="minorEastAsia"/>
                <w:lang w:eastAsia="pl-PL"/>
              </w:rPr>
              <w:tab/>
            </w:r>
            <w:r>
              <w:rPr>
                <w:rStyle w:val="Czeindeksu"/>
                <w:rFonts w:cs="Calibri"/>
                <w:b/>
                <w:bCs/>
              </w:rPr>
              <w:t>Opis sposobu przygotowania oferty</w:t>
            </w:r>
            <w:r>
              <w:rPr>
                <w:webHidden/>
              </w:rPr>
              <w:fldChar w:fldCharType="begin"/>
            </w:r>
            <w:r>
              <w:rPr>
                <w:webHidden/>
              </w:rPr>
              <w:instrText xml:space="preserve">PAGEREF _Toc109123445 \h</w:instrText>
            </w:r>
            <w:r>
              <w:rPr>
                <w:webHidden/>
              </w:rPr>
              <w:fldChar w:fldCharType="separate"/>
            </w:r>
            <w:r>
              <w:rPr>
                <w:rStyle w:val="Czeindeksu"/>
              </w:rPr>
              <w:tab/>
              <w:t>7</w:t>
            </w:r>
            <w:r>
              <w:rPr>
                <w:webHidden/>
              </w:rPr>
              <w:fldChar w:fldCharType="end"/>
            </w:r>
          </w:hyperlink>
        </w:p>
        <w:p>
          <w:pPr>
            <w:pStyle w:val="TOC1"/>
            <w:rPr>
              <w:rFonts w:eastAsia="" w:eastAsiaTheme="minorEastAsia"/>
              <w:lang w:eastAsia="pl-PL"/>
            </w:rPr>
          </w:pPr>
          <w:hyperlink w:anchor="_Toc109123446">
            <w:r>
              <w:rPr>
                <w:webHidden/>
                <w:rStyle w:val="Czeindeksu"/>
                <w:rFonts w:cs="Calibri"/>
                <w:b/>
                <w:bCs/>
                <w:vanish w:val="false"/>
              </w:rPr>
              <w:t>X.</w:t>
            </w:r>
            <w:r>
              <w:rPr>
                <w:rStyle w:val="Czeindeksu"/>
                <w:rFonts w:eastAsia="" w:eastAsiaTheme="minorEastAsia"/>
                <w:lang w:eastAsia="pl-PL"/>
              </w:rPr>
              <w:tab/>
            </w:r>
            <w:r>
              <w:rPr>
                <w:rStyle w:val="Czeindeksu"/>
                <w:rFonts w:cs="Calibri"/>
                <w:b/>
                <w:bCs/>
              </w:rPr>
              <w:t>Sposób oraz termin składania ofert i termin otwarcia ofert</w:t>
            </w:r>
            <w:r>
              <w:rPr>
                <w:webHidden/>
              </w:rPr>
              <w:fldChar w:fldCharType="begin"/>
            </w:r>
            <w:r>
              <w:rPr>
                <w:webHidden/>
              </w:rPr>
              <w:instrText xml:space="preserve">PAGEREF _Toc109123446 \h</w:instrText>
            </w:r>
            <w:r>
              <w:rPr>
                <w:webHidden/>
              </w:rPr>
              <w:fldChar w:fldCharType="separate"/>
            </w:r>
            <w:r>
              <w:rPr>
                <w:rStyle w:val="Czeindeksu"/>
              </w:rPr>
              <w:tab/>
              <w:t>11</w:t>
            </w:r>
            <w:r>
              <w:rPr>
                <w:webHidden/>
              </w:rPr>
              <w:fldChar w:fldCharType="end"/>
            </w:r>
          </w:hyperlink>
        </w:p>
        <w:p>
          <w:pPr>
            <w:pStyle w:val="TOC1"/>
            <w:rPr>
              <w:rFonts w:eastAsia="" w:eastAsiaTheme="minorEastAsia"/>
              <w:lang w:eastAsia="pl-PL"/>
            </w:rPr>
          </w:pPr>
          <w:hyperlink w:anchor="_Toc109123447">
            <w:r>
              <w:rPr>
                <w:webHidden/>
                <w:rStyle w:val="Czeindeksu"/>
                <w:rFonts w:cs="Calibri"/>
                <w:b/>
                <w:bCs/>
                <w:vanish w:val="false"/>
              </w:rPr>
              <w:t>XI.</w:t>
            </w:r>
            <w:r>
              <w:rPr>
                <w:rStyle w:val="Czeindeksu"/>
                <w:rFonts w:eastAsia="" w:eastAsiaTheme="minorEastAsia"/>
                <w:lang w:eastAsia="pl-PL"/>
              </w:rPr>
              <w:tab/>
            </w:r>
            <w:r>
              <w:rPr>
                <w:rStyle w:val="Czeindeksu"/>
                <w:rFonts w:cs="Calibri"/>
                <w:b/>
                <w:bCs/>
              </w:rPr>
              <w:t>Podstawy wykluczenia</w:t>
            </w:r>
            <w:r>
              <w:rPr>
                <w:webHidden/>
              </w:rPr>
              <w:fldChar w:fldCharType="begin"/>
            </w:r>
            <w:r>
              <w:rPr>
                <w:webHidden/>
              </w:rPr>
              <w:instrText xml:space="preserve">PAGEREF _Toc109123447 \h</w:instrText>
            </w:r>
            <w:r>
              <w:rPr>
                <w:webHidden/>
              </w:rPr>
              <w:fldChar w:fldCharType="separate"/>
            </w:r>
            <w:r>
              <w:rPr>
                <w:rStyle w:val="Czeindeksu"/>
              </w:rPr>
              <w:tab/>
              <w:t>12</w:t>
            </w:r>
            <w:r>
              <w:rPr>
                <w:webHidden/>
              </w:rPr>
              <w:fldChar w:fldCharType="end"/>
            </w:r>
          </w:hyperlink>
        </w:p>
        <w:p>
          <w:pPr>
            <w:pStyle w:val="TOC1"/>
            <w:rPr>
              <w:rFonts w:eastAsia="" w:eastAsiaTheme="minorEastAsia"/>
              <w:lang w:eastAsia="pl-PL"/>
            </w:rPr>
          </w:pPr>
          <w:hyperlink w:anchor="_Toc109123448">
            <w:r>
              <w:rPr>
                <w:webHidden/>
                <w:rStyle w:val="Czeindeksu"/>
                <w:rFonts w:cs="Calibri"/>
                <w:b/>
                <w:bCs/>
                <w:vanish w:val="false"/>
              </w:rPr>
              <w:t>XII.</w:t>
            </w:r>
            <w:r>
              <w:rPr>
                <w:rStyle w:val="Czeindeksu"/>
                <w:rFonts w:eastAsia="" w:eastAsiaTheme="minorEastAsia"/>
                <w:lang w:eastAsia="pl-PL"/>
              </w:rPr>
              <w:tab/>
            </w:r>
            <w:r>
              <w:rPr>
                <w:rStyle w:val="Czeindeksu"/>
                <w:rFonts w:cs="Calibri"/>
                <w:b/>
                <w:bCs/>
              </w:rPr>
              <w:t>Informacja o warunkach udziału w postępowaniu i niepodleganiu wykluczeniu oraz podmiotowych środkach dowodowych</w:t>
            </w:r>
            <w:r>
              <w:rPr>
                <w:webHidden/>
              </w:rPr>
              <w:fldChar w:fldCharType="begin"/>
            </w:r>
            <w:r>
              <w:rPr>
                <w:webHidden/>
              </w:rPr>
              <w:instrText xml:space="preserve">PAGEREF _Toc109123448 \h</w:instrText>
            </w:r>
            <w:r>
              <w:rPr>
                <w:webHidden/>
              </w:rPr>
              <w:fldChar w:fldCharType="separate"/>
            </w:r>
            <w:r>
              <w:rPr>
                <w:rStyle w:val="Czeindeksu"/>
              </w:rPr>
              <w:tab/>
              <w:t>13</w:t>
            </w:r>
            <w:r>
              <w:rPr>
                <w:webHidden/>
              </w:rPr>
              <w:fldChar w:fldCharType="end"/>
            </w:r>
          </w:hyperlink>
        </w:p>
        <w:p>
          <w:pPr>
            <w:pStyle w:val="TOC1"/>
            <w:rPr>
              <w:rFonts w:eastAsia="" w:eastAsiaTheme="minorEastAsia"/>
              <w:lang w:eastAsia="pl-PL"/>
            </w:rPr>
          </w:pPr>
          <w:hyperlink w:anchor="_Toc109123449">
            <w:r>
              <w:rPr>
                <w:webHidden/>
                <w:rStyle w:val="Czeindeksu"/>
                <w:rFonts w:cs="Calibri"/>
                <w:b/>
                <w:bCs/>
                <w:vanish w:val="false"/>
              </w:rPr>
              <w:t>XIII.</w:t>
            </w:r>
            <w:r>
              <w:rPr>
                <w:rStyle w:val="Czeindeksu"/>
                <w:rFonts w:eastAsia="" w:eastAsiaTheme="minorEastAsia"/>
                <w:lang w:eastAsia="pl-PL"/>
              </w:rPr>
              <w:tab/>
            </w:r>
            <w:r>
              <w:rPr>
                <w:rStyle w:val="Czeindeksu"/>
                <w:rFonts w:cs="Calibri"/>
                <w:b/>
                <w:bCs/>
              </w:rPr>
              <w:t>Informacja dla Wykonawców wspólnie ubiegających się o udzielenie zamówienia</w:t>
            </w:r>
            <w:r>
              <w:rPr>
                <w:webHidden/>
              </w:rPr>
              <w:fldChar w:fldCharType="begin"/>
            </w:r>
            <w:r>
              <w:rPr>
                <w:webHidden/>
              </w:rPr>
              <w:instrText xml:space="preserve">PAGEREF _Toc109123449 \h</w:instrText>
            </w:r>
            <w:r>
              <w:rPr>
                <w:webHidden/>
              </w:rPr>
              <w:fldChar w:fldCharType="separate"/>
            </w:r>
            <w:r>
              <w:rPr>
                <w:rStyle w:val="Czeindeksu"/>
              </w:rPr>
              <w:tab/>
              <w:t>14</w:t>
            </w:r>
            <w:r>
              <w:rPr>
                <w:webHidden/>
              </w:rPr>
              <w:fldChar w:fldCharType="end"/>
            </w:r>
          </w:hyperlink>
        </w:p>
        <w:p>
          <w:pPr>
            <w:pStyle w:val="TOC1"/>
            <w:rPr>
              <w:rFonts w:eastAsia="" w:eastAsiaTheme="minorEastAsia"/>
              <w:lang w:eastAsia="pl-PL"/>
            </w:rPr>
          </w:pPr>
          <w:hyperlink w:anchor="_Toc109123450">
            <w:r>
              <w:rPr>
                <w:webHidden/>
                <w:rStyle w:val="Czeindeksu"/>
                <w:rFonts w:cs="Calibri"/>
                <w:b/>
                <w:bCs/>
                <w:vanish w:val="false"/>
              </w:rPr>
              <w:t>XIV.</w:t>
            </w:r>
            <w:r>
              <w:rPr>
                <w:rStyle w:val="Czeindeksu"/>
                <w:rFonts w:eastAsia="" w:eastAsiaTheme="minorEastAsia"/>
                <w:lang w:eastAsia="pl-PL"/>
              </w:rPr>
              <w:tab/>
            </w:r>
            <w:r>
              <w:rPr>
                <w:rStyle w:val="Czeindeksu"/>
                <w:rFonts w:cs="Calibri"/>
                <w:b/>
                <w:bCs/>
              </w:rPr>
              <w:t>Sposób obliczenia ceny</w:t>
            </w:r>
            <w:r>
              <w:rPr>
                <w:webHidden/>
              </w:rPr>
              <w:fldChar w:fldCharType="begin"/>
            </w:r>
            <w:r>
              <w:rPr>
                <w:webHidden/>
              </w:rPr>
              <w:instrText xml:space="preserve">PAGEREF _Toc109123450 \h</w:instrText>
            </w:r>
            <w:r>
              <w:rPr>
                <w:webHidden/>
              </w:rPr>
              <w:fldChar w:fldCharType="separate"/>
            </w:r>
            <w:r>
              <w:rPr>
                <w:rStyle w:val="Czeindeksu"/>
              </w:rPr>
              <w:tab/>
              <w:t>15</w:t>
            </w:r>
            <w:r>
              <w:rPr>
                <w:webHidden/>
              </w:rPr>
              <w:fldChar w:fldCharType="end"/>
            </w:r>
          </w:hyperlink>
        </w:p>
        <w:p>
          <w:pPr>
            <w:pStyle w:val="TOC1"/>
            <w:rPr>
              <w:rFonts w:eastAsia="" w:eastAsiaTheme="minorEastAsia"/>
              <w:lang w:eastAsia="pl-PL"/>
            </w:rPr>
          </w:pPr>
          <w:hyperlink w:anchor="_Toc109123451">
            <w:r>
              <w:rPr>
                <w:webHidden/>
                <w:rStyle w:val="Czeindeksu"/>
                <w:rFonts w:cs="Calibri"/>
                <w:b/>
                <w:bCs/>
                <w:vanish w:val="false"/>
              </w:rPr>
              <w:t>XV.</w:t>
            </w:r>
            <w:r>
              <w:rPr>
                <w:rStyle w:val="Czeindeksu"/>
                <w:rFonts w:eastAsia="" w:eastAsiaTheme="minorEastAsia"/>
                <w:lang w:eastAsia="pl-PL"/>
              </w:rPr>
              <w:tab/>
            </w:r>
            <w:r>
              <w:rPr>
                <w:rStyle w:val="Czeindeksu"/>
                <w:rFonts w:cs="Calibri"/>
                <w:b/>
                <w:bCs/>
              </w:rPr>
              <w:t>Opis kryteriów oceny ofert, wraz z podaniem wag tych kryteriów i sposobu oceny ofert</w:t>
            </w:r>
            <w:r>
              <w:rPr>
                <w:webHidden/>
              </w:rPr>
              <w:fldChar w:fldCharType="begin"/>
            </w:r>
            <w:r>
              <w:rPr>
                <w:webHidden/>
              </w:rPr>
              <w:instrText xml:space="preserve">PAGEREF _Toc109123451 \h</w:instrText>
            </w:r>
            <w:r>
              <w:rPr>
                <w:webHidden/>
              </w:rPr>
              <w:fldChar w:fldCharType="separate"/>
            </w:r>
            <w:r>
              <w:rPr>
                <w:rStyle w:val="Czeindeksu"/>
              </w:rPr>
              <w:tab/>
              <w:t>15</w:t>
            </w:r>
            <w:r>
              <w:rPr>
                <w:webHidden/>
              </w:rPr>
              <w:fldChar w:fldCharType="end"/>
            </w:r>
          </w:hyperlink>
        </w:p>
        <w:p>
          <w:pPr>
            <w:pStyle w:val="TOC1"/>
            <w:rPr>
              <w:rFonts w:eastAsia="" w:eastAsiaTheme="minorEastAsia"/>
              <w:lang w:eastAsia="pl-PL"/>
            </w:rPr>
          </w:pPr>
          <w:hyperlink w:anchor="_Toc109123452">
            <w:r>
              <w:rPr>
                <w:webHidden/>
                <w:rStyle w:val="Czeindeksu"/>
                <w:rFonts w:cs="Calibri"/>
                <w:b/>
                <w:bCs/>
                <w:vanish w:val="false"/>
              </w:rPr>
              <w:t>XVI.</w:t>
            </w:r>
            <w:r>
              <w:rPr>
                <w:rStyle w:val="Czeindeksu"/>
                <w:rFonts w:eastAsia="" w:eastAsiaTheme="minorEastAsia"/>
                <w:lang w:eastAsia="pl-PL"/>
              </w:rPr>
              <w:tab/>
            </w:r>
            <w:r>
              <w:rPr>
                <w:rStyle w:val="Czeindeksu"/>
                <w:rFonts w:cs="Calibri"/>
                <w:b/>
                <w:bCs/>
              </w:rPr>
              <w:t>Informacje o formalnościach, jakie muszą zostać dopełnione po wyborze oferty w celu zawarcia umowy w sprawie zamówienia publicznego</w:t>
            </w:r>
            <w:r>
              <w:rPr>
                <w:webHidden/>
              </w:rPr>
              <w:fldChar w:fldCharType="begin"/>
            </w:r>
            <w:r>
              <w:rPr>
                <w:webHidden/>
              </w:rPr>
              <w:instrText xml:space="preserve">PAGEREF _Toc109123452 \h</w:instrText>
            </w:r>
            <w:r>
              <w:rPr>
                <w:webHidden/>
              </w:rPr>
              <w:fldChar w:fldCharType="separate"/>
            </w:r>
            <w:r>
              <w:rPr>
                <w:rStyle w:val="Czeindeksu"/>
              </w:rPr>
              <w:tab/>
              <w:t>17</w:t>
            </w:r>
            <w:r>
              <w:rPr>
                <w:webHidden/>
              </w:rPr>
              <w:fldChar w:fldCharType="end"/>
            </w:r>
          </w:hyperlink>
        </w:p>
        <w:p>
          <w:pPr>
            <w:pStyle w:val="TOC1"/>
            <w:rPr>
              <w:rFonts w:eastAsia="" w:eastAsiaTheme="minorEastAsia"/>
              <w:lang w:eastAsia="pl-PL"/>
            </w:rPr>
          </w:pPr>
          <w:hyperlink w:anchor="_Toc109123453">
            <w:r>
              <w:rPr>
                <w:webHidden/>
                <w:rStyle w:val="Czeindeksu"/>
                <w:rFonts w:cs="Calibri"/>
                <w:b/>
                <w:bCs/>
                <w:vanish w:val="false"/>
              </w:rPr>
              <w:t>XVII.</w:t>
            </w:r>
            <w:r>
              <w:rPr>
                <w:rStyle w:val="Czeindeksu"/>
                <w:rFonts w:eastAsia="" w:eastAsiaTheme="minorEastAsia"/>
                <w:lang w:eastAsia="pl-PL"/>
              </w:rPr>
              <w:tab/>
            </w:r>
            <w:r>
              <w:rPr>
                <w:rStyle w:val="Czeindeksu"/>
                <w:rFonts w:cs="Calibri"/>
                <w:b/>
                <w:bCs/>
              </w:rPr>
              <w:t>Pouczenie o środkach ochrony prawnej przysługujących Wykonawcy</w:t>
            </w:r>
            <w:r>
              <w:rPr>
                <w:webHidden/>
              </w:rPr>
              <w:fldChar w:fldCharType="begin"/>
            </w:r>
            <w:r>
              <w:rPr>
                <w:webHidden/>
              </w:rPr>
              <w:instrText xml:space="preserve">PAGEREF _Toc109123453 \h</w:instrText>
            </w:r>
            <w:r>
              <w:rPr>
                <w:webHidden/>
              </w:rPr>
              <w:fldChar w:fldCharType="separate"/>
            </w:r>
            <w:r>
              <w:rPr>
                <w:rStyle w:val="Czeindeksu"/>
              </w:rPr>
              <w:tab/>
              <w:t>18</w:t>
            </w:r>
            <w:r>
              <w:rPr>
                <w:webHidden/>
              </w:rPr>
              <w:fldChar w:fldCharType="end"/>
            </w:r>
          </w:hyperlink>
        </w:p>
        <w:p>
          <w:pPr>
            <w:pStyle w:val="TOC1"/>
            <w:rPr>
              <w:rFonts w:eastAsia="" w:eastAsiaTheme="minorEastAsia"/>
              <w:lang w:eastAsia="pl-PL"/>
            </w:rPr>
          </w:pPr>
          <w:hyperlink w:anchor="_Toc109123454">
            <w:r>
              <w:rPr>
                <w:webHidden/>
                <w:rStyle w:val="Czeindeksu"/>
                <w:rFonts w:cs="Calibri"/>
                <w:b/>
                <w:bCs/>
                <w:vanish w:val="false"/>
              </w:rPr>
              <w:t>XVIII.</w:t>
            </w:r>
            <w:r>
              <w:rPr>
                <w:rStyle w:val="Czeindeksu"/>
                <w:rFonts w:eastAsia="" w:eastAsiaTheme="minorEastAsia"/>
                <w:lang w:eastAsia="pl-PL"/>
              </w:rPr>
              <w:tab/>
            </w:r>
            <w:r>
              <w:rPr>
                <w:rStyle w:val="Czeindeksu"/>
                <w:rFonts w:cs="Calibri"/>
                <w:b/>
                <w:bCs/>
              </w:rPr>
              <w:t>Klauzula informacyjna dotycząca przetwarzania danych osobowych</w:t>
            </w:r>
            <w:r>
              <w:rPr>
                <w:webHidden/>
              </w:rPr>
              <w:fldChar w:fldCharType="begin"/>
            </w:r>
            <w:r>
              <w:rPr>
                <w:webHidden/>
              </w:rPr>
              <w:instrText xml:space="preserve">PAGEREF _Toc109123454 \h</w:instrText>
            </w:r>
            <w:r>
              <w:rPr>
                <w:webHidden/>
              </w:rPr>
              <w:fldChar w:fldCharType="separate"/>
            </w:r>
            <w:r>
              <w:rPr>
                <w:rStyle w:val="Czeindeksu"/>
              </w:rPr>
              <w:tab/>
              <w:t>18</w:t>
            </w:r>
            <w:r>
              <w:rPr>
                <w:webHidden/>
              </w:rPr>
              <w:fldChar w:fldCharType="end"/>
            </w:r>
          </w:hyperlink>
        </w:p>
        <w:p>
          <w:pPr>
            <w:pStyle w:val="TOC1"/>
            <w:rPr>
              <w:rFonts w:eastAsia="" w:eastAsiaTheme="minorEastAsia"/>
              <w:lang w:eastAsia="pl-PL"/>
            </w:rPr>
          </w:pPr>
          <w:hyperlink w:anchor="_Toc109123455">
            <w:r>
              <w:rPr>
                <w:webHidden/>
                <w:rStyle w:val="Czeindeksu"/>
                <w:rFonts w:cs="Calibri"/>
                <w:b/>
                <w:bCs/>
                <w:vanish w:val="false"/>
              </w:rPr>
              <w:t>XIX.</w:t>
            </w:r>
            <w:r>
              <w:rPr>
                <w:rStyle w:val="Czeindeksu"/>
                <w:rFonts w:eastAsia="" w:eastAsiaTheme="minorEastAsia"/>
                <w:lang w:eastAsia="pl-PL"/>
              </w:rPr>
              <w:tab/>
            </w:r>
            <w:r>
              <w:rPr>
                <w:rStyle w:val="Czeindeksu"/>
                <w:rFonts w:cs="Calibri"/>
                <w:b/>
                <w:bCs/>
              </w:rPr>
              <w:t>Załączniki do SWZ</w:t>
            </w:r>
            <w:r>
              <w:rPr>
                <w:webHidden/>
              </w:rPr>
              <w:fldChar w:fldCharType="begin"/>
            </w:r>
            <w:r>
              <w:rPr>
                <w:webHidden/>
              </w:rPr>
              <w:instrText xml:space="preserve">PAGEREF _Toc109123455 \h</w:instrText>
            </w:r>
            <w:r>
              <w:rPr>
                <w:webHidden/>
              </w:rPr>
              <w:fldChar w:fldCharType="separate"/>
            </w:r>
            <w:r>
              <w:rPr>
                <w:rStyle w:val="Czeindeksu"/>
              </w:rPr>
              <w:tab/>
              <w:t>20</w:t>
            </w:r>
            <w:r>
              <w:rPr>
                <w:webHidden/>
              </w:rPr>
              <w:fldChar w:fldCharType="end"/>
            </w:r>
          </w:hyperlink>
        </w:p>
        <w:p>
          <w:pPr>
            <w:pStyle w:val="Normal"/>
            <w:spacing w:lineRule="auto" w:line="312" w:before="0" w:after="0"/>
            <w:ind w:hanging="567"/>
            <w:rPr>
              <w:rFonts w:ascii="Calibri" w:hAnsi="Calibri" w:cs="Calibri"/>
              <w:b/>
              <w:bCs/>
              <w:sz w:val="24"/>
              <w:szCs w:val="24"/>
            </w:rPr>
          </w:pPr>
          <w:r>
            <w:rPr>
              <w:rFonts w:cs="Calibri"/>
              <w:b/>
              <w:bCs/>
              <w:sz w:val="24"/>
              <w:szCs w:val="24"/>
            </w:rPr>
          </w:r>
          <w:r>
            <w:rPr>
              <w:sz w:val="24"/>
              <w:b/>
              <w:szCs w:val="24"/>
              <w:bCs/>
              <w:rFonts w:cs="Calibri"/>
            </w:rPr>
            <w:fldChar w:fldCharType="end"/>
          </w:r>
        </w:p>
      </w:sdtContent>
    </w:sdt>
    <w:p>
      <w:pPr>
        <w:pStyle w:val="Normal"/>
        <w:spacing w:lineRule="auto" w:line="312" w:before="0" w:after="0"/>
        <w:ind w:hanging="425" w:left="425"/>
        <w:rPr>
          <w:rFonts w:ascii="Calibri" w:hAnsi="Calibri" w:cs="Calibri"/>
          <w:sz w:val="24"/>
          <w:szCs w:val="24"/>
        </w:rPr>
      </w:pPr>
      <w:r>
        <w:rPr>
          <w:rFonts w:cs="Calibri"/>
          <w:sz w:val="24"/>
          <w:szCs w:val="24"/>
        </w:rPr>
      </w:r>
      <w:r>
        <w:br w:type="page"/>
      </w:r>
    </w:p>
    <w:sdt>
      <w:sdtPr>
        <w:id w:val="127330436"/>
        <w:placeholder>
          <w:docPart w:val="B864AED303BA470CA106A8FD0DC644B1"/>
        </w:placeholder>
        <w:alias w:val="nazwa"/>
      </w:sdtPr>
      <w:sdtContent>
        <w:p>
          <w:pPr>
            <w:pStyle w:val="Normal"/>
            <w:widowControl w:val="false"/>
            <w:spacing w:lineRule="auto" w:line="312" w:before="0" w:after="0"/>
            <w:ind w:hanging="992" w:left="425"/>
            <w:jc w:val="center"/>
            <w:rPr/>
          </w:pPr>
          <w:r>
            <w:rPr/>
            <w:t>Dostawa żywienia zbiorowego</w:t>
          </w:r>
        </w:p>
        <w:p>
          <w:pPr>
            <w:pStyle w:val="Normal"/>
            <w:widowControl w:val="false"/>
            <w:spacing w:lineRule="auto" w:line="312" w:before="0" w:after="0"/>
            <w:ind w:hanging="992" w:left="425"/>
            <w:jc w:val="center"/>
            <w:rPr>
              <w:rFonts w:ascii="Calibri" w:hAnsi="Calibri" w:cs="Calibri"/>
              <w:b/>
              <w:color w:val="004289"/>
              <w:sz w:val="28"/>
              <w:szCs w:val="28"/>
            </w:rPr>
          </w:pPr>
          <w:r>
            <w:rPr>
              <w:rFonts w:cs="Calibri"/>
              <w:b/>
              <w:color w:val="004289"/>
              <w:sz w:val="28"/>
              <w:szCs w:val="28"/>
            </w:rPr>
          </w:r>
        </w:p>
      </w:sdtContent>
    </w:sdt>
    <w:p>
      <w:pPr>
        <w:pStyle w:val="Normal"/>
        <w:widowControl w:val="false"/>
        <w:spacing w:lineRule="auto" w:line="312" w:before="240" w:after="240"/>
        <w:ind w:hanging="425" w:left="425"/>
        <w:jc w:val="center"/>
        <w:rPr>
          <w:rFonts w:ascii="Calibri" w:hAnsi="Calibri" w:cs="Calibri"/>
          <w:b/>
          <w:bCs/>
          <w:sz w:val="28"/>
          <w:szCs w:val="28"/>
        </w:rPr>
      </w:pPr>
      <w:r>
        <w:rPr>
          <w:rStyle w:val="Calibri16"/>
          <w:rFonts w:cs="Calibri"/>
          <w:sz w:val="28"/>
          <w:szCs w:val="28"/>
        </w:rPr>
        <w:t>Specyfikacja Warunków Zamówienia (SWZ)</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16" w:name="_Toc109123437"/>
      <w:r>
        <w:rPr>
          <w:rFonts w:cs="Calibri"/>
          <w:b/>
          <w:bCs/>
          <w:sz w:val="28"/>
          <w:szCs w:val="28"/>
        </w:rPr>
        <w:t>Podstawowe informacje o Zamawiającym oraz adres strony internetowej prowadzonego postępowania</w:t>
      </w:r>
      <w:bookmarkEnd w:id="16"/>
    </w:p>
    <w:p>
      <w:pPr>
        <w:pStyle w:val="ListParagraph"/>
        <w:widowControl w:val="false"/>
        <w:numPr>
          <w:ilvl w:val="0"/>
          <w:numId w:val="2"/>
        </w:numPr>
        <w:spacing w:lineRule="auto" w:line="312" w:before="0" w:after="0"/>
        <w:ind w:hanging="425" w:left="425"/>
        <w:contextualSpacing w:val="false"/>
        <w:jc w:val="both"/>
        <w:rPr>
          <w:rFonts w:ascii="Calibri" w:hAnsi="Calibri" w:cs="Calibri"/>
          <w:sz w:val="24"/>
          <w:szCs w:val="24"/>
        </w:rPr>
      </w:pPr>
      <w:r>
        <w:rPr>
          <w:rFonts w:cs="Calibri"/>
          <w:sz w:val="24"/>
          <w:szCs w:val="24"/>
        </w:rPr>
        <w:t>Dane Zamawiającego:</w:t>
      </w:r>
    </w:p>
    <w:p>
      <w:pPr>
        <w:pStyle w:val="ListParagraph"/>
        <w:widowControl w:val="false"/>
        <w:spacing w:lineRule="auto" w:line="312" w:before="0" w:after="0"/>
        <w:ind w:left="425"/>
        <w:contextualSpacing/>
        <w:jc w:val="both"/>
        <w:rPr>
          <w:rFonts w:ascii="Calibri" w:hAnsi="Calibri" w:cs="Calibri"/>
          <w:sz w:val="24"/>
          <w:szCs w:val="24"/>
        </w:rPr>
      </w:pPr>
      <w:r>
        <w:rPr>
          <w:rFonts w:cs="Calibri"/>
          <w:sz w:val="24"/>
          <w:szCs w:val="24"/>
        </w:rPr>
        <w:t>Samodzielny Publiczny Zespół Opieki Zdrowotnej w Kazimierzy Wielkiej</w:t>
      </w:r>
    </w:p>
    <w:p>
      <w:pPr>
        <w:pStyle w:val="ListParagraph"/>
        <w:widowControl w:val="false"/>
        <w:spacing w:lineRule="auto" w:line="312" w:before="0" w:after="0"/>
        <w:ind w:left="425"/>
        <w:contextualSpacing/>
        <w:jc w:val="both"/>
        <w:rPr>
          <w:rFonts w:ascii="Calibri" w:hAnsi="Calibri" w:cs="Calibri"/>
          <w:sz w:val="24"/>
          <w:szCs w:val="24"/>
        </w:rPr>
      </w:pPr>
      <w:r>
        <w:rPr>
          <w:rFonts w:cs="Calibri"/>
          <w:sz w:val="24"/>
          <w:szCs w:val="24"/>
        </w:rPr>
        <w:t>Godziny urzędowania:</w:t>
      </w:r>
    </w:p>
    <w:p>
      <w:pPr>
        <w:pStyle w:val="ListParagraph"/>
        <w:widowControl w:val="false"/>
        <w:spacing w:lineRule="auto" w:line="312" w:before="0" w:after="0"/>
        <w:ind w:left="425"/>
        <w:contextualSpacing/>
        <w:jc w:val="both"/>
        <w:rPr>
          <w:rFonts w:ascii="Calibri" w:hAnsi="Calibri" w:cs="Calibri"/>
          <w:sz w:val="24"/>
          <w:szCs w:val="24"/>
        </w:rPr>
      </w:pPr>
      <w:r>
        <w:rPr>
          <w:rFonts w:cs="Calibri"/>
          <w:sz w:val="24"/>
          <w:szCs w:val="24"/>
        </w:rPr>
        <w:t>poniedziałek  - piątek 07:25 – 15:00</w:t>
      </w:r>
    </w:p>
    <w:p>
      <w:pPr>
        <w:pStyle w:val="ListParagraph"/>
        <w:widowControl w:val="false"/>
        <w:spacing w:lineRule="auto" w:line="312" w:before="0" w:after="0"/>
        <w:ind w:left="425"/>
        <w:contextualSpacing/>
        <w:jc w:val="both"/>
        <w:rPr>
          <w:rFonts w:ascii="Calibri" w:hAnsi="Calibri" w:cs="Calibri"/>
          <w:sz w:val="24"/>
          <w:szCs w:val="24"/>
        </w:rPr>
      </w:pPr>
      <w:r>
        <w:rPr>
          <w:rFonts w:cs="Calibri"/>
          <w:sz w:val="24"/>
          <w:szCs w:val="24"/>
        </w:rPr>
        <w:t>Strona internetowa: www.zoz.kazimierzawielka.com</w:t>
      </w:r>
    </w:p>
    <w:p>
      <w:pPr>
        <w:pStyle w:val="ListParagraph"/>
        <w:widowControl w:val="false"/>
        <w:spacing w:lineRule="auto" w:line="312" w:before="0" w:after="0"/>
        <w:ind w:left="425"/>
        <w:contextualSpacing/>
        <w:jc w:val="both"/>
        <w:rPr>
          <w:rFonts w:ascii="Calibri" w:hAnsi="Calibri" w:cs="Calibri"/>
          <w:sz w:val="24"/>
          <w:szCs w:val="24"/>
          <w:lang w:val="en-US"/>
        </w:rPr>
      </w:pPr>
      <w:r>
        <w:rPr>
          <w:rFonts w:cs="Calibri"/>
          <w:sz w:val="24"/>
          <w:szCs w:val="24"/>
          <w:lang w:val="en-US"/>
        </w:rPr>
        <w:t xml:space="preserve">e-mail: </w:t>
      </w:r>
      <w:hyperlink r:id="rId2">
        <w:r>
          <w:rPr>
            <w:rStyle w:val="Hyperlink"/>
            <w:rFonts w:cs="Calibri"/>
            <w:sz w:val="24"/>
            <w:szCs w:val="24"/>
            <w:lang w:val="en-US"/>
          </w:rPr>
          <w:t>j.starek@spzozkw.pl</w:t>
        </w:r>
      </w:hyperlink>
      <w:r>
        <w:rPr>
          <w:rFonts w:cs="Calibri"/>
          <w:sz w:val="24"/>
          <w:szCs w:val="24"/>
          <w:lang w:val="en-US"/>
        </w:rPr>
        <w:t xml:space="preserve"> </w:t>
      </w:r>
    </w:p>
    <w:p>
      <w:pPr>
        <w:pStyle w:val="ListParagraph"/>
        <w:widowControl w:val="false"/>
        <w:spacing w:lineRule="auto" w:line="312" w:before="0" w:after="0"/>
        <w:ind w:left="425"/>
        <w:contextualSpacing w:val="false"/>
        <w:jc w:val="both"/>
        <w:rPr>
          <w:rFonts w:ascii="Calibri" w:hAnsi="Calibri" w:cs="Calibri"/>
          <w:sz w:val="24"/>
          <w:szCs w:val="24"/>
        </w:rPr>
      </w:pPr>
      <w:r>
        <w:rPr>
          <w:rFonts w:cs="Calibri"/>
          <w:sz w:val="24"/>
          <w:szCs w:val="24"/>
        </w:rPr>
        <w:t>tel.: 660283536</w:t>
      </w:r>
    </w:p>
    <w:p>
      <w:pPr>
        <w:pStyle w:val="ListParagraph"/>
        <w:widowControl w:val="false"/>
        <w:numPr>
          <w:ilvl w:val="0"/>
          <w:numId w:val="2"/>
        </w:numPr>
        <w:spacing w:lineRule="auto" w:line="312" w:before="0" w:after="0"/>
        <w:ind w:hanging="425" w:left="425"/>
        <w:contextualSpacing w:val="false"/>
        <w:jc w:val="both"/>
        <w:rPr>
          <w:rFonts w:ascii="Calibri" w:hAnsi="Calibri" w:cs="Calibri"/>
          <w:b/>
          <w:bCs/>
          <w:sz w:val="24"/>
          <w:szCs w:val="24"/>
        </w:rPr>
      </w:pPr>
      <w:r>
        <w:rPr>
          <w:rFonts w:cs="Calibri"/>
          <w:b/>
          <w:bCs/>
          <w:sz w:val="24"/>
          <w:szCs w:val="24"/>
        </w:rPr>
        <w:t>Adres strony internetowej, na której jest prowadzone postępowanie i na której będą dostępne wszelkie dokumenty bezpośrednio związane z prowadzoną procedurą: https://ezamowienia.gov.pl/pl/</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17" w:name="_Toc109123438"/>
      <w:r>
        <w:rPr>
          <w:rFonts w:cs="Calibri"/>
          <w:b/>
          <w:bCs/>
          <w:sz w:val="28"/>
          <w:szCs w:val="28"/>
        </w:rPr>
        <w:t>Podstawowe informacje o postępowaniu, w tym tryb udzielenia zamówienia, informacja, czy Zamawiający przewiduje wybór najkorzystniejszej oferty z możliwością prowadzenia negocjacji, definicje</w:t>
      </w:r>
      <w:bookmarkEnd w:id="17"/>
      <w:r>
        <w:rPr>
          <w:rFonts w:cs="Calibri"/>
          <w:b/>
          <w:bCs/>
          <w:sz w:val="28"/>
          <w:szCs w:val="28"/>
        </w:rPr>
        <w:t>.</w:t>
      </w:r>
    </w:p>
    <w:p>
      <w:pPr>
        <w:pStyle w:val="ListParagraph"/>
        <w:widowControl w:val="false"/>
        <w:numPr>
          <w:ilvl w:val="0"/>
          <w:numId w:val="3"/>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Postępowanie o udzielenie zamówienia publicznego prowadzone jest w trybie </w:t>
      </w:r>
      <w:sdt>
        <w:sdtPr>
          <w:placeholder>
            <w:docPart w:val="B864AED303BA470CA106A8FD0DC644B1"/>
          </w:placeholder>
          <w:id w:val="947892645"/>
          <w:dropDownList>
            <w:listItem w:displayText="Wybierz element." w:value="Wybierz element."/>
            <w:listItem w:displayText="podstawowym bez negocjacji" w:value="podstawowym bez negocjacji"/>
            <w:listItem w:displayText="podstawowym z fakultatywnymi negocjacjami" w:value="podstawowym z fakultatywnymi negocjacjami"/>
            <w:listItem w:displayText="podstawowym z obligatoryjnymi negocjacjami" w:value="podstawowym z obligatoryjnymi negocjacjami"/>
            <w:listItem w:displayText="wolnej ręki" w:value="wolnej ręki"/>
          </w:dropDownList>
        </w:sdtPr>
        <w:sdtContent>
          <w:r>
            <w:rPr>
              <w:rFonts w:cs="Calibri"/>
              <w:sz w:val="24"/>
              <w:szCs w:val="24"/>
            </w:rPr>
          </w:r>
          <w:r>
            <w:rPr>
              <w:rFonts w:cs="Calibri"/>
              <w:sz w:val="24"/>
              <w:szCs w:val="24"/>
            </w:rPr>
            <w:t>podstawowym bez negocjacji</w:t>
          </w:r>
        </w:sdtContent>
      </w:sdt>
      <w:r>
        <w:rPr>
          <w:rFonts w:cs="Calibri"/>
          <w:sz w:val="24"/>
          <w:szCs w:val="24"/>
        </w:rPr>
        <w:t>, o jakim stanowi</w:t>
      </w:r>
      <w:r>
        <w:rPr>
          <w:rFonts w:cs="Calibri"/>
          <w:b/>
          <w:bCs/>
          <w:sz w:val="24"/>
          <w:szCs w:val="24"/>
        </w:rPr>
        <w:t xml:space="preserve"> </w:t>
      </w:r>
      <w:sdt>
        <w:sdtPr>
          <w:id w:val="1917280401"/>
          <w:dropDownList>
            <w:listItem w:displayText="Wybierz element." w:value="Wybierz element."/>
            <w:listItem w:displayText="art. 275 pkt 1" w:value="art. 275 pkt 1"/>
            <w:listItem w:displayText="art. 275 pkt 2" w:value="art. 275 pkt 2"/>
            <w:listItem w:displayText="art. 275 pkt 3" w:value="art. 275 pkt 3"/>
            <w:listItem w:displayText="art. 305 pkt 1" w:value="art. 305 pkt 1"/>
            <w:listItem w:displayText="art. 305 pkt 2" w:value="art. 305 pkt 2"/>
          </w:dropDownList>
        </w:sdtPr>
        <w:sdtContent>
          <w:r>
            <w:rPr>
              <w:rFonts w:cs="Calibri"/>
              <w:b/>
              <w:bCs/>
              <w:sz w:val="24"/>
              <w:szCs w:val="24"/>
            </w:rPr>
          </w:r>
          <w:r>
            <w:rPr>
              <w:rFonts w:cs="Calibri"/>
              <w:b/>
              <w:bCs/>
              <w:sz w:val="24"/>
              <w:szCs w:val="24"/>
            </w:rPr>
            <w:t>art. 275 pkt 1</w:t>
          </w:r>
        </w:sdtContent>
      </w:sdt>
      <w:r>
        <w:rPr>
          <w:rFonts w:cs="Calibri"/>
          <w:b/>
          <w:bCs/>
          <w:sz w:val="24"/>
          <w:szCs w:val="24"/>
        </w:rPr>
        <w:t xml:space="preserve"> </w:t>
      </w:r>
      <w:r>
        <w:rPr>
          <w:rFonts w:cs="Calibri"/>
          <w:sz w:val="24"/>
          <w:szCs w:val="24"/>
        </w:rPr>
        <w:t>ustawy z dnia 11 września 2019 r. Prawo zamówień publicznych (t.j. Dz.U. 2021 r. poz. 1129, z późn. zm.), zwanej dalej „</w:t>
      </w:r>
      <w:r>
        <w:rPr>
          <w:rFonts w:cs="Calibri"/>
          <w:i/>
          <w:iCs/>
          <w:color w:val="004289"/>
          <w:sz w:val="24"/>
          <w:szCs w:val="24"/>
        </w:rPr>
        <w:t>ustawą Pzp</w:t>
      </w:r>
      <w:r>
        <w:rPr>
          <w:rFonts w:cs="Calibri"/>
          <w:sz w:val="24"/>
          <w:szCs w:val="24"/>
        </w:rPr>
        <w:t>”, oraz w oparciu o zapisy niniejszej Specyfikacji Warunków Zamówienia, zwanej dalej „</w:t>
      </w:r>
      <w:r>
        <w:rPr>
          <w:rFonts w:cs="Calibri"/>
          <w:i/>
          <w:iCs/>
          <w:color w:val="004289"/>
          <w:sz w:val="24"/>
          <w:szCs w:val="24"/>
        </w:rPr>
        <w:t>SWZ</w:t>
      </w:r>
      <w:r>
        <w:rPr>
          <w:rFonts w:cs="Calibri"/>
          <w:sz w:val="24"/>
          <w:szCs w:val="24"/>
        </w:rPr>
        <w:t>”.</w:t>
      </w:r>
    </w:p>
    <w:p>
      <w:pPr>
        <w:pStyle w:val="ListParagraph"/>
        <w:widowControl w:val="false"/>
        <w:numPr>
          <w:ilvl w:val="0"/>
          <w:numId w:val="3"/>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dopuszcza możliwości składania ofert częściowych;</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wymaga ani nie dopuszcza składania ofert wariantowych;</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zatrudnienia osób, o których mowa w art. 95 oraz 96 ust. 2 pkt 2 ustawy Pzp;</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zastrzega możliwości ubiegania się o udzielenie zamówienia wyłącznie przez Wykonawców, o których mowa w art. 94 ustawy Pzp;</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obowiązku wniesienia wadium;</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wymaga wniesienia zabezpieczenia należytego wykonania umowy;</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zamówień, o których mowa w art. 214 ust. 1 pkt 7 i 8 ustawy Pzp;</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przeprowadzenia przez Wykonawcę wizji lokalnej lub sprawdzenia przez Wykonawcę dokumentów niezbędnych do realizacji zamówienia, o których mowa w art. 131 ust. 2 ustawy Pzp;</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rozliczania w walutach obcych;</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zwrotu kosztów udziału w postępowaniu;</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zastrzega obowiązku osobistego wykonania przez Wykonawcę kluczowych zadań, o czym mowa w art. 60 i art. 121 ustawy Pzp;</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zgodnie z art. 310 pkt 1 ustawy Pzp Zamawiający nie przewiduje możliwości unieważnienia przedmiotowego postępowania, jeśli środki, które Zamawiający zamierzał przeznaczyć na sfinansowanie całości lub części zamówienia, nie zostały mu przyznane;</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planuje zawarcia umowy ramowej;</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przewiduje wyboru najkorzystniejszej oferty z zastosowaniem aukcji elektronicznej;</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sz w:val="24"/>
          <w:szCs w:val="24"/>
        </w:rPr>
        <w:t>nie wymaga ani nie dopuszcza złożenia ofert w postaci katalogów elektronicznych lub dołączenia katalogów elektronicznych do oferty, w sytuacji określonej w art. 93 ustawy Pzp.</w:t>
      </w:r>
    </w:p>
    <w:p>
      <w:pPr>
        <w:pStyle w:val="ListParagraph"/>
        <w:widowControl w:val="false"/>
        <w:numPr>
          <w:ilvl w:val="0"/>
          <w:numId w:val="3"/>
        </w:numPr>
        <w:spacing w:lineRule="auto" w:line="312" w:before="0" w:after="0"/>
        <w:ind w:hanging="425" w:left="425"/>
        <w:contextualSpacing w:val="false"/>
        <w:jc w:val="both"/>
        <w:rPr>
          <w:rFonts w:ascii="Calibri" w:hAnsi="Calibri" w:cs="Calibri"/>
          <w:sz w:val="24"/>
          <w:szCs w:val="24"/>
        </w:rPr>
      </w:pPr>
      <w:r>
        <w:rPr>
          <w:rFonts w:cs="Calibri"/>
          <w:sz w:val="24"/>
          <w:szCs w:val="24"/>
        </w:rPr>
        <w:t>Ilekroć w treści SWZ jest mowa o:</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b/>
          <w:bCs/>
          <w:sz w:val="24"/>
          <w:szCs w:val="24"/>
          <w:u w:val="single"/>
        </w:rPr>
        <w:t>platformie</w:t>
      </w:r>
      <w:r>
        <w:rPr>
          <w:rFonts w:cs="Calibri"/>
          <w:sz w:val="24"/>
          <w:szCs w:val="24"/>
        </w:rPr>
        <w:t xml:space="preserve"> – należy przez to rozumieć dedykowaną platformę zakupową, za pośrednictwem której prowadzone jest postępowanie i na której udostępnione zostają wszelkie dokumenty związane z prowadzonym postępowaniem: https://ezamowienia.gov.pl/pl/</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b/>
          <w:bCs/>
          <w:sz w:val="24"/>
          <w:szCs w:val="24"/>
          <w:u w:val="single"/>
        </w:rPr>
        <w:t>Biuletynie Informacji Publicznej</w:t>
      </w:r>
      <w:r>
        <w:rPr>
          <w:rFonts w:cs="Calibri"/>
          <w:sz w:val="24"/>
          <w:szCs w:val="24"/>
        </w:rPr>
        <w:t xml:space="preserve"> – należy przez to rozumieć Biuletyn Informacji Publicznej Zamawiającego</w:t>
      </w:r>
    </w:p>
    <w:p>
      <w:pPr>
        <w:pStyle w:val="ListParagraph"/>
        <w:widowControl w:val="false"/>
        <w:numPr>
          <w:ilvl w:val="1"/>
          <w:numId w:val="3"/>
        </w:numPr>
        <w:spacing w:lineRule="auto" w:line="312" w:before="0" w:after="0"/>
        <w:ind w:hanging="425" w:left="850"/>
        <w:contextualSpacing w:val="false"/>
        <w:jc w:val="both"/>
        <w:rPr>
          <w:rFonts w:ascii="Calibri" w:hAnsi="Calibri" w:cs="Calibri"/>
          <w:sz w:val="24"/>
          <w:szCs w:val="24"/>
        </w:rPr>
      </w:pPr>
      <w:r>
        <w:rPr>
          <w:rFonts w:cs="Calibri"/>
          <w:b/>
          <w:bCs/>
          <w:sz w:val="24"/>
          <w:szCs w:val="24"/>
          <w:u w:val="single"/>
        </w:rPr>
        <w:t>umowie</w:t>
      </w:r>
      <w:r>
        <w:rPr>
          <w:rFonts w:cs="Calibri"/>
          <w:sz w:val="24"/>
          <w:szCs w:val="24"/>
        </w:rPr>
        <w:t xml:space="preserve"> – należy przez to rozumieć umowę w sprawie niniejszego zamówienia publicznego.</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18" w:name="_Toc109123439"/>
      <w:r>
        <w:rPr>
          <w:rFonts w:cs="Calibri"/>
          <w:b/>
          <w:bCs/>
          <w:sz w:val="28"/>
          <w:szCs w:val="28"/>
        </w:rPr>
        <w:t>Opis przedmiotu zamówienia</w:t>
      </w:r>
      <w:bookmarkEnd w:id="18"/>
      <w:r>
        <w:rPr>
          <w:rFonts w:cs="Calibri"/>
          <w:b/>
          <w:bCs/>
          <w:sz w:val="28"/>
          <w:szCs w:val="28"/>
        </w:rPr>
        <w:t xml:space="preserve"> </w:t>
      </w:r>
    </w:p>
    <w:p>
      <w:pPr>
        <w:pStyle w:val="ListParagraph"/>
        <w:widowControl w:val="false"/>
        <w:numPr>
          <w:ilvl w:val="0"/>
          <w:numId w:val="4"/>
        </w:numPr>
        <w:spacing w:lineRule="auto" w:line="312" w:before="0" w:after="0"/>
        <w:contextualSpacing/>
        <w:jc w:val="both"/>
        <w:rPr>
          <w:rFonts w:ascii="Calibri" w:hAnsi="Calibri" w:cs="Calibri"/>
          <w:sz w:val="24"/>
          <w:szCs w:val="24"/>
        </w:rPr>
      </w:pPr>
      <w:r>
        <w:rPr>
          <w:rFonts w:cs="Calibri"/>
          <w:sz w:val="24"/>
          <w:szCs w:val="24"/>
        </w:rPr>
        <w:t xml:space="preserve">Przedmiotem zamówienia jest Dostawa żywienia zbiorowego szczegółowo opisane w </w:t>
      </w:r>
      <w:r>
        <w:rPr>
          <w:rFonts w:cs="Calibri"/>
          <w:i/>
          <w:iCs/>
          <w:color w:val="004289"/>
          <w:sz w:val="24"/>
          <w:szCs w:val="24"/>
        </w:rPr>
        <w:t>zał. nr 3 Opis przedmiotu zamówienia</w:t>
      </w:r>
      <w:r>
        <w:rPr>
          <w:rFonts w:cs="Calibri"/>
          <w:sz w:val="24"/>
          <w:szCs w:val="24"/>
        </w:rPr>
        <w:t>.</w:t>
      </w:r>
    </w:p>
    <w:p>
      <w:pPr>
        <w:pStyle w:val="ListParagraph"/>
        <w:keepNext w:val="true"/>
        <w:widowControl w:val="false"/>
        <w:numPr>
          <w:ilvl w:val="0"/>
          <w:numId w:val="4"/>
        </w:numPr>
        <w:spacing w:lineRule="auto" w:line="312" w:before="0" w:after="0"/>
        <w:contextualSpacing/>
        <w:jc w:val="both"/>
        <w:rPr>
          <w:rFonts w:ascii="Calibri" w:hAnsi="Calibri" w:cs="Calibri"/>
          <w:sz w:val="24"/>
          <w:szCs w:val="24"/>
        </w:rPr>
      </w:pPr>
      <w:r>
        <w:rPr>
          <w:rFonts w:cs="Calibri"/>
          <w:sz w:val="24"/>
          <w:szCs w:val="24"/>
        </w:rPr>
        <w:t xml:space="preserve">Nazwy i kody zamówienia według Wspólnego Słownika Zamówień: </w:t>
      </w:r>
      <w:r>
        <w:rPr>
          <w:rStyle w:val="Calibri12"/>
          <w:rFonts w:eastAsia="Calibri" w:cs="Calibri"/>
          <w:kern w:val="0"/>
          <w:szCs w:val="24"/>
          <w:lang w:val="pl-PL" w:eastAsia="en-US" w:bidi="ar-SA"/>
        </w:rPr>
        <w:t xml:space="preserve">15800000-6. </w:t>
      </w:r>
    </w:p>
    <w:p>
      <w:pPr>
        <w:pStyle w:val="ListParagraph"/>
        <w:widowControl w:val="false"/>
        <w:numPr>
          <w:ilvl w:val="0"/>
          <w:numId w:val="4"/>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Wykonawca zobowiązany jest zrealizować zamówienie na zasadach i warunkach opisanych w SWZ oraz w załącznikach stanowiących integralną część SWZ, w tym w szczególności zgodnie z </w:t>
      </w:r>
      <w:bookmarkStart w:id="19" w:name="_Hlk108527291"/>
      <w:r>
        <w:rPr>
          <w:rFonts w:cs="Calibri"/>
          <w:i/>
          <w:iCs/>
          <w:color w:val="004289"/>
          <w:sz w:val="24"/>
          <w:szCs w:val="24"/>
        </w:rPr>
        <w:t xml:space="preserve">zał. nr 3 do SWZ Opis przedmiotu zamówienia </w:t>
      </w:r>
      <w:bookmarkEnd w:id="19"/>
      <w:r>
        <w:rPr>
          <w:rFonts w:cs="Calibri"/>
          <w:sz w:val="24"/>
          <w:szCs w:val="24"/>
        </w:rPr>
        <w:t xml:space="preserve">oraz </w:t>
      </w:r>
      <w:r>
        <w:rPr>
          <w:rFonts w:cs="Calibri"/>
          <w:i/>
          <w:iCs/>
          <w:color w:val="004289"/>
          <w:sz w:val="24"/>
          <w:szCs w:val="24"/>
        </w:rPr>
        <w:t>zał. nr 4 do SWZ Wzór umow</w:t>
      </w:r>
      <w:r>
        <w:rPr>
          <w:rFonts w:cs="Calibri"/>
          <w:color w:val="004289"/>
          <w:sz w:val="24"/>
          <w:szCs w:val="24"/>
        </w:rPr>
        <w:t xml:space="preserve">y </w:t>
      </w:r>
      <w:r>
        <w:rPr>
          <w:rFonts w:cs="Calibri"/>
          <w:sz w:val="24"/>
          <w:szCs w:val="24"/>
        </w:rPr>
        <w:t>określających zakres i warunki świadczenia dostawy.</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0" w:name="_Toc109123440"/>
      <w:r>
        <w:rPr>
          <w:rFonts w:cs="Calibri"/>
          <w:b/>
          <w:bCs/>
          <w:sz w:val="28"/>
          <w:szCs w:val="28"/>
        </w:rPr>
        <w:t>Termin wykonania zamówienia</w:t>
      </w:r>
      <w:bookmarkEnd w:id="20"/>
    </w:p>
    <w:p>
      <w:pPr>
        <w:pStyle w:val="ListParagraph"/>
        <w:widowControl w:val="false"/>
        <w:numPr>
          <w:ilvl w:val="0"/>
          <w:numId w:val="0"/>
        </w:numPr>
        <w:spacing w:lineRule="auto" w:line="312" w:before="240" w:after="120"/>
        <w:ind w:hanging="0" w:left="0"/>
        <w:contextualSpacing w:val="false"/>
        <w:jc w:val="both"/>
        <w:outlineLvl w:val="0"/>
        <w:rPr>
          <w:rFonts w:ascii="Calibri" w:hAnsi="Calibri" w:cs="Calibri"/>
          <w:b/>
          <w:bCs/>
          <w:sz w:val="28"/>
          <w:szCs w:val="28"/>
        </w:rPr>
      </w:pPr>
      <w:r>
        <w:rPr>
          <w:rFonts w:cs="Calibri"/>
          <w:iCs/>
          <w:sz w:val="24"/>
          <w:szCs w:val="24"/>
        </w:rPr>
        <w:t>Dostawy sukcesywnie przez okres  12 miesięcy.</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1" w:name="_Toc109123441"/>
      <w:bookmarkStart w:id="22" w:name="_Hlk73265036"/>
      <w:r>
        <w:rPr>
          <w:rFonts w:cs="Calibri"/>
          <w:b/>
          <w:bCs/>
          <w:sz w:val="28"/>
          <w:szCs w:val="28"/>
        </w:rPr>
        <w:t>Projektowane postanowienia umowy w sprawie zamówienia publicznego, które zostaną wprowadzone do treści tej umowy</w:t>
      </w:r>
      <w:bookmarkEnd w:id="21"/>
      <w:bookmarkEnd w:id="22"/>
    </w:p>
    <w:p>
      <w:pPr>
        <w:pStyle w:val="ListParagraph"/>
        <w:widowControl w:val="false"/>
        <w:numPr>
          <w:ilvl w:val="0"/>
          <w:numId w:val="0"/>
        </w:numPr>
        <w:spacing w:lineRule="auto" w:line="312" w:before="240" w:after="120"/>
        <w:ind w:hanging="0" w:left="0"/>
        <w:contextualSpacing w:val="false"/>
        <w:jc w:val="both"/>
        <w:outlineLvl w:val="0"/>
        <w:rPr>
          <w:rFonts w:ascii="Calibri" w:hAnsi="Calibri" w:cs="Calibri"/>
          <w:b/>
          <w:bCs/>
          <w:sz w:val="28"/>
          <w:szCs w:val="28"/>
        </w:rPr>
      </w:pPr>
      <w:r>
        <w:rPr>
          <w:rFonts w:cs="Calibri"/>
          <w:sz w:val="24"/>
          <w:szCs w:val="24"/>
        </w:rPr>
        <w:t>Zamawiający wymaga od Wykonawcy, aby zawarł z nim umowę w sprawie zamówienia publicznego.</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3" w:name="_Toc109123442"/>
      <w:r>
        <w:rPr>
          <w:rFonts w:cs="Calibri"/>
          <w:b/>
          <w:bCs/>
          <w:sz w:val="28"/>
          <w:szCs w:val="28"/>
        </w:rPr>
        <w:t>Informacje o środkach komunikacji elektronicznej, przy użyciu których Zamawiający będzie komunikował się z Wykonawcami</w:t>
      </w:r>
      <w:bookmarkEnd w:id="23"/>
    </w:p>
    <w:p>
      <w:pPr>
        <w:pStyle w:val="ListParagraph"/>
        <w:widowControl w:val="false"/>
        <w:numPr>
          <w:ilvl w:val="0"/>
          <w:numId w:val="0"/>
        </w:numPr>
        <w:spacing w:lineRule="auto" w:line="312" w:before="240" w:after="120"/>
        <w:ind w:hanging="0" w:left="0"/>
        <w:contextualSpacing w:val="false"/>
        <w:jc w:val="both"/>
        <w:outlineLvl w:val="0"/>
        <w:rPr>
          <w:sz w:val="24"/>
          <w:szCs w:val="24"/>
        </w:rPr>
      </w:pPr>
      <w:r>
        <w:rPr>
          <w:rFonts w:cs="Calibri"/>
          <w:sz w:val="24"/>
          <w:szCs w:val="24"/>
        </w:rPr>
        <w:t xml:space="preserve">1. W postępowaniu o udzielenie zamówienia publicznego komunikacja między Zamawiającym a Wykonawcami odbywa się przy użyciu Platformy e-Zamówienia, która jest dostępna pod adresem https://ezamowienia.gov.pl. 2. Korzystanie z Platformy e-Zamówienia jest bezpłatne. 3. Ofertę składa się pod rygorem nieważności w formie elektronicznej (opatrzonej kwalifikowanym podpisem elektronicznym) przy użyciu Platformy e-zamówienia, która jest dostępna pod adresem https://ezamowienia.gov.pl. Do oferty należy dołączyć Jednolity Europejski Dokument Zamówienia w formie elektronicznej (również pod rygorem nieważności). Ofertę stanowi Formularz ofertowy z Jednolitym Europejskim Dokumentem Zamówienia wraz ze wszystkimi załącznikami stanowiącymi jej integralną cześć. 4. Adres strony internetowej prowadzonego postępowania (link prowadzący bezpośrednio do widoku postępowania na Platformie e-Zamówienia https: https://ezamowienia.gov.pl/mp 5. Postępowanie można wyszukać również ze strony głównej Platformy e-Zamówienia (przycisk „Przeglądaj postępowania/konkursy”). 6. Identyfikator (ID) postępowania na Platformie e-Zamówienia. 7.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8. Przeglądanie i pobieranie publicznej treści dokumentacji postępowania nie wymaga posiadania konta na Platformie e-Zamówienia ani logowania. 9.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10.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11. 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 12.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13.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15. Wszystkie wysłane i odebrane w postępowaniu przez Wykonawcę wiadomości widoczne są po zalogowaniu w podglądzie postępowania w zakładce „Komunikacja”. 16. Maksymalny rozmiar plików przesyłanych za pośrednictwem „Formularzy do komunikacji” wynosi 150 MB (wielkość ta dotyczy plików przesyłanych jako załączniki do jednego formularza). 17. Minimalne wymagania techniczne dotyczące sprzętu używanego w celu korzystania z usług Platformy e-Zamówienia oraz informacje dotyczące specyfikacji połączenia określa Regulamin Platformy e-Zamówienia. 18.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19. Zamawiający dopuszcza komunikację za pomocą poczty elektronicznej na adres e-mail. 20. Za datę przekazania dokumentów, informacji i oświadczeń oraz ich cyfrowych odwzorowań przyjmuje się datę ich wpływu na Platformę e-Zamówienia lub datę i godzinę wpływu na serwer pocztowy Zamawiającego. </w:t>
      </w:r>
    </w:p>
    <w:p>
      <w:pPr>
        <w:pStyle w:val="ListParagraph"/>
        <w:keepNext w:val="true"/>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4" w:name="_Toc109123443"/>
      <w:r>
        <w:rPr>
          <w:rFonts w:cs="Calibri"/>
          <w:b/>
          <w:bCs/>
          <w:sz w:val="28"/>
          <w:szCs w:val="28"/>
        </w:rPr>
        <w:t>Osoby uprawnione do kontaktowania się z Wykonawcami</w:t>
      </w:r>
      <w:bookmarkEnd w:id="24"/>
    </w:p>
    <w:p>
      <w:pPr>
        <w:pStyle w:val="ListParagraph"/>
        <w:widowControl w:val="false"/>
        <w:numPr>
          <w:ilvl w:val="0"/>
          <w:numId w:val="10"/>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Osoba prowadząca postępowanie i odpowiedzialna z kontakt z Wykonawcami: </w:t>
      </w:r>
      <w:r>
        <w:rPr>
          <w:rFonts w:cs="Calibri"/>
          <w:b/>
          <w:bCs/>
          <w:sz w:val="24"/>
          <w:szCs w:val="24"/>
        </w:rPr>
        <w:t xml:space="preserve">Justyna Starek, 660283536, </w:t>
      </w:r>
      <w:hyperlink r:id="rId3">
        <w:r>
          <w:rPr>
            <w:rStyle w:val="Hyperlink"/>
            <w:rFonts w:cs="Calibri"/>
            <w:b/>
            <w:bCs/>
            <w:sz w:val="24"/>
            <w:szCs w:val="24"/>
          </w:rPr>
          <w:t>j.starek@spzozkw.pl</w:t>
        </w:r>
      </w:hyperlink>
      <w:r>
        <w:rPr>
          <w:rFonts w:cs="Calibri"/>
          <w:b/>
          <w:bCs/>
          <w:sz w:val="22"/>
          <w:szCs w:val="22"/>
        </w:rPr>
        <w:t xml:space="preserve"> </w:t>
      </w:r>
    </w:p>
    <w:p>
      <w:pPr>
        <w:pStyle w:val="ListParagraph"/>
        <w:widowControl w:val="false"/>
        <w:numPr>
          <w:ilvl w:val="0"/>
          <w:numId w:val="10"/>
        </w:numPr>
        <w:spacing w:lineRule="auto" w:line="312" w:before="0" w:after="0"/>
        <w:ind w:hanging="425" w:left="425"/>
        <w:contextualSpacing w:val="false"/>
        <w:jc w:val="both"/>
        <w:rPr>
          <w:rFonts w:ascii="Calibri" w:hAnsi="Calibri" w:cs="Calibri"/>
          <w:sz w:val="24"/>
          <w:szCs w:val="24"/>
        </w:rPr>
      </w:pPr>
      <w:r>
        <w:rPr>
          <w:rFonts w:cs="Calibri"/>
          <w:sz w:val="24"/>
          <w:szCs w:val="24"/>
        </w:rPr>
        <w:t>Jednocześnie Zamawiający informuje, że przepisy ustawy nie pozwalają na jakikolwiek inny kontakt – zarówno z Zamawiającym jak i osobami uprawnionymi do porozumiewania się z Wykonawcami – niż wskazany w SWZ. Oznacza to, że Zamawiający nie będzie udzielał wiążących odpowiedzi na pytania Wykonawcy, gdy ten zastosuje inne formy kontaktowania się z nim niż wskazane w SWZ. Wnioski o wyjaśnienie treści SWZ należy składać w trybie określonym w ustawie i opisanym w SWZ.</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5" w:name="_Toc109123444"/>
      <w:r>
        <w:rPr>
          <w:rFonts w:cs="Calibri"/>
          <w:b/>
          <w:bCs/>
          <w:sz w:val="28"/>
          <w:szCs w:val="28"/>
        </w:rPr>
        <w:t>Termin związania ofertą</w:t>
      </w:r>
      <w:bookmarkEnd w:id="25"/>
    </w:p>
    <w:p>
      <w:pPr>
        <w:pStyle w:val="ListParagraph"/>
        <w:widowControl w:val="false"/>
        <w:numPr>
          <w:ilvl w:val="0"/>
          <w:numId w:val="11"/>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Wykonawca jest związany ofertą od dnia upływu terminu składania ofert przez okres </w:t>
      </w:r>
      <w:r>
        <w:rPr>
          <w:rFonts w:cs="Calibri"/>
          <w:b/>
          <w:sz w:val="24"/>
          <w:szCs w:val="24"/>
        </w:rPr>
        <w:t xml:space="preserve">30 dni, </w:t>
      </w:r>
      <w:r>
        <w:rPr>
          <w:rFonts w:cs="Calibri"/>
          <w:sz w:val="24"/>
          <w:szCs w:val="24"/>
        </w:rPr>
        <w:t>tj. do dnia 16.04.2026r.</w:t>
      </w:r>
    </w:p>
    <w:p>
      <w:pPr>
        <w:pStyle w:val="ListParagraph"/>
        <w:widowControl w:val="false"/>
        <w:numPr>
          <w:ilvl w:val="0"/>
          <w:numId w:val="11"/>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wybiera najkorzystniejszą ofertą w terminie związania ofertą określonym w SWZ, z zastrzeżeniem ust. 3 poniżej.</w:t>
      </w:r>
    </w:p>
    <w:p>
      <w:pPr>
        <w:pStyle w:val="ListParagraph"/>
        <w:widowControl w:val="false"/>
        <w:numPr>
          <w:ilvl w:val="0"/>
          <w:numId w:val="11"/>
        </w:numPr>
        <w:spacing w:lineRule="auto" w:line="312" w:before="0" w:after="0"/>
        <w:ind w:hanging="425" w:left="425"/>
        <w:contextualSpacing w:val="false"/>
        <w:jc w:val="both"/>
        <w:rPr>
          <w:rFonts w:ascii="Calibri" w:hAnsi="Calibri" w:cs="Calibri"/>
          <w:sz w:val="24"/>
          <w:szCs w:val="24"/>
        </w:rPr>
      </w:pPr>
      <w:r>
        <w:rPr>
          <w:rFonts w:cs="Calibri"/>
          <w:sz w:val="24"/>
          <w:szCs w:val="24"/>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pPr>
        <w:pStyle w:val="ListParagraph"/>
        <w:widowControl w:val="false"/>
        <w:numPr>
          <w:ilvl w:val="0"/>
          <w:numId w:val="11"/>
        </w:numPr>
        <w:spacing w:lineRule="auto" w:line="312" w:before="0" w:after="0"/>
        <w:ind w:hanging="425" w:left="425"/>
        <w:contextualSpacing w:val="false"/>
        <w:jc w:val="both"/>
        <w:rPr>
          <w:rFonts w:ascii="Calibri" w:hAnsi="Calibri" w:cs="Calibri"/>
          <w:sz w:val="24"/>
          <w:szCs w:val="24"/>
        </w:rPr>
      </w:pPr>
      <w:r>
        <w:rPr>
          <w:rFonts w:cs="Calibri"/>
          <w:sz w:val="24"/>
          <w:szCs w:val="24"/>
        </w:rPr>
        <w:t>Przedłużenie terminu związania ofertą, o którym mowa w ust. 3, wymaga złożenia przez Wykonawcę pisemnego oświadczenia o wyrażeniu zgody na przedłużenie terminu związania ofertą.</w:t>
      </w:r>
    </w:p>
    <w:p>
      <w:pPr>
        <w:pStyle w:val="ListParagraph"/>
        <w:widowControl w:val="false"/>
        <w:numPr>
          <w:ilvl w:val="0"/>
          <w:numId w:val="11"/>
        </w:numPr>
        <w:spacing w:lineRule="auto" w:line="312" w:before="0" w:after="0"/>
        <w:ind w:hanging="425" w:left="425"/>
        <w:contextualSpacing w:val="false"/>
        <w:jc w:val="both"/>
        <w:rPr>
          <w:rFonts w:ascii="Calibri" w:hAnsi="Calibri" w:cs="Calibri"/>
          <w:sz w:val="24"/>
          <w:szCs w:val="24"/>
        </w:rPr>
      </w:pPr>
      <w:r>
        <w:rPr>
          <w:rFonts w:cs="Calibri"/>
          <w:sz w:val="24"/>
          <w:szCs w:val="24"/>
        </w:rPr>
        <w:t>W przypadku braku zgody, o której mowa w ust. 4, oferta podlega odrzuceniu, a Zamawiający zwraca się o wyrażenie takiej zgody do kolejnego Wykonawcy, którego oferta została najwyżej oceniona, chyba, że zachodzą przesłanki do unieważnienia postępowania.</w:t>
      </w:r>
    </w:p>
    <w:p>
      <w:pPr>
        <w:pStyle w:val="ListParagraph"/>
        <w:widowControl w:val="false"/>
        <w:spacing w:lineRule="auto" w:line="312" w:before="0" w:after="0"/>
        <w:ind w:hanging="425" w:left="425"/>
        <w:contextualSpacing w:val="false"/>
        <w:jc w:val="both"/>
        <w:rPr>
          <w:rFonts w:ascii="Calibri" w:hAnsi="Calibri" w:cs="Calibri"/>
          <w:sz w:val="24"/>
          <w:szCs w:val="24"/>
        </w:rPr>
      </w:pPr>
      <w:r>
        <w:rPr>
          <w:rFonts w:cs="Calibri"/>
          <w:sz w:val="24"/>
          <w:szCs w:val="24"/>
        </w:rPr>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6" w:name="_Toc109123445"/>
      <w:r>
        <w:rPr>
          <w:rFonts w:cs="Calibri"/>
          <w:b/>
          <w:bCs/>
          <w:sz w:val="28"/>
          <w:szCs w:val="28"/>
        </w:rPr>
        <w:t>Opis sposobu przygotowania oferty</w:t>
      </w:r>
      <w:bookmarkEnd w:id="26"/>
      <w:r>
        <w:rPr>
          <w:rFonts w:cs="Calibri"/>
          <w:b/>
          <w:bCs/>
          <w:sz w:val="28"/>
          <w:szCs w:val="28"/>
        </w:rPr>
        <w:t xml:space="preserve"> </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bookmarkStart w:id="27" w:name="_Hlk72744295"/>
      <w:bookmarkEnd w:id="27"/>
      <w:r>
        <w:rPr>
          <w:rFonts w:cs="Calibri"/>
          <w:sz w:val="24"/>
          <w:szCs w:val="24"/>
        </w:rPr>
        <w:t xml:space="preserve">Do oferty, sporządzonej w oparciu o </w:t>
      </w:r>
      <w:r>
        <w:rPr>
          <w:rFonts w:cs="Calibri"/>
          <w:i/>
          <w:iCs/>
          <w:color w:val="004289"/>
          <w:sz w:val="24"/>
          <w:szCs w:val="24"/>
        </w:rPr>
        <w:t>zał. nr 1 do SWZ Formularz ofertowy</w:t>
      </w:r>
      <w:r>
        <w:rPr>
          <w:rFonts w:cs="Calibri"/>
          <w:color w:val="004289"/>
          <w:sz w:val="24"/>
          <w:szCs w:val="24"/>
        </w:rPr>
        <w:t xml:space="preserve"> </w:t>
      </w:r>
      <w:r>
        <w:rPr>
          <w:rFonts w:cs="Calibri"/>
          <w:sz w:val="24"/>
          <w:szCs w:val="24"/>
        </w:rPr>
        <w:t>należy dołączyć:</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 xml:space="preserve">oświadczenie, o którym mowa w art. 125 ust. 1 ustawy Pzp, sporządzone w oparciu o </w:t>
      </w:r>
      <w:bookmarkStart w:id="28" w:name="_Hlk116459230"/>
      <w:r>
        <w:rPr>
          <w:rFonts w:cs="Calibri"/>
          <w:i/>
          <w:iCs/>
          <w:color w:val="004289"/>
          <w:sz w:val="24"/>
          <w:szCs w:val="24"/>
        </w:rPr>
        <w:t>zał. nr 2 do SWZ</w:t>
      </w:r>
      <w:bookmarkEnd w:id="28"/>
      <w:r>
        <w:rPr>
          <w:rFonts w:cs="Calibri"/>
          <w:sz w:val="24"/>
          <w:szCs w:val="24"/>
        </w:rPr>
        <w:t>;</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pełnomocnictwo upoważniające do złożenia oferty, jeśli ofertę składa pełnomocnik Wykonawcy (w przypadku, gdy pełnomocnictwo nie wynika z dokumentów rejestrowych Wykonawcy);</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dokument upoważniający pełnomocnika do reprezentowania w postępowaniu Wykonawców wspólnie ubiegających się o udzielenie zamówienia - dotyczy ofert składanych przez Wykonawców wspólnie ubiegających się o udzielenie zamówienia (konsorcjum, spółka cywilna);</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iCs/>
          <w:sz w:val="24"/>
          <w:szCs w:val="24"/>
        </w:rPr>
        <w:t xml:space="preserve">oświadczenie składane na podstawie art. 117 ust. 4 ustawy Pzp o podziale zadań pomiędzy Wykonawcami wspólnie ubiegającymi się o udzielenie zamówienia sporządzone w oparciu </w:t>
      </w:r>
      <w:r>
        <w:rPr>
          <w:rFonts w:cs="Calibri"/>
          <w:sz w:val="24"/>
          <w:szCs w:val="24"/>
        </w:rPr>
        <w:t>o</w:t>
      </w:r>
      <w:r>
        <w:rPr>
          <w:rFonts w:cs="Calibri"/>
          <w:i/>
          <w:iCs/>
          <w:color w:val="004289"/>
          <w:sz w:val="24"/>
          <w:szCs w:val="24"/>
        </w:rPr>
        <w:t xml:space="preserve"> zał. nr 5 do SWZ</w:t>
      </w:r>
      <w:r>
        <w:rPr>
          <w:rFonts w:cs="Calibri"/>
          <w:sz w:val="24"/>
          <w:szCs w:val="24"/>
        </w:rPr>
        <w:t xml:space="preserve"> (w przypadku wspólnego ubiegania się Wykonawców o udzielenie zamówienia);</w:t>
      </w:r>
    </w:p>
    <w:p>
      <w:pPr>
        <w:pStyle w:val="ListParagraph"/>
        <w:widowControl w:val="false"/>
        <w:spacing w:lineRule="auto" w:line="312" w:before="0" w:after="0"/>
        <w:ind w:left="850"/>
        <w:contextualSpacing w:val="false"/>
        <w:jc w:val="both"/>
        <w:rPr>
          <w:rFonts w:ascii="Calibri" w:hAnsi="Calibri" w:cs="Calibri"/>
          <w:sz w:val="24"/>
          <w:szCs w:val="24"/>
        </w:rPr>
      </w:pPr>
      <w:r>
        <w:rPr>
          <w:rFonts w:cs="Calibri"/>
          <w:sz w:val="24"/>
          <w:szCs w:val="24"/>
        </w:rPr>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Oświadczenie, o którym mowa w art. 125 ust. 1 ustawy Pzp, aktualne na dzień składania ofert stanowi wstępne potwierdzenie, że Wykonawca spełnia warunki udziału w postępowaniu oraz nie podlega wykluczeniu.</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Każdy z Wykonawców może złożyć tylko jedną ofertę. Złożenie większej liczby ofert lub oferty zawierającej propozycje wariantowe podlegać będzie odrzuceniu.</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Dokumenty składane przez Wykonawcę powinny być w języku polskim, chyba że w SWZ dopuszczono inaczej. W przypadku załączenia dokumentów sporządzonych w innym języku niż dopuszczony, Wykonawca zobowiązany jest załączyć tłumaczenie na język polski.</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Zamawiający wymaga, aby w przypadku powierzenia części zamówienia podwykonawcom, Wykonawca wskazał w </w:t>
      </w:r>
      <w:r>
        <w:rPr>
          <w:rFonts w:cs="Calibri"/>
          <w:i/>
          <w:iCs/>
          <w:color w:val="004289"/>
          <w:sz w:val="24"/>
          <w:szCs w:val="24"/>
        </w:rPr>
        <w:t>oświadczeniu, o którym mowa w art. 125 ust. 1 ustawy Pzp</w:t>
      </w:r>
      <w:r>
        <w:rPr>
          <w:rFonts w:cs="Calibri"/>
          <w:sz w:val="24"/>
          <w:szCs w:val="24"/>
        </w:rPr>
        <w:t xml:space="preserve">, sporządzonym w oparciu o </w:t>
      </w:r>
      <w:r>
        <w:rPr>
          <w:rFonts w:cs="Calibri"/>
          <w:i/>
          <w:iCs/>
          <w:color w:val="004289"/>
          <w:sz w:val="24"/>
          <w:szCs w:val="24"/>
        </w:rPr>
        <w:t>zał. nr 2 do SWZ</w:t>
      </w:r>
      <w:r>
        <w:rPr>
          <w:rFonts w:cs="Calibri"/>
          <w:i/>
          <w:iCs/>
          <w:sz w:val="24"/>
          <w:szCs w:val="24"/>
        </w:rPr>
        <w:t>,</w:t>
      </w:r>
      <w:r>
        <w:rPr>
          <w:rFonts w:cs="Calibri"/>
          <w:sz w:val="24"/>
          <w:szCs w:val="24"/>
        </w:rPr>
        <w:t xml:space="preserve"> części zamówienia, których wykonanie zawierza powierzyć podwykonawcom oraz podał nazwy (firmy) tych podwykonawców (o ile są mu wiadome na etapie składania ofert).</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Oferta oraz oświadczenia i przedmiotowe środki dowodowe dołączane do oferty, wskazane w ust. 1 powyżej, powinny być:</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sporządzone, o ile to możliwe, na podstawie załączników niniejszej SWZ w języku polskim;</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złożone przy użyciu środków komunikacji elektronicznej tzn. za pośrednictwem platformy;</w:t>
      </w:r>
    </w:p>
    <w:p>
      <w:pPr>
        <w:pStyle w:val="ListParagraph"/>
        <w:widowControl w:val="false"/>
        <w:numPr>
          <w:ilvl w:val="1"/>
          <w:numId w:val="6"/>
        </w:numPr>
        <w:spacing w:lineRule="auto" w:line="312" w:before="0" w:after="0"/>
        <w:ind w:hanging="425" w:left="850"/>
        <w:contextualSpacing w:val="false"/>
        <w:jc w:val="both"/>
        <w:rPr>
          <w:rFonts w:ascii="Calibri" w:hAnsi="Calibri" w:cs="Calibri"/>
          <w:sz w:val="24"/>
          <w:szCs w:val="24"/>
        </w:rPr>
      </w:pPr>
      <w:r>
        <w:rPr>
          <w:rFonts w:cs="Calibri"/>
          <w:sz w:val="24"/>
          <w:szCs w:val="24"/>
        </w:rPr>
        <w:t>podpisane kwalifikowanym podpisem elektronicznym lub podpisem zaufanym lub podpisem osobistym przez osobę/osoby upoważnioną/upoważnione.</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W procesie składania oferty w tym przedmiotowych środków dowodowych na platformie, kwalifikowany podpis elektroniczny lub podpis zaufany lub podpis osobisty Wykonawca składa bezpośrednio na dokumencie, który następnie przesyła do systemu.</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Pełnomocnictwo do złożenia oferty musi być złożone w oryginale w takiej samej formie, jak składana oferta (tj. w formie elektronicznej lub postaci elektronicznej opatrzonej podpisem zaufanym lub podpisem osobistym). Dopuszcza się także złożenie pełnomocnictwa jako cyfrowego odwzorowania dokumentu w postaci papierowej (skan pełnomocnictwa sporządzonego uprzednio w formie pisemnej) pod warunkiem poświadczenia zgodności cyfrowego odwzorowania z dokumentem w postaci papierowej przez mocodawcę lub notariusza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konkursu (Dz. U. 2020 poz. 2452). Cyfrowe odwzorowanie pełnomocnictwa sporządzonego w postaci papierowej nie może być uwierzytelnione przez upełnomocnionego.</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Podpisy kwalifikowane wykorzystywane przez Wykonawców do podpisywania wszelkich plików muszą spełniać rozporządzenie Parlamentu Europejskiego i Rady </w:t>
      </w:r>
      <w:r>
        <w:rPr>
          <w:rFonts w:cs="Calibri"/>
          <w:bCs/>
          <w:sz w:val="24"/>
          <w:szCs w:val="24"/>
        </w:rPr>
        <w:t>(UE) nr 910/2014 z dnia 23 lipca 2014 roku w sprawie identyfikacji elektronicznej i usług zaufania w odniesieniu do transakcji elektronicznych na rynku wewnętrznym oraz uchylające dyrektywę 1999/93/WE (Dz.U. UE.L. 2014 r. nr 257 poz. 73, z późn. zm.), zw. również rozporządzeniem eIDAS</w:t>
      </w:r>
      <w:r>
        <w:rPr>
          <w:rFonts w:cs="Calibri"/>
          <w:sz w:val="24"/>
          <w:szCs w:val="24"/>
        </w:rPr>
        <w:t xml:space="preserve"> – od 1 lipca 2016 roku.</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W przypadku wykorzystania formatu podpisu XAdES zewnętrzny Zamawiający wymaga dołączenia odpowiedniej ilości plików tj. podpisywanych plików z danymi oraz plików podpisu w formacie XAdES.</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Zgodnie z definicją dokumentu elektronicznego z art. 3 ust. 2 ustawy z dnia 17 lutego 2005 r. o informatyzacji działalności podmiotów realizujących zadania publiczne (t.j. Dz. U. z 2021r. poz. 2070, z późn.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Poprzez oryginał należy rozumieć dokument podpisany kwalifikowanym podpisem elektronicznym lub podpisem zaufanym lub podpisem osobistym przez osobę/osoby upoważnioną/upoważnione. Poświadczenie za zgodność z oryginałem następuje w formie elektronicznej podpisanej kwalifikowanym podpisem elektronicznym lub podpisem zaufanym lub podpisem osobistym przez osobę/osoby upoważnioną/upoważnione.</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Maksymalny rozmiar jednego pliku przesyłanego za pośrednictwem dedykowanych formularzy do: złożenia, zmiany, wycofania oferty wynosi 150 MB natomiast przy komunikacji wielkość pliku to maksymalnie 500 MB.</w:t>
      </w:r>
    </w:p>
    <w:p>
      <w:pPr>
        <w:pStyle w:val="ListParagraph"/>
        <w:widowControl w:val="false"/>
        <w:numPr>
          <w:ilvl w:val="0"/>
          <w:numId w:val="6"/>
        </w:numPr>
        <w:spacing w:lineRule="auto" w:line="312" w:before="0" w:after="0"/>
        <w:ind w:hanging="425" w:left="425"/>
        <w:contextualSpacing w:val="false"/>
        <w:jc w:val="both"/>
        <w:rPr>
          <w:rFonts w:ascii="Calibri" w:hAnsi="Calibri" w:cs="Calibri"/>
          <w:sz w:val="24"/>
          <w:szCs w:val="24"/>
        </w:rPr>
      </w:pPr>
      <w:r>
        <w:rPr>
          <w:rFonts w:cs="Calibri"/>
          <w:sz w:val="24"/>
          <w:szCs w:val="24"/>
        </w:rPr>
        <w:t>Zgodnie z art. 18 ust. 3 ustawy Pzp, nie ujawnia się informacji stanowiących tajemnicę przedsiębiorstwa, w rozumieniu przepisów ustawy z dnia 16 kwietnia 1993 r. o zwalczaniu nieuczciwej konkurencji (t.j. Dz. U. z 2022 r., poz. 1233, z późn. zm.),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29" w:name="_Toc109123446"/>
      <w:bookmarkStart w:id="30" w:name="_Hlk727442951"/>
      <w:bookmarkEnd w:id="30"/>
      <w:r>
        <w:rPr>
          <w:rFonts w:cs="Calibri"/>
          <w:b/>
          <w:bCs/>
          <w:sz w:val="28"/>
          <w:szCs w:val="28"/>
        </w:rPr>
        <w:t>Sposób oraz termin składania ofert i termin otwarcia ofert</w:t>
      </w:r>
      <w:bookmarkEnd w:id="29"/>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Ofertę wraz z wszystkimi wymaganymi w SWZ dokumentami należy umieścić na platformie do dnia </w:t>
      </w:r>
      <w:r>
        <w:rPr>
          <w:rFonts w:cs="Calibri"/>
          <w:b/>
          <w:bCs/>
          <w:sz w:val="24"/>
          <w:szCs w:val="24"/>
        </w:rPr>
        <w:t xml:space="preserve">18.03.2026 roku </w:t>
      </w:r>
      <w:r>
        <w:rPr>
          <w:rFonts w:cs="Calibri"/>
          <w:sz w:val="24"/>
          <w:szCs w:val="24"/>
        </w:rPr>
        <w:t>do</w:t>
      </w:r>
      <w:r>
        <w:rPr>
          <w:rFonts w:cs="Calibri"/>
          <w:b/>
          <w:bCs/>
          <w:sz w:val="24"/>
          <w:szCs w:val="24"/>
        </w:rPr>
        <w:t xml:space="preserve"> godz.10;00, </w:t>
      </w:r>
      <w:r>
        <w:rPr>
          <w:rFonts w:cs="Calibri"/>
          <w:sz w:val="24"/>
          <w:szCs w:val="24"/>
        </w:rPr>
        <w:t>otwarcie nastąpi dnia</w:t>
      </w:r>
      <w:r>
        <w:rPr>
          <w:rFonts w:cs="Calibri"/>
          <w:b/>
          <w:bCs/>
          <w:sz w:val="24"/>
          <w:szCs w:val="24"/>
        </w:rPr>
        <w:t xml:space="preserve"> 18.03.2026 godz10:15.</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bookmarkStart w:id="31" w:name="_Hlk72745207"/>
      <w:bookmarkEnd w:id="31"/>
      <w:r>
        <w:rPr>
          <w:rFonts w:cs="Calibri"/>
          <w:sz w:val="24"/>
          <w:szCs w:val="24"/>
        </w:rPr>
        <w:t>Do oferty należy dołączyć wszystkie wymagane w SWZ dokumenty.</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Po wypełnieniu formularza składania oferty i dołączenia wszystkich wymaganych załączników należy kliknąć przycisk „</w:t>
      </w:r>
      <w:r>
        <w:rPr>
          <w:rFonts w:cs="Calibri"/>
          <w:i/>
          <w:iCs/>
          <w:color w:val="004289"/>
          <w:sz w:val="24"/>
          <w:szCs w:val="24"/>
        </w:rPr>
        <w:t>Przejdź do podsumowania</w:t>
      </w:r>
      <w:r>
        <w:rPr>
          <w:rFonts w:cs="Calibri"/>
          <w:sz w:val="24"/>
          <w:szCs w:val="24"/>
        </w:rPr>
        <w:t>”.</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Oferta składana elektronicznie musi zostać podpisana elektronicznym podpisem kwalifikowanym, podpisem zaufanym lub podpisem osobistym zgodnie z zapisami znajdującymi się w rozdz. IX SWZ.</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Za datę złożenia oferty przyjmuje się datę jej przekazania na platformie w drugim kroku składania oferty poprzez kliknięcie przycisku “</w:t>
      </w:r>
      <w:r>
        <w:rPr>
          <w:rFonts w:cs="Calibri"/>
          <w:i/>
          <w:iCs/>
          <w:color w:val="004289"/>
          <w:sz w:val="24"/>
          <w:szCs w:val="24"/>
        </w:rPr>
        <w:t>Złóż ofertę</w:t>
      </w:r>
      <w:r>
        <w:rPr>
          <w:rFonts w:cs="Calibri"/>
          <w:sz w:val="24"/>
          <w:szCs w:val="24"/>
        </w:rPr>
        <w:t>” i wyświetlenie się komunikatu, że oferta została zaszyfrowana i złożona.</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Wykonawca może wycofać lub zmienić ofertę jedynie przed upływem terminu składania ofert.</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Otwarcie ofert nastąpi niezwłocznie po upływie terminu składania ofert, nie później niż następnego dnia po dniu, w którym upłynął termin składania ofert.</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poinformuje o zmianie terminu otwarcia ofert na stronie internetowej prowadzonego postępowania.</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najpóźniej przed otwarciem ofert, udostępnia na stronie internetowej prowadzonego postępowania informację o kwocie, jaką zamierza przeznaczyć na sfinansowanie zamówienia.</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niezwłocznie po otwarciu ofert, udostępnia na stronie internetowej prowadzonego postępowania informacje o:</w:t>
      </w:r>
    </w:p>
    <w:p>
      <w:pPr>
        <w:pStyle w:val="ListParagraph"/>
        <w:widowControl w:val="false"/>
        <w:numPr>
          <w:ilvl w:val="1"/>
          <w:numId w:val="7"/>
        </w:numPr>
        <w:spacing w:lineRule="auto" w:line="312" w:before="0" w:after="0"/>
        <w:ind w:hanging="425" w:left="850"/>
        <w:contextualSpacing w:val="false"/>
        <w:jc w:val="both"/>
        <w:rPr>
          <w:rFonts w:ascii="Calibri" w:hAnsi="Calibri" w:cs="Calibri"/>
          <w:sz w:val="24"/>
          <w:szCs w:val="24"/>
        </w:rPr>
      </w:pPr>
      <w:r>
        <w:rPr>
          <w:rFonts w:cs="Calibri"/>
          <w:sz w:val="24"/>
          <w:szCs w:val="24"/>
        </w:rPr>
        <w:t>nazwach albo imionach i nazwiskach oraz siedzibach lub miejscach prowadzonej działalności gospodarczej albo miejscach zamieszkania Wykonawców, których oferty zostały otwarte;</w:t>
      </w:r>
    </w:p>
    <w:p>
      <w:pPr>
        <w:pStyle w:val="ListParagraph"/>
        <w:widowControl w:val="false"/>
        <w:numPr>
          <w:ilvl w:val="1"/>
          <w:numId w:val="7"/>
        </w:numPr>
        <w:spacing w:lineRule="auto" w:line="312" w:before="0" w:after="0"/>
        <w:ind w:hanging="425" w:left="850"/>
        <w:contextualSpacing w:val="false"/>
        <w:jc w:val="both"/>
        <w:rPr>
          <w:rFonts w:ascii="Calibri" w:hAnsi="Calibri" w:cs="Calibri"/>
          <w:sz w:val="24"/>
          <w:szCs w:val="24"/>
        </w:rPr>
      </w:pPr>
      <w:r>
        <w:rPr>
          <w:rFonts w:cs="Calibri"/>
          <w:sz w:val="24"/>
          <w:szCs w:val="24"/>
        </w:rPr>
        <w:t>cenach zawartych w ofertach.</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Informacje zostaną opublikowane na stronie postępowania na platformie w sekcji ,,</w:t>
      </w:r>
      <w:r>
        <w:rPr>
          <w:rFonts w:cs="Calibri"/>
          <w:i/>
          <w:iCs/>
          <w:color w:val="004289"/>
          <w:sz w:val="24"/>
          <w:szCs w:val="24"/>
        </w:rPr>
        <w:t>Komunikaty</w:t>
      </w:r>
      <w:r>
        <w:rPr>
          <w:rFonts w:cs="Calibri"/>
          <w:sz w:val="24"/>
          <w:szCs w:val="24"/>
        </w:rPr>
        <w:t>”.</w:t>
      </w:r>
    </w:p>
    <w:p>
      <w:pPr>
        <w:pStyle w:val="ListParagraph"/>
        <w:widowControl w:val="false"/>
        <w:numPr>
          <w:ilvl w:val="0"/>
          <w:numId w:val="7"/>
        </w:numPr>
        <w:spacing w:lineRule="auto" w:line="312" w:before="0" w:after="0"/>
        <w:ind w:hanging="425" w:left="425"/>
        <w:contextualSpacing w:val="false"/>
        <w:jc w:val="both"/>
        <w:rPr>
          <w:rFonts w:ascii="Calibri" w:hAnsi="Calibri" w:cs="Calibri"/>
          <w:sz w:val="24"/>
          <w:szCs w:val="24"/>
        </w:rPr>
      </w:pPr>
      <w:r>
        <w:rPr>
          <w:rFonts w:cs="Calibri"/>
          <w:sz w:val="24"/>
          <w:szCs w:val="24"/>
        </w:rPr>
        <w:t>W przypadku ofert, które podlegają negocjacjom, Zamawiający udostępnia informacje, o których mowa w ust. 12 pkt b, niezwłocznie po otwarciu ofert ostatecznych albo unieważnieniu postępowania.</w:t>
      </w:r>
    </w:p>
    <w:p>
      <w:pPr>
        <w:pStyle w:val="ListParagraph"/>
        <w:widowControl w:val="false"/>
        <w:numPr>
          <w:ilvl w:val="0"/>
          <w:numId w:val="7"/>
        </w:numPr>
        <w:spacing w:lineRule="auto" w:line="312" w:before="0" w:after="160"/>
        <w:ind w:hanging="425" w:left="425"/>
        <w:contextualSpacing w:val="false"/>
        <w:jc w:val="both"/>
        <w:rPr>
          <w:rFonts w:ascii="Calibri" w:hAnsi="Calibri" w:cs="Calibri"/>
          <w:sz w:val="24"/>
          <w:szCs w:val="24"/>
        </w:rPr>
      </w:pPr>
      <w:r>
        <w:rPr>
          <w:rFonts w:cs="Calibri"/>
          <w:sz w:val="24"/>
          <w:szCs w:val="24"/>
        </w:rPr>
        <w:t>Zgodnie z ustawą Pzp Zamawiający nie przewiduje przeprowadzenia sesji otwarcia ofert w sposób jawny z udziałem Wykonawców lub transmitowania sesji otwarcia za pośrednictwem elektronicznych narzędzi do przekazu wideo on-line.</w:t>
      </w:r>
    </w:p>
    <w:p>
      <w:pPr>
        <w:pStyle w:val="ListParagraph"/>
        <w:widowControl w:val="false"/>
        <w:numPr>
          <w:ilvl w:val="0"/>
          <w:numId w:val="1"/>
        </w:numPr>
        <w:spacing w:lineRule="auto" w:line="312" w:before="240" w:after="120"/>
        <w:ind w:hanging="567" w:left="0"/>
        <w:contextualSpacing/>
        <w:jc w:val="both"/>
        <w:outlineLvl w:val="0"/>
        <w:rPr>
          <w:rFonts w:ascii="Calibri" w:hAnsi="Calibri" w:cs="Calibri"/>
          <w:b/>
          <w:bCs/>
          <w:sz w:val="28"/>
          <w:szCs w:val="28"/>
        </w:rPr>
      </w:pPr>
      <w:bookmarkStart w:id="32" w:name="_Toc109123447"/>
      <w:bookmarkStart w:id="33" w:name="_Hlk727452071"/>
      <w:bookmarkEnd w:id="33"/>
      <w:r>
        <w:rPr>
          <w:rFonts w:cs="Calibri"/>
          <w:b/>
          <w:bCs/>
          <w:sz w:val="28"/>
          <w:szCs w:val="28"/>
        </w:rPr>
        <w:t>Podstawy wykluczenia</w:t>
      </w:r>
      <w:bookmarkEnd w:id="32"/>
    </w:p>
    <w:p>
      <w:pPr>
        <w:pStyle w:val="ListParagraph"/>
        <w:widowControl w:val="false"/>
        <w:numPr>
          <w:ilvl w:val="0"/>
          <w:numId w:val="13"/>
        </w:numPr>
        <w:spacing w:lineRule="auto" w:line="312" w:before="0" w:after="0"/>
        <w:ind w:hanging="425" w:left="425"/>
        <w:contextualSpacing w:val="false"/>
        <w:jc w:val="both"/>
        <w:rPr>
          <w:rFonts w:ascii="Calibri" w:hAnsi="Calibri" w:cs="Calibri"/>
          <w:sz w:val="24"/>
          <w:szCs w:val="24"/>
        </w:rPr>
      </w:pPr>
      <w:r>
        <w:rPr>
          <w:rFonts w:cs="Calibri"/>
          <w:sz w:val="24"/>
          <w:szCs w:val="24"/>
        </w:rPr>
        <w:t>Z postępowania o udzielenie zamówienia wyklucza się, z zastrzeżeniem art. 110 ust. 2 ustawy Pzp, Wykonawcę, wobec którego zachodzą przesłanki wskazane w art. 108 ust. 1 ustawy Pzp.</w:t>
      </w:r>
    </w:p>
    <w:p>
      <w:pPr>
        <w:pStyle w:val="ListParagraph"/>
        <w:widowControl w:val="false"/>
        <w:numPr>
          <w:ilvl w:val="0"/>
          <w:numId w:val="13"/>
        </w:numPr>
        <w:spacing w:lineRule="auto" w:line="312" w:before="0" w:after="0"/>
        <w:ind w:hanging="425" w:left="425"/>
        <w:contextualSpacing w:val="false"/>
        <w:jc w:val="both"/>
        <w:rPr>
          <w:rFonts w:ascii="Calibri" w:hAnsi="Calibri" w:cs="Calibri"/>
          <w:sz w:val="24"/>
          <w:szCs w:val="24"/>
        </w:rPr>
      </w:pPr>
      <w:r>
        <w:rPr>
          <w:rFonts w:cs="Calibri"/>
          <w:sz w:val="24"/>
          <w:szCs w:val="24"/>
        </w:rPr>
        <w:t>Ponadto z postępowania o udzielenie zamówienia wyklucza się, Wykonawcę, wobec którego zachodzą przesłanki określone w art. 7 ust. 1 ustawy z dnia 13 kwietnia 2022 r. o szczególnych rozwiązaniach w zakresie przeciwdziałania wspierania agresji na Ukrainę oraz służących ochronie bezpieczeństwa narodowego (t.j. Dz.U z 2022 r. poz. 835, z późn. zm.), z zastrzeżeniem art. 7 ust. 2 tejże ustawy.</w:t>
      </w:r>
    </w:p>
    <w:p>
      <w:pPr>
        <w:pStyle w:val="ListParagraph"/>
        <w:widowControl w:val="false"/>
        <w:numPr>
          <w:ilvl w:val="0"/>
          <w:numId w:val="13"/>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poucza ponadto, że osoba lub podmiot podlegające wykluczeniu na podstawie art. 7 ust. 1 ww. ustawy, które w okresie tego wykluczenia ubiegają się o udzielenie zamówienia publicznego lub biorą udział w postępowaniu o udzielenie zamówienia publicznego podlegają karze pieniężnej do 20 000 000 zł nakładanej przez Prezesa Urzędu Zamówień Publicznych.</w:t>
      </w:r>
    </w:p>
    <w:p>
      <w:pPr>
        <w:pStyle w:val="ListParagraph"/>
        <w:widowControl w:val="false"/>
        <w:numPr>
          <w:ilvl w:val="0"/>
          <w:numId w:val="13"/>
        </w:numPr>
        <w:spacing w:lineRule="auto" w:line="312" w:before="0" w:after="0"/>
        <w:ind w:hanging="425" w:left="425"/>
        <w:contextualSpacing w:val="false"/>
        <w:jc w:val="both"/>
        <w:rPr>
          <w:rFonts w:ascii="Calibri" w:hAnsi="Calibri" w:cs="Calibri"/>
          <w:sz w:val="24"/>
          <w:szCs w:val="24"/>
        </w:rPr>
      </w:pPr>
      <w:r>
        <w:rPr>
          <w:rFonts w:cs="Calibri"/>
          <w:sz w:val="24"/>
          <w:szCs w:val="24"/>
        </w:rPr>
        <w:t>Wykonawca może zostać wykluczony przez Zamawiającego na każdym etapie postępowania o udzielenie zamówienia.</w:t>
      </w:r>
    </w:p>
    <w:p>
      <w:pPr>
        <w:pStyle w:val="ListParagraph"/>
        <w:widowControl w:val="false"/>
        <w:spacing w:lineRule="auto" w:line="312" w:before="0" w:after="0"/>
        <w:ind w:hanging="425" w:left="425"/>
        <w:contextualSpacing w:val="false"/>
        <w:jc w:val="both"/>
        <w:rPr>
          <w:rFonts w:ascii="Calibri" w:hAnsi="Calibri" w:cs="Calibri"/>
          <w:sz w:val="24"/>
          <w:szCs w:val="24"/>
        </w:rPr>
      </w:pPr>
      <w:r>
        <w:rPr>
          <w:rFonts w:cs="Calibri"/>
          <w:sz w:val="24"/>
          <w:szCs w:val="24"/>
        </w:rPr>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34" w:name="_Toc109123448"/>
      <w:r>
        <w:rPr>
          <w:rFonts w:cs="Calibri"/>
          <w:b/>
          <w:bCs/>
          <w:sz w:val="28"/>
          <w:szCs w:val="28"/>
        </w:rPr>
        <w:t>Informacja o warunkach udziału w postępowaniu i niepodleganiu wykluczeniu oraz podmiotowych środkach dowodowych</w:t>
      </w:r>
      <w:bookmarkEnd w:id="34"/>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O udzielenie zamówienia mogą ubiegać się Wykonawcy, którzy nie podlegają wykluczeniu zgodnie ze wskazaniami określonymi w rozdziale XI SWZ, oraz spełniają określone przez Zamawiającego warunki udziału w postępowaniu.</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O udzielenie zamówienia mogą ubiegać się Wykonawcy, którzy spełniają warunki dotyczące:</w:t>
      </w:r>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zdolności do występowania w obrocie gospodarczym:</w:t>
      </w:r>
    </w:p>
    <w:p>
      <w:pPr>
        <w:pStyle w:val="ListParagraph"/>
        <w:widowControl w:val="false"/>
        <w:spacing w:lineRule="auto" w:line="312" w:before="0" w:after="0"/>
        <w:ind w:firstLine="1" w:left="850"/>
        <w:contextualSpacing w:val="false"/>
        <w:jc w:val="both"/>
        <w:rPr>
          <w:rFonts w:ascii="Calibri" w:hAnsi="Calibri" w:cs="Calibri"/>
          <w:sz w:val="24"/>
          <w:szCs w:val="24"/>
        </w:rPr>
      </w:pPr>
      <w:bookmarkStart w:id="35" w:name="_Hlk72755668"/>
      <w:r>
        <w:rPr>
          <w:rFonts w:cs="Calibri"/>
          <w:b/>
          <w:bCs/>
          <w:sz w:val="24"/>
          <w:szCs w:val="24"/>
        </w:rPr>
        <w:t>Zamawiający nie określa warunków udziału w postępowaniu w powyższym zakresie</w:t>
      </w:r>
      <w:r>
        <w:rPr>
          <w:rFonts w:cs="Calibri"/>
          <w:sz w:val="24"/>
          <w:szCs w:val="24"/>
        </w:rPr>
        <w:t>.</w:t>
      </w:r>
      <w:bookmarkEnd w:id="35"/>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uprawnień do prowadzenia określonej działalności gospodarczej lub zawodowej, o ile wynika to z odrębnych przepisów:</w:t>
      </w:r>
    </w:p>
    <w:p>
      <w:pPr>
        <w:pStyle w:val="ListParagraph"/>
        <w:widowControl w:val="false"/>
        <w:spacing w:lineRule="auto" w:line="312" w:before="0" w:after="0"/>
        <w:ind w:firstLine="1" w:left="850"/>
        <w:contextualSpacing w:val="false"/>
        <w:jc w:val="both"/>
        <w:rPr>
          <w:rFonts w:cs="Calibri"/>
          <w:b/>
          <w:bCs/>
          <w:sz w:val="24"/>
          <w:szCs w:val="24"/>
        </w:rPr>
      </w:pPr>
      <w:r>
        <w:rPr>
          <w:rFonts w:cs="Calibri"/>
          <w:b/>
          <w:bCs/>
          <w:sz w:val="24"/>
          <w:szCs w:val="24"/>
        </w:rPr>
        <w:t xml:space="preserve">Zamawiający </w:t>
      </w:r>
      <w:bookmarkStart w:id="36" w:name="_Hlk140577475"/>
      <w:r>
        <w:rPr>
          <w:rFonts w:cs="Calibri"/>
          <w:b/>
          <w:bCs/>
          <w:sz w:val="24"/>
          <w:szCs w:val="24"/>
        </w:rPr>
        <w:t>nie określa warunków udziału w postępowaniu w powyższym zakresie.</w:t>
      </w:r>
      <w:bookmarkEnd w:id="36"/>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sytuacji ekonomicznej lub finansowej:</w:t>
      </w:r>
    </w:p>
    <w:p>
      <w:pPr>
        <w:pStyle w:val="ListParagraph"/>
        <w:widowControl w:val="false"/>
        <w:spacing w:lineRule="auto" w:line="312" w:before="0" w:after="0"/>
        <w:ind w:firstLine="1" w:left="850"/>
        <w:contextualSpacing w:val="false"/>
        <w:jc w:val="both"/>
        <w:rPr>
          <w:rFonts w:ascii="Calibri" w:hAnsi="Calibri" w:cs="Calibri"/>
          <w:sz w:val="24"/>
          <w:szCs w:val="24"/>
        </w:rPr>
      </w:pPr>
      <w:r>
        <w:rPr>
          <w:rFonts w:cs="Calibri"/>
          <w:b/>
          <w:bCs/>
          <w:sz w:val="24"/>
          <w:szCs w:val="24"/>
        </w:rPr>
        <w:t>Zamawiający nie określa warunków udziału w postępowaniu w powyższym zakresie</w:t>
      </w:r>
      <w:r>
        <w:rPr>
          <w:rFonts w:cs="Calibri"/>
          <w:sz w:val="24"/>
          <w:szCs w:val="24"/>
        </w:rPr>
        <w:t>.</w:t>
      </w:r>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zdolności technicznej lub zawodowej</w:t>
      </w:r>
    </w:p>
    <w:p>
      <w:pPr>
        <w:pStyle w:val="ListParagraph"/>
        <w:widowControl w:val="false"/>
        <w:spacing w:lineRule="auto" w:line="312" w:before="0" w:after="0"/>
        <w:ind w:firstLine="1" w:left="850"/>
        <w:contextualSpacing w:val="false"/>
        <w:jc w:val="both"/>
        <w:rPr>
          <w:rFonts w:cs="Calibri"/>
          <w:b/>
          <w:bCs/>
          <w:sz w:val="24"/>
          <w:szCs w:val="24"/>
        </w:rPr>
      </w:pPr>
      <w:r>
        <w:rPr>
          <w:rFonts w:cs="Calibri"/>
          <w:b/>
          <w:bCs/>
          <w:sz w:val="24"/>
          <w:szCs w:val="24"/>
        </w:rPr>
        <w:t>Zamawiający</w:t>
      </w:r>
      <w:r>
        <w:rPr/>
        <w:t xml:space="preserve"> </w:t>
      </w:r>
      <w:r>
        <w:rPr>
          <w:rFonts w:cs="Calibri"/>
          <w:b/>
          <w:bCs/>
          <w:sz w:val="24"/>
          <w:szCs w:val="24"/>
        </w:rPr>
        <w:t>nie określa warunków udziału w postępowaniu w powyższym zakresie.</w:t>
      </w:r>
    </w:p>
    <w:p>
      <w:pPr>
        <w:pStyle w:val="ListParagraph"/>
        <w:widowControl w:val="false"/>
        <w:spacing w:lineRule="auto" w:line="312" w:before="0" w:after="0"/>
        <w:ind w:firstLine="1" w:left="850"/>
        <w:contextualSpacing w:val="false"/>
        <w:jc w:val="both"/>
        <w:rPr>
          <w:rFonts w:ascii="Calibri" w:hAnsi="Calibri" w:cs="Calibri"/>
          <w:b/>
          <w:bCs/>
          <w:sz w:val="24"/>
          <w:szCs w:val="24"/>
        </w:rPr>
      </w:pPr>
      <w:r>
        <w:rPr>
          <w:rFonts w:cs="Calibri"/>
          <w:b/>
          <w:bCs/>
          <w:sz w:val="24"/>
          <w:szCs w:val="24"/>
        </w:rPr>
        <w:tab/>
        <w:tab/>
        <w:tab/>
        <w:tab/>
        <w:tab/>
        <w:tab/>
        <w:tab/>
        <w:tab/>
        <w:tab/>
        <w:tab/>
        <w:tab/>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Do oferty Wykonawca zobowiązany jest dołączyć aktualne na dzień składania ofert oświadczenie o spełnianiu warunków udziału w postępowaniu oraz o braku podstaw do wykluczenia z postępowania – zgodnie z </w:t>
      </w:r>
      <w:r>
        <w:rPr>
          <w:rFonts w:cs="Calibri"/>
          <w:i/>
          <w:iCs/>
          <w:color w:val="004289"/>
          <w:sz w:val="24"/>
          <w:szCs w:val="24"/>
        </w:rPr>
        <w:t>zał. nr 2 do SWZ Oświadczenie, o którym mowa w art. 125 ust. 1 ustawy Pzp</w:t>
      </w:r>
      <w:r>
        <w:rPr>
          <w:rFonts w:cs="Calibri"/>
          <w:sz w:val="24"/>
          <w:szCs w:val="24"/>
        </w:rPr>
        <w:t xml:space="preserve">. </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Informacje zawarte w oświadczeniu, o którym mowa w ust. 4 stanowią wstępne potwierdzenie, że Wykonawca nie podlega wykluczeniu oraz spełnia warunki udziału w postępowaniu.</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wezwie Wykonawcę, którego oferta została najwyżej oceniona, do złożenia w wyznaczonym terminie, nie krótszym niż 5 dni od dnia wezwania, aktualnych na dzień złożenia podmiotowych środków dowodowych.</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Podmiotowe środki dowodowe wymagane od Wykonawcy obejmują:</w:t>
      </w:r>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 xml:space="preserve">oświadczenie Wykonawcy, w zakresie art. 108 ust. 1 pkt 5 ustawy Pzp, o braku przynależności do tej samej grupy kapitałowej, w rozumieniu ustawy z dnia 16 lutego 2007 r. o ochronie konkurencji i konsumentów (t.j. Dz. U. z 2021 r. poz. 275, z późn.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 oparciu o </w:t>
      </w:r>
      <w:r>
        <w:rPr>
          <w:rFonts w:cs="Calibri"/>
          <w:i/>
          <w:iCs/>
          <w:color w:val="004289"/>
          <w:sz w:val="24"/>
          <w:szCs w:val="24"/>
        </w:rPr>
        <w:t>zał. nr 4 do SWZ Oświadczenie dot. przynależności do grupy kapitałowej</w:t>
      </w:r>
      <w:r>
        <w:rPr>
          <w:rFonts w:cs="Calibri"/>
          <w:sz w:val="24"/>
          <w:szCs w:val="24"/>
        </w:rPr>
        <w:t>;</w:t>
      </w:r>
    </w:p>
    <w:p>
      <w:pPr>
        <w:pStyle w:val="Normal"/>
        <w:ind w:left="720"/>
        <w:jc w:val="both"/>
        <w:rPr>
          <w:b/>
          <w:bCs/>
          <w:sz w:val="24"/>
          <w:szCs w:val="24"/>
          <w:u w:val="single"/>
        </w:rPr>
      </w:pPr>
      <w:r>
        <w:rPr>
          <w:b/>
          <w:bCs/>
          <w:sz w:val="24"/>
          <w:szCs w:val="24"/>
          <w:u w:val="single"/>
        </w:rPr>
      </w:r>
    </w:p>
    <w:p>
      <w:pPr>
        <w:pStyle w:val="ListParagraph"/>
        <w:ind w:left="1080"/>
        <w:jc w:val="both"/>
        <w:rPr>
          <w:b/>
          <w:bCs/>
          <w:sz w:val="24"/>
          <w:szCs w:val="24"/>
          <w:u w:val="single"/>
        </w:rPr>
      </w:pPr>
      <w:r>
        <w:rPr>
          <w:b/>
          <w:bCs/>
          <w:sz w:val="24"/>
          <w:szCs w:val="24"/>
          <w:u w:val="single"/>
        </w:rPr>
        <w:t>Przedmiotowe środki dowodowe (należy złożyć wraz z ofertą, w przypadku nie złożenia Zamawiający dopuszcza możliwość wezwania do uzupełnienia):</w:t>
      </w:r>
    </w:p>
    <w:p>
      <w:pPr>
        <w:pStyle w:val="ListParagraph"/>
        <w:widowControl w:val="false"/>
        <w:spacing w:lineRule="auto" w:line="312" w:before="0" w:after="0"/>
        <w:ind w:firstLine="1" w:left="850"/>
        <w:contextualSpacing/>
        <w:jc w:val="both"/>
        <w:rPr>
          <w:rFonts w:ascii="Calibri" w:hAnsi="Calibri" w:cs="Calibri"/>
          <w:b/>
          <w:bCs/>
          <w:sz w:val="24"/>
          <w:szCs w:val="24"/>
        </w:rPr>
      </w:pPr>
      <w:r>
        <w:rPr>
          <w:rFonts w:cs="Calibri"/>
          <w:b/>
          <w:bCs/>
          <w:sz w:val="24"/>
          <w:szCs w:val="24"/>
        </w:rPr>
        <w:tab/>
        <w:tab/>
        <w:tab/>
        <w:tab/>
        <w:tab/>
        <w:tab/>
        <w:tab/>
        <w:tab/>
        <w:tab/>
        <w:tab/>
        <w:tab/>
      </w:r>
    </w:p>
    <w:p>
      <w:pPr>
        <w:pStyle w:val="ListParagraph"/>
        <w:numPr>
          <w:ilvl w:val="0"/>
          <w:numId w:val="18"/>
        </w:numPr>
        <w:jc w:val="both"/>
        <w:rPr>
          <w:sz w:val="24"/>
          <w:szCs w:val="24"/>
        </w:rPr>
      </w:pPr>
      <w:r>
        <w:rPr>
          <w:rFonts w:cs="Calibri"/>
          <w:b/>
          <w:bCs/>
          <w:sz w:val="24"/>
          <w:szCs w:val="24"/>
        </w:rPr>
        <w:t xml:space="preserve">oświadczenie o wdrożeniu systemu HACCAP. </w:t>
        <w:tab/>
      </w:r>
    </w:p>
    <w:p>
      <w:pPr>
        <w:pStyle w:val="ListParagraph"/>
        <w:widowControl w:val="false"/>
        <w:spacing w:lineRule="auto" w:line="312" w:before="0" w:after="0"/>
        <w:ind w:left="850"/>
        <w:contextualSpacing w:val="false"/>
        <w:jc w:val="both"/>
        <w:rPr>
          <w:rFonts w:ascii="Calibri" w:hAnsi="Calibri" w:cs="Calibri"/>
          <w:sz w:val="24"/>
          <w:szCs w:val="24"/>
        </w:rPr>
      </w:pPr>
      <w:r>
        <w:rPr>
          <w:rFonts w:cs="Calibri"/>
          <w:sz w:val="24"/>
          <w:szCs w:val="24"/>
        </w:rPr>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nie wzywa do złożenia podmiotowych środków dowodowych, jeżeli:</w:t>
      </w:r>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pPr>
        <w:pStyle w:val="ListParagraph"/>
        <w:widowControl w:val="false"/>
        <w:numPr>
          <w:ilvl w:val="1"/>
          <w:numId w:val="12"/>
        </w:numPr>
        <w:spacing w:lineRule="auto" w:line="312" w:before="0" w:after="0"/>
        <w:ind w:hanging="425" w:left="850"/>
        <w:contextualSpacing w:val="false"/>
        <w:jc w:val="both"/>
        <w:rPr>
          <w:rFonts w:ascii="Calibri" w:hAnsi="Calibri" w:cs="Calibri"/>
          <w:sz w:val="24"/>
          <w:szCs w:val="24"/>
        </w:rPr>
      </w:pPr>
      <w:r>
        <w:rPr>
          <w:rFonts w:cs="Calibri"/>
          <w:sz w:val="24"/>
          <w:szCs w:val="24"/>
        </w:rPr>
        <w:t>podmiotowym środkiem dowodowym jest oświadczenie, którego treść odpowiada zakresowi oświadczenia, o którym mowa w art. 125 ust. 1 Pzp.</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Wykonawca nie jest zobowiązany do złożenia podmiotowych środków dowodowych, które Zamawiający posiada, jeżeli Wykonawca wskaże te środki oraz potwierdzi ich prawidłowość i aktualność.</w:t>
      </w:r>
    </w:p>
    <w:p>
      <w:pPr>
        <w:pStyle w:val="ListParagraph"/>
        <w:widowControl w:val="false"/>
        <w:numPr>
          <w:ilvl w:val="0"/>
          <w:numId w:val="12"/>
        </w:numPr>
        <w:spacing w:lineRule="auto" w:line="312" w:before="0" w:after="0"/>
        <w:ind w:hanging="425" w:left="425"/>
        <w:contextualSpacing w:val="false"/>
        <w:jc w:val="both"/>
        <w:rPr>
          <w:rFonts w:ascii="Calibri" w:hAnsi="Calibri" w:cs="Calibri"/>
          <w:sz w:val="24"/>
          <w:szCs w:val="24"/>
        </w:rPr>
      </w:pPr>
      <w:r>
        <w:rPr>
          <w:rFonts w:cs="Calibri"/>
          <w:sz w:val="24"/>
          <w:szCs w:val="24"/>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(t.j. Dz. U. z 2020r., poz. 2415, z późn.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widowControl w:val="false"/>
        <w:spacing w:lineRule="auto" w:line="312" w:before="0" w:after="0"/>
        <w:ind w:hanging="425" w:left="425"/>
        <w:contextualSpacing w:val="false"/>
        <w:jc w:val="both"/>
        <w:rPr>
          <w:rFonts w:ascii="Calibri" w:hAnsi="Calibri" w:cs="Calibri"/>
          <w:sz w:val="24"/>
          <w:szCs w:val="24"/>
        </w:rPr>
      </w:pPr>
      <w:r>
        <w:rPr>
          <w:rFonts w:cs="Calibri"/>
          <w:sz w:val="24"/>
          <w:szCs w:val="24"/>
        </w:rPr>
      </w:r>
    </w:p>
    <w:p>
      <w:pPr>
        <w:pStyle w:val="ListParagraph"/>
        <w:widowControl w:val="false"/>
        <w:spacing w:lineRule="auto" w:line="312" w:before="0" w:after="0"/>
        <w:ind w:hanging="425" w:left="425"/>
        <w:contextualSpacing w:val="false"/>
        <w:jc w:val="both"/>
        <w:rPr>
          <w:rFonts w:ascii="Calibri" w:hAnsi="Calibri" w:cs="Calibri"/>
          <w:sz w:val="24"/>
          <w:szCs w:val="24"/>
        </w:rPr>
      </w:pPr>
      <w:r>
        <w:rPr>
          <w:rFonts w:cs="Calibri"/>
          <w:sz w:val="24"/>
          <w:szCs w:val="24"/>
        </w:rPr>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37" w:name="_Toc109123449"/>
      <w:r>
        <w:rPr>
          <w:rFonts w:cs="Calibri"/>
          <w:b/>
          <w:bCs/>
          <w:sz w:val="28"/>
          <w:szCs w:val="28"/>
        </w:rPr>
        <w:t>Informacja dla Wykonawców wspólnie ubiegających się o udzielenie zamówienia</w:t>
      </w:r>
      <w:bookmarkEnd w:id="37"/>
    </w:p>
    <w:p>
      <w:pPr>
        <w:pStyle w:val="ListParagraph"/>
        <w:widowControl w:val="false"/>
        <w:numPr>
          <w:ilvl w:val="0"/>
          <w:numId w:val="16"/>
        </w:numPr>
        <w:spacing w:lineRule="auto" w:line="312" w:before="0" w:after="0"/>
        <w:ind w:hanging="425" w:left="425"/>
        <w:contextualSpacing w:val="false"/>
        <w:jc w:val="both"/>
        <w:rPr>
          <w:rFonts w:ascii="Calibri" w:hAnsi="Calibri" w:cs="Calibri"/>
          <w:sz w:val="24"/>
          <w:szCs w:val="24"/>
        </w:rPr>
      </w:pPr>
      <w:r>
        <w:rPr>
          <w:rFonts w:cs="Calibri"/>
          <w:sz w:val="24"/>
          <w:szCs w:val="24"/>
        </w:rPr>
        <w:t>Wykonawcy mogą wspólnie ubiegać się o udzielenie zamówienia, w tym przypadku ustanawiają pełnomocnika do reprezentowania ich w postępowaniu o udzielenie zamówienia albo do reprezentowania w postępowaniu i zawarcia umowy w sprawie zamówienia publicznego.</w:t>
      </w:r>
    </w:p>
    <w:p>
      <w:pPr>
        <w:pStyle w:val="ListParagraph"/>
        <w:widowControl w:val="false"/>
        <w:numPr>
          <w:ilvl w:val="0"/>
          <w:numId w:val="16"/>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Zamawiający, w stosunku do Wykonawców wspólnie ubiegających się o udzielenie zamówienia, w odniesieniu do warunku dotyczącego zdolności technicznej lub zawodowej dopuszcza łączne spełnianie warunku przez Wykonawców. </w:t>
      </w:r>
    </w:p>
    <w:p>
      <w:pPr>
        <w:pStyle w:val="ListParagraph"/>
        <w:widowControl w:val="false"/>
        <w:numPr>
          <w:ilvl w:val="0"/>
          <w:numId w:val="16"/>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 przypadku Wykonawców wspólnie ubiegających się o udzielenie zamówienia, </w:t>
      </w:r>
      <w:r>
        <w:rPr>
          <w:rFonts w:cs="Calibri"/>
          <w:i/>
          <w:color w:val="004289"/>
          <w:sz w:val="24"/>
          <w:szCs w:val="24"/>
        </w:rPr>
        <w:t>oświadczenie, o którym mowa w art. 125 ust. 1 ustawy Pzp</w:t>
      </w:r>
      <w:r>
        <w:rPr>
          <w:rFonts w:cs="Calibri"/>
          <w:sz w:val="24"/>
          <w:szCs w:val="24"/>
        </w:rPr>
        <w:t xml:space="preserve">, sporządzone w oparciu o </w:t>
      </w:r>
      <w:r>
        <w:rPr>
          <w:rFonts w:cs="Calibri"/>
          <w:i/>
          <w:iCs/>
          <w:color w:val="004289"/>
          <w:sz w:val="24"/>
          <w:szCs w:val="24"/>
        </w:rPr>
        <w:t>zał. nr 2 do SWZ</w:t>
      </w:r>
      <w:r>
        <w:rPr>
          <w:rFonts w:cs="Calibri"/>
          <w:sz w:val="24"/>
          <w:szCs w:val="24"/>
        </w:rPr>
        <w:t>, składa każdy z Wykonawców. Oświadczenia te potwierdzają brak podstaw wykluczenia oraz spełnianie warunków udziału w zakresie, w jakim każdy z Wykonawców wspólnie ubiegających się o udzielenie zamówienia wykazuje spełnianie warunków udziału w postępowaniu.</w:t>
      </w:r>
    </w:p>
    <w:p>
      <w:pPr>
        <w:pStyle w:val="ListParagraph"/>
        <w:widowControl w:val="false"/>
        <w:numPr>
          <w:ilvl w:val="0"/>
          <w:numId w:val="16"/>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 przypadku, o którym mowa w art. 117 ust. 2 i 3 ustawy Pzp, Wykonawcy wspólnie ubiegający się o udzielenie zamówienia dołączają do oferty oświadczenie, z którego wynika, które roboty budowlane, dostawy lub usługi wykonają poszczególni Wykonawcy, sporządzone w oparciu o </w:t>
      </w:r>
      <w:r>
        <w:rPr>
          <w:rFonts w:cs="Calibri"/>
          <w:i/>
          <w:iCs/>
          <w:color w:val="004289"/>
          <w:sz w:val="24"/>
          <w:szCs w:val="24"/>
        </w:rPr>
        <w:t>zał. nr 5 do SWZ Oświadczenie składane na podstawie art. 117 ust. 4 ustawy Pzp</w:t>
      </w:r>
      <w:r>
        <w:rPr>
          <w:rFonts w:cs="Calibri"/>
          <w:sz w:val="24"/>
          <w:szCs w:val="24"/>
        </w:rPr>
        <w:t>.</w:t>
      </w:r>
    </w:p>
    <w:p>
      <w:pPr>
        <w:pStyle w:val="ListParagraph"/>
        <w:widowControl w:val="false"/>
        <w:numPr>
          <w:ilvl w:val="0"/>
          <w:numId w:val="16"/>
        </w:numPr>
        <w:spacing w:lineRule="auto" w:line="312" w:before="0" w:after="0"/>
        <w:ind w:hanging="425" w:left="425"/>
        <w:contextualSpacing w:val="false"/>
        <w:jc w:val="both"/>
        <w:rPr>
          <w:rFonts w:ascii="Calibri" w:hAnsi="Calibri" w:cs="Calibri"/>
          <w:sz w:val="24"/>
          <w:szCs w:val="24"/>
        </w:rPr>
      </w:pPr>
      <w:r>
        <w:rPr>
          <w:rFonts w:cs="Calibri"/>
          <w:sz w:val="24"/>
          <w:szCs w:val="24"/>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38" w:name="_Toc109123450"/>
      <w:r>
        <w:rPr>
          <w:rFonts w:cs="Calibri"/>
          <w:b/>
          <w:bCs/>
          <w:sz w:val="28"/>
          <w:szCs w:val="28"/>
        </w:rPr>
        <w:t>Sposób obliczenia ceny</w:t>
      </w:r>
      <w:bookmarkEnd w:id="38"/>
    </w:p>
    <w:p>
      <w:pPr>
        <w:pStyle w:val="ListParagraph"/>
        <w:widowControl w:val="false"/>
        <w:numPr>
          <w:ilvl w:val="0"/>
          <w:numId w:val="15"/>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Wykonawca podaje cenę oferty w </w:t>
      </w:r>
      <w:r>
        <w:rPr>
          <w:rFonts w:cs="Calibri"/>
          <w:i/>
          <w:iCs/>
          <w:color w:val="004289"/>
          <w:sz w:val="24"/>
          <w:szCs w:val="24"/>
        </w:rPr>
        <w:t>Formularzu ofertowym</w:t>
      </w:r>
      <w:r>
        <w:rPr>
          <w:rFonts w:cs="Calibri"/>
          <w:color w:val="004289"/>
          <w:sz w:val="24"/>
          <w:szCs w:val="24"/>
        </w:rPr>
        <w:t xml:space="preserve"> </w:t>
      </w:r>
      <w:r>
        <w:rPr>
          <w:rFonts w:cs="Calibri"/>
          <w:sz w:val="24"/>
          <w:szCs w:val="24"/>
        </w:rPr>
        <w:t xml:space="preserve">sporządzonym według wzoru stanowiącego </w:t>
      </w:r>
      <w:r>
        <w:rPr>
          <w:rFonts w:cs="Calibri"/>
          <w:i/>
          <w:iCs/>
          <w:color w:val="004289"/>
          <w:sz w:val="24"/>
          <w:szCs w:val="24"/>
        </w:rPr>
        <w:t>zał. nr 1 do SWZ</w:t>
      </w:r>
      <w:r>
        <w:rPr>
          <w:rFonts w:cs="Calibri"/>
          <w:sz w:val="24"/>
          <w:szCs w:val="24"/>
        </w:rPr>
        <w:t>, jako cenę brutto (czyli z uwzględnieniem kwoty podatku od towarów i usług (VAT)) z wyszczególnieniem kwoty netto oraz stawki podatku od towarów i usług (VAT).</w:t>
      </w:r>
    </w:p>
    <w:p>
      <w:pPr>
        <w:pStyle w:val="ListParagraph"/>
        <w:widowControl w:val="false"/>
        <w:numPr>
          <w:ilvl w:val="0"/>
          <w:numId w:val="15"/>
        </w:numPr>
        <w:spacing w:lineRule="auto" w:line="312" w:before="0" w:after="0"/>
        <w:ind w:hanging="425" w:left="425"/>
        <w:contextualSpacing w:val="false"/>
        <w:jc w:val="both"/>
        <w:rPr>
          <w:rFonts w:ascii="Calibri" w:hAnsi="Calibri" w:cs="Calibri"/>
          <w:sz w:val="24"/>
          <w:szCs w:val="24"/>
        </w:rPr>
      </w:pPr>
      <w:r>
        <w:rPr>
          <w:rFonts w:cs="Calibri"/>
          <w:sz w:val="24"/>
          <w:szCs w:val="24"/>
        </w:rPr>
        <w:t>Cena oferty musi zawierać wszystkie koszty bezpośrednio i pośrednio związane z realizacją przedmiotu zamówienia, jakie musi ponieść Wykonawca, aby zrealizować zamówienie z najwyższą starannością, w tym w szczególności koszty wytworzenia przedmiotu zamówienia, opakowania, ubezpieczenia, dostawy wraz z wyładunkiem, wniesieniem w siedzibie Zamawiającego.</w:t>
      </w:r>
    </w:p>
    <w:p>
      <w:pPr>
        <w:pStyle w:val="ListParagraph"/>
        <w:widowControl w:val="false"/>
        <w:numPr>
          <w:ilvl w:val="0"/>
          <w:numId w:val="15"/>
        </w:numPr>
        <w:spacing w:lineRule="auto" w:line="312" w:before="0" w:after="0"/>
        <w:ind w:hanging="425" w:left="425"/>
        <w:contextualSpacing w:val="false"/>
        <w:jc w:val="both"/>
        <w:rPr>
          <w:rFonts w:ascii="Calibri" w:hAnsi="Calibri" w:cs="Calibri"/>
          <w:sz w:val="24"/>
          <w:szCs w:val="24"/>
        </w:rPr>
      </w:pPr>
      <w:r>
        <w:rPr>
          <w:rFonts w:cs="Calibri"/>
          <w:sz w:val="24"/>
          <w:szCs w:val="24"/>
        </w:rPr>
        <w:t>Cena musi być wyrażona w złotych polskich (PLN), z dokładnością nie większą niż dwa miejsca po przecinku.</w:t>
      </w:r>
    </w:p>
    <w:p>
      <w:pPr>
        <w:pStyle w:val="ListParagraph"/>
        <w:widowControl w:val="false"/>
        <w:numPr>
          <w:ilvl w:val="0"/>
          <w:numId w:val="15"/>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Wykonawca poda w </w:t>
      </w:r>
      <w:r>
        <w:rPr>
          <w:rFonts w:cs="Calibri"/>
          <w:i/>
          <w:iCs/>
          <w:color w:val="004289"/>
          <w:sz w:val="24"/>
          <w:szCs w:val="24"/>
        </w:rPr>
        <w:t>Formularzu ofertowym</w:t>
      </w:r>
      <w:r>
        <w:rPr>
          <w:rFonts w:cs="Calibri"/>
          <w:color w:val="004289"/>
          <w:sz w:val="24"/>
          <w:szCs w:val="24"/>
        </w:rPr>
        <w:t xml:space="preserve"> </w:t>
      </w:r>
      <w:r>
        <w:rPr>
          <w:rFonts w:cs="Calibri"/>
          <w:sz w:val="24"/>
          <w:szCs w:val="24"/>
        </w:rPr>
        <w:t xml:space="preserve">sporządzonym według wzoru stanowiącego </w:t>
      </w:r>
      <w:r>
        <w:rPr>
          <w:rFonts w:cs="Calibri"/>
          <w:i/>
          <w:iCs/>
          <w:color w:val="004289"/>
          <w:sz w:val="24"/>
          <w:szCs w:val="24"/>
        </w:rPr>
        <w:t>zał. nr 1 do SWZ</w:t>
      </w:r>
      <w:r>
        <w:rPr>
          <w:rFonts w:cs="Calibri"/>
          <w:color w:val="004289"/>
          <w:sz w:val="24"/>
          <w:szCs w:val="24"/>
        </w:rPr>
        <w:t xml:space="preserve"> </w:t>
      </w:r>
      <w:r>
        <w:rPr>
          <w:rFonts w:cs="Calibri"/>
          <w:sz w:val="24"/>
          <w:szCs w:val="24"/>
        </w:rPr>
        <w:t>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 223 ust. 2 pkt. 3 ustawy Pzp).</w:t>
      </w:r>
    </w:p>
    <w:p>
      <w:pPr>
        <w:pStyle w:val="ListParagraph"/>
        <w:widowControl w:val="false"/>
        <w:numPr>
          <w:ilvl w:val="0"/>
          <w:numId w:val="15"/>
        </w:numPr>
        <w:spacing w:lineRule="auto" w:line="312" w:before="0" w:after="0"/>
        <w:ind w:hanging="425" w:left="425"/>
        <w:contextualSpacing w:val="false"/>
        <w:jc w:val="both"/>
        <w:rPr>
          <w:rFonts w:ascii="Calibri" w:hAnsi="Calibri" w:cs="Calibri"/>
          <w:sz w:val="24"/>
          <w:szCs w:val="24"/>
        </w:rPr>
      </w:pPr>
      <w:r>
        <w:rPr>
          <w:rFonts w:cs="Calibri"/>
          <w:sz w:val="24"/>
          <w:szCs w:val="24"/>
        </w:rPr>
        <w:t>Rozliczenia między Zamawiającym a Wykonawcą będą prowadzone w złotych polskich (PLN).</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39" w:name="_Toc109123451"/>
      <w:bookmarkStart w:id="40" w:name="_Toc99434102"/>
      <w:bookmarkStart w:id="41" w:name="_Toc98398511"/>
      <w:bookmarkStart w:id="42" w:name="_Toc98395696"/>
      <w:bookmarkStart w:id="43" w:name="_Toc98395040"/>
      <w:bookmarkStart w:id="44" w:name="_Toc98338789"/>
      <w:bookmarkStart w:id="45" w:name="_Toc99434101"/>
      <w:bookmarkStart w:id="46" w:name="_Toc98398510"/>
      <w:bookmarkStart w:id="47" w:name="_Toc98395695"/>
      <w:bookmarkStart w:id="48" w:name="_Toc98395039"/>
      <w:bookmarkStart w:id="49" w:name="_Toc98338788"/>
      <w:bookmarkEnd w:id="40"/>
      <w:bookmarkEnd w:id="41"/>
      <w:bookmarkEnd w:id="42"/>
      <w:bookmarkEnd w:id="43"/>
      <w:bookmarkEnd w:id="44"/>
      <w:bookmarkEnd w:id="45"/>
      <w:bookmarkEnd w:id="46"/>
      <w:bookmarkEnd w:id="47"/>
      <w:bookmarkEnd w:id="48"/>
      <w:bookmarkEnd w:id="49"/>
      <w:r>
        <w:rPr>
          <w:rFonts w:cs="Calibri"/>
          <w:b/>
          <w:bCs/>
          <w:sz w:val="28"/>
          <w:szCs w:val="28"/>
        </w:rPr>
        <w:t>Opis kryteriów oceny ofert, wraz z podaniem wag tych kryteriów i sposobu oceny ofert</w:t>
      </w:r>
      <w:bookmarkEnd w:id="39"/>
    </w:p>
    <w:p>
      <w:pPr>
        <w:pStyle w:val="ListParagraph"/>
        <w:widowControl w:val="false"/>
        <w:numPr>
          <w:ilvl w:val="0"/>
          <w:numId w:val="17"/>
        </w:numPr>
        <w:spacing w:lineRule="auto" w:line="312" w:before="0" w:after="0"/>
        <w:ind w:hanging="425" w:left="425"/>
        <w:contextualSpacing w:val="false"/>
        <w:jc w:val="both"/>
        <w:rPr>
          <w:rFonts w:ascii="Calibri" w:hAnsi="Calibri" w:cs="Calibri"/>
          <w:sz w:val="24"/>
          <w:szCs w:val="24"/>
        </w:rPr>
      </w:pPr>
      <w:r>
        <w:rPr>
          <w:rFonts w:cs="Calibri"/>
          <w:sz w:val="24"/>
          <w:szCs w:val="24"/>
        </w:rPr>
        <w:t>Za ofertę najkorzystniejszą zostanie uznana oferta zawierająca najkorzystniejszy bilans punktów w kryteriach:</w:t>
      </w:r>
    </w:p>
    <w:p>
      <w:pPr>
        <w:pStyle w:val="ListParagraph"/>
        <w:widowControl w:val="false"/>
        <w:numPr>
          <w:ilvl w:val="1"/>
          <w:numId w:val="17"/>
        </w:numPr>
        <w:spacing w:lineRule="auto" w:line="312" w:before="0" w:after="0"/>
        <w:ind w:hanging="425" w:left="850"/>
        <w:contextualSpacing w:val="false"/>
        <w:jc w:val="both"/>
        <w:rPr>
          <w:rFonts w:ascii="Calibri" w:hAnsi="Calibri" w:cs="Calibri"/>
          <w:b/>
          <w:bCs/>
          <w:sz w:val="24"/>
          <w:szCs w:val="24"/>
        </w:rPr>
      </w:pPr>
      <w:r>
        <w:rPr>
          <w:rFonts w:cs="Calibri"/>
          <w:b/>
          <w:bCs/>
          <w:sz w:val="24"/>
          <w:szCs w:val="24"/>
        </w:rPr>
        <w:t>Cena ofertowa brutto  - waga 60%</w:t>
      </w:r>
    </w:p>
    <w:p>
      <w:pPr>
        <w:pStyle w:val="ListParagraph"/>
        <w:widowControl w:val="false"/>
        <w:numPr>
          <w:ilvl w:val="1"/>
          <w:numId w:val="17"/>
        </w:numPr>
        <w:spacing w:lineRule="auto" w:line="312" w:before="0" w:after="0"/>
        <w:ind w:hanging="425" w:left="850"/>
        <w:contextualSpacing w:val="false"/>
        <w:rPr>
          <w:rFonts w:ascii="Calibri" w:hAnsi="Calibri" w:cs="Calibri"/>
          <w:b/>
          <w:bCs/>
          <w:sz w:val="24"/>
          <w:szCs w:val="24"/>
        </w:rPr>
      </w:pPr>
      <w:r>
        <w:rPr>
          <w:rFonts w:cs="Calibri"/>
          <w:b/>
          <w:bCs/>
          <w:sz w:val="24"/>
          <w:szCs w:val="24"/>
        </w:rPr>
        <w:t xml:space="preserve">Termin dostawy – waga 40% </w:t>
      </w:r>
    </w:p>
    <w:p>
      <w:pPr>
        <w:pStyle w:val="ListParagraph"/>
        <w:widowControl w:val="false"/>
        <w:numPr>
          <w:ilvl w:val="0"/>
          <w:numId w:val="17"/>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oceni oferty wyliczając liczbę punktów dla każdej oferty w poszczególnych kryteriach w sposób następujący:</w:t>
      </w:r>
    </w:p>
    <w:p>
      <w:pPr>
        <w:pStyle w:val="ListParagraph"/>
        <w:widowControl w:val="false"/>
        <w:numPr>
          <w:ilvl w:val="0"/>
          <w:numId w:val="20"/>
        </w:numPr>
        <w:spacing w:lineRule="auto" w:line="312" w:before="0" w:after="0"/>
        <w:ind w:hanging="425" w:left="850"/>
        <w:contextualSpacing w:val="false"/>
        <w:jc w:val="both"/>
        <w:rPr>
          <w:rFonts w:ascii="Calibri" w:hAnsi="Calibri" w:cs="Calibri"/>
          <w:sz w:val="24"/>
          <w:szCs w:val="24"/>
        </w:rPr>
      </w:pPr>
      <w:r>
        <w:rPr>
          <w:rFonts w:cs="Calibri"/>
          <w:b/>
          <w:bCs/>
          <w:sz w:val="24"/>
          <w:szCs w:val="24"/>
        </w:rPr>
        <w:t>kryterium cena</w:t>
      </w:r>
      <w:r>
        <w:rPr>
          <w:rFonts w:cs="Calibri"/>
          <w:sz w:val="24"/>
          <w:szCs w:val="24"/>
        </w:rPr>
        <w:t xml:space="preserve"> (C) – 60%: </w:t>
      </w:r>
    </w:p>
    <w:p>
      <w:pPr>
        <w:pStyle w:val="ListParagraph"/>
        <w:widowControl w:val="false"/>
        <w:spacing w:lineRule="auto" w:line="312" w:before="0" w:after="0"/>
        <w:ind w:left="851"/>
        <w:contextualSpacing w:val="false"/>
        <w:jc w:val="both"/>
        <w:rPr>
          <w:rFonts w:ascii="Calibri" w:hAnsi="Calibri" w:cs="Calibri"/>
          <w:sz w:val="24"/>
          <w:szCs w:val="24"/>
        </w:rPr>
      </w:pPr>
      <w:r>
        <w:rPr>
          <w:rFonts w:cs="Calibri"/>
          <w:sz w:val="24"/>
          <w:szCs w:val="24"/>
        </w:rPr>
        <w:t xml:space="preserve">cena ofertowa brutto (C)– punktacja w niniejszym kryterium zostanie przyznana na podstawie informacji wskazanych w </w:t>
      </w:r>
      <w:r>
        <w:rPr>
          <w:rFonts w:cs="Calibri"/>
          <w:i/>
          <w:iCs/>
          <w:color w:val="004289"/>
          <w:sz w:val="24"/>
          <w:szCs w:val="24"/>
        </w:rPr>
        <w:t>Formularzu ofertowym</w:t>
      </w:r>
      <w:r>
        <w:rPr>
          <w:rFonts w:cs="Calibri"/>
          <w:color w:val="004289"/>
          <w:sz w:val="24"/>
          <w:szCs w:val="24"/>
        </w:rPr>
        <w:t xml:space="preserve"> </w:t>
      </w:r>
      <w:r>
        <w:rPr>
          <w:rFonts w:cs="Calibri"/>
          <w:sz w:val="24"/>
          <w:szCs w:val="24"/>
        </w:rPr>
        <w:t xml:space="preserve">stanowiącym </w:t>
      </w:r>
      <w:r>
        <w:rPr>
          <w:rFonts w:cs="Calibri"/>
          <w:i/>
          <w:iCs/>
          <w:color w:val="004289"/>
          <w:sz w:val="24"/>
          <w:szCs w:val="24"/>
        </w:rPr>
        <w:t xml:space="preserve">zał. nr 1 do </w:t>
      </w:r>
      <w:r>
        <w:rPr>
          <w:rFonts w:cs="Calibri"/>
          <w:i/>
          <w:iCs/>
          <w:sz w:val="24"/>
          <w:szCs w:val="24"/>
        </w:rPr>
        <w:t>SWZ</w:t>
      </w:r>
      <w:r>
        <w:rPr>
          <w:rFonts w:cs="Calibri"/>
          <w:sz w:val="24"/>
          <w:szCs w:val="24"/>
        </w:rPr>
        <w:t xml:space="preserve"> zgodnie ze wzorem:</w:t>
      </w:r>
    </w:p>
    <w:p>
      <w:pPr>
        <w:pStyle w:val="ListParagraph"/>
        <w:widowControl w:val="false"/>
        <w:spacing w:lineRule="auto" w:line="312" w:before="0" w:after="0"/>
        <w:ind w:left="851"/>
        <w:contextualSpacing w:val="false"/>
        <w:jc w:val="both"/>
        <w:rPr>
          <w:rFonts w:ascii="Calibri" w:hAnsi="Calibri" w:cs="Calibri"/>
          <w:b/>
          <w:bCs/>
          <w:sz w:val="24"/>
          <w:szCs w:val="24"/>
        </w:rPr>
      </w:pPr>
      <w:r>
        <w:rPr>
          <w:rFonts w:cs="Calibri"/>
          <w:b/>
          <w:bCs/>
          <w:sz w:val="24"/>
          <w:szCs w:val="24"/>
        </w:rPr>
        <w:t>(cena oferty minimalnej/cena oferty badanej) x 60 pkt</w:t>
      </w:r>
    </w:p>
    <w:p>
      <w:pPr>
        <w:pStyle w:val="ListParagraph"/>
        <w:widowControl w:val="false"/>
        <w:numPr>
          <w:ilvl w:val="0"/>
          <w:numId w:val="20"/>
        </w:numPr>
        <w:spacing w:lineRule="auto" w:line="312" w:before="0" w:after="0"/>
        <w:ind w:hanging="425" w:left="850"/>
        <w:contextualSpacing w:val="false"/>
        <w:jc w:val="both"/>
        <w:rPr>
          <w:rFonts w:ascii="Calibri" w:hAnsi="Calibri" w:cs="Calibri"/>
          <w:sz w:val="24"/>
          <w:szCs w:val="24"/>
        </w:rPr>
      </w:pPr>
      <w:r>
        <w:rPr>
          <w:rFonts w:cs="Calibri"/>
          <w:b/>
          <w:bCs/>
          <w:sz w:val="24"/>
          <w:szCs w:val="24"/>
        </w:rPr>
        <w:t xml:space="preserve">kryterium termin dostawy </w:t>
      </w:r>
      <w:r>
        <w:rPr>
          <w:rFonts w:cs="Calibri"/>
          <w:sz w:val="24"/>
          <w:szCs w:val="24"/>
        </w:rPr>
        <w:t xml:space="preserve"> (T) - 40%:</w:t>
      </w:r>
    </w:p>
    <w:p>
      <w:pPr>
        <w:pStyle w:val="ListParagraph"/>
        <w:widowControl w:val="false"/>
        <w:spacing w:lineRule="auto" w:line="312" w:before="0" w:after="0"/>
        <w:ind w:left="850"/>
        <w:contextualSpacing w:val="false"/>
        <w:jc w:val="both"/>
        <w:rPr>
          <w:rStyle w:val="Normaltextrun"/>
          <w:rFonts w:ascii="Calibri" w:hAnsi="Calibri" w:cs="Calibri"/>
        </w:rPr>
      </w:pPr>
      <w:bookmarkStart w:id="50" w:name="_Hlk109025185"/>
      <w:bookmarkEnd w:id="50"/>
      <w:r>
        <w:rPr>
          <w:rFonts w:cs="Calibri"/>
          <w:sz w:val="24"/>
          <w:szCs w:val="24"/>
        </w:rPr>
        <w:t xml:space="preserve">na podstawie informacji wskazanych </w:t>
      </w:r>
      <w:r>
        <w:rPr>
          <w:rStyle w:val="Normaltextrun"/>
          <w:rFonts w:cs="Calibri"/>
        </w:rPr>
        <w:t xml:space="preserve">w </w:t>
      </w:r>
      <w:r>
        <w:rPr>
          <w:rStyle w:val="Normaltextrun"/>
          <w:rFonts w:cs="Calibri"/>
          <w:i/>
          <w:iCs/>
          <w:color w:val="004289"/>
        </w:rPr>
        <w:t>Formularzu ofertowym</w:t>
      </w:r>
      <w:r>
        <w:rPr>
          <w:rStyle w:val="Normaltextrun"/>
          <w:rFonts w:cs="Calibri"/>
          <w:color w:val="004289"/>
        </w:rPr>
        <w:t xml:space="preserve"> </w:t>
      </w:r>
      <w:r>
        <w:rPr>
          <w:rStyle w:val="Normaltextrun"/>
          <w:rFonts w:cs="Calibri"/>
        </w:rPr>
        <w:t xml:space="preserve">stanowiącym </w:t>
      </w:r>
      <w:r>
        <w:rPr>
          <w:rStyle w:val="Normaltextrun"/>
          <w:rFonts w:cs="Calibri"/>
          <w:i/>
          <w:iCs/>
          <w:color w:val="004289"/>
        </w:rPr>
        <w:t>zał. nr 1</w:t>
      </w:r>
      <w:r>
        <w:rPr>
          <w:rStyle w:val="Normaltextrun"/>
          <w:rFonts w:cs="Calibri"/>
          <w:color w:val="004289"/>
        </w:rPr>
        <w:t xml:space="preserve"> do SWZ </w:t>
      </w:r>
      <w:r>
        <w:rPr>
          <w:rStyle w:val="Normaltextrun"/>
          <w:rFonts w:cs="Calibri"/>
        </w:rPr>
        <w:t>zgodnie z poniższą tabelą:</w:t>
      </w:r>
    </w:p>
    <w:tbl>
      <w:tblPr>
        <w:tblW w:w="6935" w:type="dxa"/>
        <w:jc w:val="left"/>
        <w:tblInd w:w="1269" w:type="dxa"/>
        <w:tblLayout w:type="fixed"/>
        <w:tblCellMar>
          <w:top w:w="15" w:type="dxa"/>
          <w:left w:w="15" w:type="dxa"/>
          <w:bottom w:w="15" w:type="dxa"/>
          <w:right w:w="15" w:type="dxa"/>
        </w:tblCellMar>
        <w:tblLook w:firstRow="1" w:noVBand="1" w:lastRow="0" w:firstColumn="1" w:lastColumn="0" w:noHBand="0" w:val="04a0"/>
      </w:tblPr>
      <w:tblGrid>
        <w:gridCol w:w="5104"/>
        <w:gridCol w:w="1830"/>
      </w:tblGrid>
      <w:tr>
        <w:trPr/>
        <w:tc>
          <w:tcPr>
            <w:tcW w:w="5104" w:type="dxa"/>
            <w:tcBorders>
              <w:top w:val="single" w:sz="6" w:space="0" w:color="004289"/>
              <w:left w:val="single" w:sz="6" w:space="0" w:color="004289"/>
              <w:bottom w:val="single" w:sz="6" w:space="0" w:color="004289"/>
              <w:right w:val="single" w:sz="6" w:space="0" w:color="004289"/>
            </w:tcBorders>
            <w:shd w:color="auto" w:fill="004289" w:val="clear"/>
          </w:tcPr>
          <w:p>
            <w:pPr>
              <w:pStyle w:val="Normal"/>
              <w:spacing w:lineRule="auto" w:line="312" w:beforeAutospacing="1" w:after="0"/>
              <w:ind w:hanging="25" w:left="-14"/>
              <w:jc w:val="center"/>
              <w:textAlignment w:val="baseline"/>
              <w:rPr>
                <w:rFonts w:ascii="Times New Roman" w:hAnsi="Times New Roman" w:eastAsia="Times New Roman" w:cs="Times New Roman"/>
                <w:sz w:val="24"/>
                <w:szCs w:val="24"/>
                <w:lang w:eastAsia="pl-PL"/>
              </w:rPr>
            </w:pPr>
            <w:bookmarkStart w:id="51" w:name="_Hlk109025185_kopia_1"/>
            <w:bookmarkEnd w:id="51"/>
            <w:r>
              <w:rPr>
                <w:rFonts w:eastAsia="Times New Roman" w:cs="Calibri"/>
                <w:b/>
                <w:bCs/>
                <w:sz w:val="24"/>
                <w:szCs w:val="24"/>
                <w:lang w:eastAsia="pl-PL"/>
              </w:rPr>
              <w:t>Termin dostawy wraz z montażem</w:t>
            </w:r>
          </w:p>
        </w:tc>
        <w:tc>
          <w:tcPr>
            <w:tcW w:w="1830" w:type="dxa"/>
            <w:tcBorders>
              <w:top w:val="single" w:sz="6" w:space="0" w:color="004289"/>
              <w:left w:val="single" w:sz="6" w:space="0" w:color="004289"/>
              <w:bottom w:val="single" w:sz="6" w:space="0" w:color="004289"/>
              <w:right w:val="single" w:sz="6" w:space="0" w:color="004289"/>
            </w:tcBorders>
            <w:shd w:color="auto" w:fill="004289" w:val="clear"/>
          </w:tcPr>
          <w:p>
            <w:pPr>
              <w:pStyle w:val="Normal"/>
              <w:spacing w:lineRule="auto" w:line="312" w:beforeAutospacing="1" w:after="0"/>
              <w:textAlignment w:val="baseline"/>
              <w:rPr>
                <w:rFonts w:ascii="Times New Roman" w:hAnsi="Times New Roman" w:eastAsia="Times New Roman" w:cs="Times New Roman"/>
                <w:sz w:val="24"/>
                <w:szCs w:val="24"/>
                <w:lang w:eastAsia="pl-PL"/>
              </w:rPr>
            </w:pPr>
            <w:r>
              <w:rPr>
                <w:rFonts w:eastAsia="Times New Roman" w:cs="Calibri"/>
                <w:b/>
                <w:bCs/>
                <w:sz w:val="24"/>
                <w:szCs w:val="24"/>
                <w:lang w:eastAsia="pl-PL"/>
              </w:rPr>
              <w:t>Liczba punktów </w:t>
            </w:r>
          </w:p>
        </w:tc>
      </w:tr>
      <w:tr>
        <w:trPr/>
        <w:tc>
          <w:tcPr>
            <w:tcW w:w="5104"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5"/>
              <w:jc w:val="center"/>
              <w:textAlignment w:val="baseline"/>
              <w:rPr>
                <w:rFonts w:ascii="Times New Roman" w:hAnsi="Times New Roman" w:eastAsia="Times New Roman" w:cs="Times New Roman"/>
                <w:sz w:val="24"/>
                <w:szCs w:val="24"/>
                <w:lang w:eastAsia="pl-PL"/>
              </w:rPr>
            </w:pPr>
            <w:r>
              <w:rPr>
                <w:rFonts w:eastAsia="Times New Roman" w:cs="Calibri"/>
                <w:b/>
                <w:bCs/>
                <w:sz w:val="24"/>
                <w:szCs w:val="24"/>
                <w:lang w:eastAsia="pl-PL"/>
              </w:rPr>
              <w:t>do 1 dnia kalendarzowego włącznie </w:t>
            </w:r>
          </w:p>
        </w:tc>
        <w:tc>
          <w:tcPr>
            <w:tcW w:w="1830"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1"/>
              <w:jc w:val="center"/>
              <w:textAlignment w:val="baseline"/>
              <w:rPr>
                <w:rFonts w:ascii="Times New Roman" w:hAnsi="Times New Roman" w:eastAsia="Times New Roman" w:cs="Times New Roman"/>
                <w:sz w:val="24"/>
                <w:szCs w:val="24"/>
                <w:lang w:eastAsia="pl-PL"/>
              </w:rPr>
            </w:pPr>
            <w:r>
              <w:rPr>
                <w:rFonts w:eastAsia="Times New Roman" w:cs="Calibri"/>
                <w:sz w:val="24"/>
                <w:szCs w:val="24"/>
                <w:lang w:eastAsia="pl-PL"/>
              </w:rPr>
              <w:t>40 pkt.</w:t>
            </w:r>
          </w:p>
        </w:tc>
      </w:tr>
      <w:tr>
        <w:trPr/>
        <w:tc>
          <w:tcPr>
            <w:tcW w:w="5104"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5"/>
              <w:jc w:val="center"/>
              <w:textAlignment w:val="baseline"/>
              <w:rPr>
                <w:rFonts w:ascii="Times New Roman" w:hAnsi="Times New Roman" w:eastAsia="Times New Roman" w:cs="Times New Roman"/>
                <w:sz w:val="24"/>
                <w:szCs w:val="24"/>
                <w:lang w:eastAsia="pl-PL"/>
              </w:rPr>
            </w:pPr>
            <w:r>
              <w:rPr>
                <w:rFonts w:eastAsia="Times New Roman" w:cs="Calibri"/>
                <w:b/>
                <w:bCs/>
                <w:sz w:val="24"/>
                <w:szCs w:val="24"/>
                <w:lang w:eastAsia="pl-PL"/>
              </w:rPr>
              <w:t>od 2 dni kalendarzowych włącznie </w:t>
            </w:r>
          </w:p>
        </w:tc>
        <w:tc>
          <w:tcPr>
            <w:tcW w:w="1830"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1"/>
              <w:jc w:val="center"/>
              <w:textAlignment w:val="baseline"/>
              <w:rPr>
                <w:rFonts w:ascii="Times New Roman" w:hAnsi="Times New Roman" w:eastAsia="Times New Roman" w:cs="Times New Roman"/>
                <w:sz w:val="24"/>
                <w:szCs w:val="24"/>
                <w:lang w:eastAsia="pl-PL"/>
              </w:rPr>
            </w:pPr>
            <w:r>
              <w:rPr>
                <w:rFonts w:eastAsia="Times New Roman" w:cs="Calibri"/>
                <w:sz w:val="24"/>
                <w:szCs w:val="24"/>
                <w:lang w:eastAsia="pl-PL"/>
              </w:rPr>
              <w:t>20 pkt.</w:t>
            </w:r>
          </w:p>
        </w:tc>
      </w:tr>
      <w:tr>
        <w:trPr/>
        <w:tc>
          <w:tcPr>
            <w:tcW w:w="5104"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5"/>
              <w:jc w:val="center"/>
              <w:textAlignment w:val="baseline"/>
              <w:rPr>
                <w:rFonts w:ascii="Times New Roman" w:hAnsi="Times New Roman" w:eastAsia="Times New Roman" w:cs="Times New Roman"/>
                <w:sz w:val="24"/>
                <w:szCs w:val="24"/>
                <w:lang w:eastAsia="pl-PL"/>
              </w:rPr>
            </w:pPr>
            <w:r>
              <w:rPr>
                <w:rFonts w:eastAsia="Times New Roman" w:cs="Calibri"/>
                <w:b/>
                <w:bCs/>
                <w:sz w:val="24"/>
                <w:szCs w:val="24"/>
                <w:lang w:eastAsia="pl-PL"/>
              </w:rPr>
              <w:t>3 dni  kalendarzowe</w:t>
            </w:r>
          </w:p>
        </w:tc>
        <w:tc>
          <w:tcPr>
            <w:tcW w:w="1830" w:type="dxa"/>
            <w:tcBorders>
              <w:top w:val="single" w:sz="6" w:space="0" w:color="004289"/>
              <w:left w:val="single" w:sz="6" w:space="0" w:color="004289"/>
              <w:bottom w:val="single" w:sz="6" w:space="0" w:color="004289"/>
              <w:right w:val="single" w:sz="6" w:space="0" w:color="004289"/>
            </w:tcBorders>
            <w:shd w:color="auto" w:fill="auto" w:val="clear"/>
            <w:vAlign w:val="center"/>
          </w:tcPr>
          <w:p>
            <w:pPr>
              <w:pStyle w:val="Normal"/>
              <w:spacing w:lineRule="auto" w:line="312" w:beforeAutospacing="1" w:after="0"/>
              <w:ind w:hanging="21"/>
              <w:jc w:val="center"/>
              <w:textAlignment w:val="baseline"/>
              <w:rPr>
                <w:rFonts w:ascii="Times New Roman" w:hAnsi="Times New Roman" w:eastAsia="Times New Roman" w:cs="Times New Roman"/>
                <w:sz w:val="24"/>
                <w:szCs w:val="24"/>
                <w:lang w:eastAsia="pl-PL"/>
              </w:rPr>
            </w:pPr>
            <w:r>
              <w:rPr>
                <w:rFonts w:eastAsia="Times New Roman" w:cs="Calibri"/>
                <w:sz w:val="24"/>
                <w:szCs w:val="24"/>
                <w:lang w:eastAsia="pl-PL"/>
              </w:rPr>
              <w:t>0 pkt.</w:t>
            </w:r>
            <w:bookmarkStart w:id="52" w:name="_Hlk109025206"/>
            <w:bookmarkEnd w:id="52"/>
          </w:p>
        </w:tc>
      </w:tr>
    </w:tbl>
    <w:p>
      <w:pPr>
        <w:pStyle w:val="ListParagraph"/>
        <w:widowControl w:val="false"/>
        <w:numPr>
          <w:ilvl w:val="0"/>
          <w:numId w:val="19"/>
        </w:numPr>
        <w:spacing w:lineRule="auto" w:line="312" w:before="0" w:after="0"/>
        <w:ind w:hanging="425" w:left="425"/>
        <w:contextualSpacing w:val="false"/>
        <w:jc w:val="both"/>
        <w:rPr>
          <w:rFonts w:ascii="Calibri" w:hAnsi="Calibri" w:cs="Calibri"/>
          <w:sz w:val="24"/>
          <w:szCs w:val="24"/>
        </w:rPr>
      </w:pPr>
      <w:r>
        <w:rPr>
          <w:rFonts w:cs="Calibri"/>
          <w:b/>
          <w:bCs/>
          <w:sz w:val="24"/>
          <w:szCs w:val="24"/>
        </w:rPr>
        <w:t>UWAGA</w:t>
      </w:r>
      <w:r>
        <w:rPr>
          <w:rFonts w:cs="Calibri"/>
          <w:sz w:val="24"/>
          <w:szCs w:val="24"/>
        </w:rPr>
        <w:t>: Jeżeli złożono ofertę przez Wykonawcę zagranicznego w cenie netto lub z właściwą dla niego stawką VAT, Zamawiający w celu oceny takiej oferty, doliczy do przedstawionej w niej ceny netto kwotę VAT (lub jej część) do wysokości obowiązującej Wykonawców krajowych.</w:t>
      </w:r>
    </w:p>
    <w:p>
      <w:pPr>
        <w:pStyle w:val="ListParagraph"/>
        <w:widowControl w:val="false"/>
        <w:numPr>
          <w:ilvl w:val="0"/>
          <w:numId w:val="19"/>
        </w:numPr>
        <w:spacing w:lineRule="auto" w:line="312" w:before="0" w:after="0"/>
        <w:ind w:hanging="425" w:left="425"/>
        <w:contextualSpacing w:val="false"/>
        <w:jc w:val="both"/>
        <w:rPr>
          <w:rFonts w:ascii="Calibri" w:hAnsi="Calibri" w:cs="Calibri"/>
          <w:sz w:val="24"/>
          <w:szCs w:val="24"/>
        </w:rPr>
      </w:pPr>
      <w:r>
        <w:rPr>
          <w:rFonts w:cs="Calibri"/>
          <w:sz w:val="24"/>
          <w:szCs w:val="24"/>
        </w:rPr>
        <w:t>Punktacja przyznawana ofertom będzie liczona z dokładnością do dwóch miejsc po przecinku.</w:t>
      </w:r>
    </w:p>
    <w:p>
      <w:pPr>
        <w:pStyle w:val="ListParagraph"/>
        <w:widowControl w:val="false"/>
        <w:numPr>
          <w:ilvl w:val="0"/>
          <w:numId w:val="19"/>
        </w:numPr>
        <w:spacing w:lineRule="auto" w:line="312" w:before="0" w:after="0"/>
        <w:ind w:hanging="425" w:left="425"/>
        <w:contextualSpacing w:val="false"/>
        <w:jc w:val="both"/>
        <w:rPr>
          <w:rFonts w:ascii="Calibri" w:hAnsi="Calibri" w:cs="Calibri"/>
          <w:sz w:val="24"/>
          <w:szCs w:val="24"/>
        </w:rPr>
      </w:pPr>
      <w:r>
        <w:rPr>
          <w:rFonts w:cs="Calibri"/>
          <w:sz w:val="24"/>
          <w:szCs w:val="24"/>
        </w:rPr>
        <w:t>Ocenie będą podlegać wyłącznie oferty niepodlegające odrzuceniu.</w:t>
      </w:r>
    </w:p>
    <w:p>
      <w:pPr>
        <w:pStyle w:val="ListParagraph"/>
        <w:widowControl w:val="false"/>
        <w:numPr>
          <w:ilvl w:val="0"/>
          <w:numId w:val="19"/>
        </w:numPr>
        <w:spacing w:lineRule="auto" w:line="312" w:before="0" w:after="0"/>
        <w:ind w:hanging="425" w:left="425"/>
        <w:contextualSpacing w:val="false"/>
        <w:jc w:val="both"/>
        <w:rPr>
          <w:rFonts w:ascii="Calibri" w:hAnsi="Calibri" w:cs="Calibri"/>
          <w:sz w:val="24"/>
          <w:szCs w:val="24"/>
        </w:rPr>
      </w:pPr>
      <w:r>
        <w:rPr>
          <w:rFonts w:cs="Calibri"/>
          <w:sz w:val="24"/>
          <w:szCs w:val="24"/>
        </w:rPr>
        <w:t>W sytuacji, gdy Zamawiający nie będzie mógł wybrać najkorzystniejszej oferty ze względu na to, że dwie lub więcej ofert przedstawia taki sam bilans ceny i innych kryteriów oceny ofert, Zamawiający wybierze spośród tych ofert tą, która otrzymała najwyższą ocenę w kryterium o najwyższej wadze.</w:t>
      </w:r>
    </w:p>
    <w:p>
      <w:pPr>
        <w:pStyle w:val="ListParagraph"/>
        <w:widowControl w:val="false"/>
        <w:numPr>
          <w:ilvl w:val="0"/>
          <w:numId w:val="19"/>
        </w:numPr>
        <w:spacing w:lineRule="auto" w:line="312" w:before="0" w:after="0"/>
        <w:ind w:hanging="425" w:left="425"/>
        <w:contextualSpacing w:val="false"/>
        <w:jc w:val="both"/>
        <w:rPr>
          <w:rFonts w:ascii="Calibri" w:hAnsi="Calibri" w:cs="Calibri"/>
          <w:sz w:val="24"/>
          <w:szCs w:val="24"/>
        </w:rPr>
      </w:pPr>
      <w:r>
        <w:rPr>
          <w:rFonts w:cs="Calibri" w:cstheme="minorHAnsi"/>
          <w:sz w:val="24"/>
          <w:szCs w:val="24"/>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53" w:name="_Toc109123452"/>
      <w:r>
        <w:rPr>
          <w:rFonts w:cs="Calibri"/>
          <w:b/>
          <w:bCs/>
          <w:sz w:val="28"/>
          <w:szCs w:val="28"/>
        </w:rPr>
        <w:t>Informacje o formalnościach, jakie muszą zostać dopełnione po wyborze oferty w celu zawarcia umowy w sprawie zamówienia publicznego</w:t>
      </w:r>
      <w:bookmarkEnd w:id="53"/>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Zamawiający może zawrzeć umowę w sprawie zamówienia publicznego przed upływem terminu, o którym mowa w ust. 1, jeżeli w postępowaniu o udzielenie zamówienia złożono tylko jedną ofertę.</w:t>
      </w:r>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Wykonawca, którego oferta została wybrana, jako najkorzystniejsza, zostanie po-informowany przez Zamawiającego o miejscu i terminie podpisania umowy.</w:t>
      </w:r>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Wykonawca, o którym mowa w ust. 1, ma obowiązek zawrzeć umowę w sprawie zamówienia na warunkach określonych w projektowanych postanowieniach umowy, które stanowią </w:t>
      </w:r>
      <w:r>
        <w:rPr>
          <w:rFonts w:cs="Calibri"/>
          <w:i/>
          <w:iCs/>
          <w:color w:val="004289"/>
          <w:sz w:val="24"/>
          <w:szCs w:val="24"/>
        </w:rPr>
        <w:t>zał. nr 4 do SWZ Wzór umowy</w:t>
      </w:r>
      <w:r>
        <w:rPr>
          <w:rFonts w:cs="Calibri"/>
          <w:sz w:val="24"/>
          <w:szCs w:val="24"/>
        </w:rPr>
        <w:t>. Umowa zostanie uzupełniona o zapisy wynikające ze złożonej oferty.</w:t>
      </w:r>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Przed podpisaniem umowy Wykonawcy wspólnie ubiegający się o udzielenie zamówienia (w przypadku wyboru ich oferty, jako najkorzystniejszej) przedstawią Zamawiającemu umowę regulującą współpracę tych Wykonawców.</w:t>
      </w:r>
    </w:p>
    <w:p>
      <w:pPr>
        <w:pStyle w:val="ListParagraph"/>
        <w:widowControl w:val="false"/>
        <w:numPr>
          <w:ilvl w:val="0"/>
          <w:numId w:val="14"/>
        </w:numPr>
        <w:spacing w:lineRule="auto" w:line="312" w:before="0" w:after="0"/>
        <w:ind w:hanging="425" w:left="425"/>
        <w:contextualSpacing w:val="false"/>
        <w:jc w:val="both"/>
        <w:rPr>
          <w:rFonts w:ascii="Calibri" w:hAnsi="Calibri" w:cs="Calibri"/>
          <w:sz w:val="24"/>
          <w:szCs w:val="24"/>
        </w:rPr>
      </w:pPr>
      <w:r>
        <w:rPr>
          <w:rFonts w:cs="Calibr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54" w:name="_Toc109123453"/>
      <w:r>
        <w:rPr>
          <w:rFonts w:cs="Calibri"/>
          <w:b/>
          <w:bCs/>
          <w:sz w:val="28"/>
          <w:szCs w:val="28"/>
        </w:rPr>
        <w:t>Pouczenie o środkach ochrony prawnej przysługujących Wykonawcy</w:t>
      </w:r>
      <w:bookmarkEnd w:id="54"/>
    </w:p>
    <w:p>
      <w:pPr>
        <w:pStyle w:val="ListParagraph"/>
        <w:widowControl w:val="false"/>
        <w:numPr>
          <w:ilvl w:val="0"/>
          <w:numId w:val="8"/>
        </w:numPr>
        <w:spacing w:lineRule="auto" w:line="312" w:before="0" w:after="0"/>
        <w:ind w:hanging="425" w:left="425"/>
        <w:contextualSpacing w:val="false"/>
        <w:jc w:val="both"/>
        <w:rPr>
          <w:rFonts w:ascii="Calibri" w:hAnsi="Calibri" w:cs="Calibri"/>
          <w:sz w:val="24"/>
          <w:szCs w:val="24"/>
        </w:rPr>
      </w:pPr>
      <w:r>
        <w:rPr>
          <w:rFonts w:cs="Calibri"/>
          <w:sz w:val="24"/>
          <w:szCs w:val="24"/>
        </w:rPr>
        <w:t>Środki ochrony prawnej przysługują Wykonawcy, jeżeli ma lub miał interes w uzyskaniu zamówienia oraz poniósł lub może ponieść szkodę w wyniku naruszenia przez Zamawiającego przepisów ustawy Pzp.</w:t>
      </w:r>
    </w:p>
    <w:p>
      <w:pPr>
        <w:pStyle w:val="ListParagraph"/>
        <w:widowControl w:val="false"/>
        <w:numPr>
          <w:ilvl w:val="0"/>
          <w:numId w:val="8"/>
        </w:numPr>
        <w:spacing w:lineRule="auto" w:line="312" w:before="0" w:after="0"/>
        <w:ind w:hanging="425" w:left="425"/>
        <w:contextualSpacing w:val="false"/>
        <w:jc w:val="both"/>
        <w:rPr>
          <w:rFonts w:ascii="Calibri" w:hAnsi="Calibri" w:cs="Calibri"/>
          <w:sz w:val="24"/>
          <w:szCs w:val="24"/>
        </w:rPr>
      </w:pPr>
      <w:r>
        <w:rPr>
          <w:rFonts w:cs="Calibri"/>
          <w:sz w:val="24"/>
          <w:szCs w:val="24"/>
        </w:rPr>
        <w:t>Odwołanie przysługuje na:</w:t>
      </w:r>
    </w:p>
    <w:p>
      <w:pPr>
        <w:pStyle w:val="ListParagraph"/>
        <w:widowControl w:val="false"/>
        <w:numPr>
          <w:ilvl w:val="1"/>
          <w:numId w:val="8"/>
        </w:numPr>
        <w:spacing w:lineRule="auto" w:line="312" w:before="0" w:after="0"/>
        <w:ind w:hanging="425" w:left="850"/>
        <w:contextualSpacing w:val="false"/>
        <w:jc w:val="both"/>
        <w:rPr>
          <w:rFonts w:ascii="Calibri" w:hAnsi="Calibri" w:cs="Calibri"/>
          <w:sz w:val="24"/>
          <w:szCs w:val="24"/>
        </w:rPr>
      </w:pPr>
      <w:r>
        <w:rPr>
          <w:rFonts w:cs="Calibri"/>
          <w:sz w:val="24"/>
          <w:szCs w:val="24"/>
        </w:rPr>
        <w:t>niezgodną z przepisami ustawy czynność Zamawiającego, podjętą w postępowaniu o udzielenie zamówienia, w tym na projektowane postanowienie umowy;</w:t>
      </w:r>
    </w:p>
    <w:p>
      <w:pPr>
        <w:pStyle w:val="ListParagraph"/>
        <w:widowControl w:val="false"/>
        <w:numPr>
          <w:ilvl w:val="1"/>
          <w:numId w:val="8"/>
        </w:numPr>
        <w:spacing w:lineRule="auto" w:line="312" w:before="0" w:after="0"/>
        <w:ind w:hanging="425" w:left="850"/>
        <w:contextualSpacing w:val="false"/>
        <w:jc w:val="both"/>
        <w:rPr>
          <w:rFonts w:ascii="Calibri" w:hAnsi="Calibri" w:cs="Calibri"/>
          <w:sz w:val="24"/>
          <w:szCs w:val="24"/>
        </w:rPr>
      </w:pPr>
      <w:r>
        <w:rPr>
          <w:rFonts w:cs="Calibri"/>
          <w:sz w:val="24"/>
          <w:szCs w:val="24"/>
        </w:rPr>
        <w:t>zaniechanie czynności w postępowaniu o udzielenie zamówienia, do której Zamawiający był obowiązany na podstawie ustawy.</w:t>
      </w:r>
    </w:p>
    <w:p>
      <w:pPr>
        <w:pStyle w:val="ListParagraph"/>
        <w:widowControl w:val="false"/>
        <w:numPr>
          <w:ilvl w:val="0"/>
          <w:numId w:val="8"/>
        </w:numPr>
        <w:spacing w:lineRule="auto" w:line="312" w:before="0" w:after="0"/>
        <w:ind w:hanging="425" w:left="425"/>
        <w:contextualSpacing w:val="false"/>
        <w:jc w:val="both"/>
        <w:rPr>
          <w:rFonts w:ascii="Calibri" w:hAnsi="Calibri" w:cs="Calibri"/>
          <w:sz w:val="24"/>
          <w:szCs w:val="24"/>
        </w:rPr>
      </w:pPr>
      <w:r>
        <w:rPr>
          <w:rFonts w:cs="Calibri"/>
          <w:sz w:val="24"/>
          <w:szCs w:val="24"/>
        </w:rPr>
        <w:t>Odwołanie wnosi się do Prezesa Krajowej Izby Odwoławczej w formie pisemnej albo w formie elektronicznej albo w postaci elektronicznej opatrzone podpisem zaufanym.</w:t>
      </w:r>
    </w:p>
    <w:p>
      <w:pPr>
        <w:pStyle w:val="ListParagraph"/>
        <w:widowControl w:val="false"/>
        <w:numPr>
          <w:ilvl w:val="0"/>
          <w:numId w:val="8"/>
        </w:numPr>
        <w:spacing w:lineRule="auto" w:line="312" w:before="0" w:after="0"/>
        <w:ind w:hanging="425" w:left="425"/>
        <w:contextualSpacing w:val="false"/>
        <w:jc w:val="both"/>
        <w:rPr>
          <w:rFonts w:ascii="Calibri" w:hAnsi="Calibri" w:cs="Calibri"/>
          <w:sz w:val="24"/>
          <w:szCs w:val="24"/>
        </w:rPr>
      </w:pPr>
      <w:r>
        <w:rPr>
          <w:rFonts w:cs="Calibri"/>
          <w:sz w:val="24"/>
          <w:szCs w:val="24"/>
        </w:rPr>
        <w:t>Na orzeczenie Krajowej Izby Odwoławczej oraz postanowienie Prezesa Krajowej Izby Odwoławczej, o którym mowa w art. 519 ust. 1 ustawy Pzp, stronom oraz uczestnikom postępowania odwoławczego przysługuje skarga do sądu. Skargą wnosi się do Sądu Okręgowego w Warszawie za pośrednictwem Prezesa Krajowej Izby Odwoławczej.</w:t>
      </w:r>
    </w:p>
    <w:p>
      <w:pPr>
        <w:pStyle w:val="ListParagraph"/>
        <w:widowControl w:val="false"/>
        <w:numPr>
          <w:ilvl w:val="0"/>
          <w:numId w:val="8"/>
        </w:numPr>
        <w:spacing w:lineRule="auto" w:line="312" w:before="0" w:after="0"/>
        <w:ind w:hanging="425" w:left="425"/>
        <w:contextualSpacing w:val="false"/>
        <w:jc w:val="both"/>
        <w:rPr>
          <w:rFonts w:ascii="Calibri" w:hAnsi="Calibri" w:cs="Calibri"/>
          <w:sz w:val="24"/>
          <w:szCs w:val="24"/>
        </w:rPr>
      </w:pPr>
      <w:r>
        <w:rPr>
          <w:rFonts w:cs="Calibri"/>
          <w:sz w:val="24"/>
          <w:szCs w:val="24"/>
        </w:rPr>
        <w:t>Szczegółowe informacje dotyczące środków ochrony prawnej określone są w Dziale IX „Środki ochrony prawnej” ustawy Pzp.</w:t>
      </w:r>
    </w:p>
    <w:p>
      <w:pPr>
        <w:pStyle w:val="ListParagraph"/>
        <w:widowControl w:val="false"/>
        <w:numPr>
          <w:ilvl w:val="0"/>
          <w:numId w:val="1"/>
        </w:numPr>
        <w:tabs>
          <w:tab w:val="clear" w:pos="708"/>
          <w:tab w:val="left" w:pos="142" w:leader="none"/>
        </w:tabs>
        <w:spacing w:lineRule="auto" w:line="312" w:before="240" w:after="120"/>
        <w:ind w:hanging="567" w:left="0"/>
        <w:contextualSpacing w:val="false"/>
        <w:jc w:val="both"/>
        <w:outlineLvl w:val="0"/>
        <w:rPr>
          <w:rFonts w:ascii="Calibri" w:hAnsi="Calibri" w:cs="Calibri"/>
          <w:b/>
          <w:bCs/>
          <w:sz w:val="28"/>
          <w:szCs w:val="28"/>
        </w:rPr>
      </w:pPr>
      <w:bookmarkStart w:id="55" w:name="_Toc109123454"/>
      <w:r>
        <w:rPr>
          <w:rFonts w:cs="Calibri"/>
          <w:b/>
          <w:bCs/>
          <w:sz w:val="28"/>
          <w:szCs w:val="28"/>
        </w:rPr>
        <w:t>Klauzula informacyjna dotycząca przetwarzania danych osobowych</w:t>
      </w:r>
      <w:bookmarkEnd w:id="55"/>
    </w:p>
    <w:p>
      <w:pPr>
        <w:pStyle w:val="ListParagraph"/>
        <w:widowControl w:val="false"/>
        <w:numPr>
          <w:ilvl w:val="0"/>
          <w:numId w:val="9"/>
        </w:numPr>
        <w:spacing w:lineRule="auto" w:line="312" w:before="0" w:after="0"/>
        <w:ind w:hanging="425" w:left="425"/>
        <w:contextualSpacing w:val="false"/>
        <w:jc w:val="both"/>
        <w:rPr>
          <w:rFonts w:ascii="Calibri" w:hAnsi="Calibri" w:cs="Calibri"/>
          <w:sz w:val="24"/>
          <w:szCs w:val="24"/>
        </w:rPr>
      </w:pPr>
      <w:r>
        <w:rPr>
          <w:rFonts w:cs="Calibr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Administratorem danych osobowych jest SPZOZ w Kazimierzy Wielkiej</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 xml:space="preserve">w sprawach dotyczących Państwa danych należy kontaktować się bezpośrednio z Inspektorem ochrony danych: mail: </w:t>
      </w:r>
      <w:r>
        <w:rPr/>
        <w:t>rodo@spzozkw.pl</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dane osobowe Wykonawcy przetwarzane będą na podstawie art. 6 ust. 1 lit. c RODO w celu związanym z postępowaniem o udzielenie niniejszego zamówienia publicznego oraz w celu związanym z realizacją zamówienia;</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dane będą udostępniane wyłącznie następującym odbiorcom: osobom upoważnionym przez Administratora danych osobowych do przetwarzania danych osobowych oraz podmiotom przetwarzającym dane osobowe w imieniu Administratora danych na podstawie umów zawartych z Administratorem danych, ponadto odbiorcami danych osobowych Wykonawcy będą osoby lub podmioty, którym udostępniona zostanie dokumentacja postępowania w oparciu o art. 18 oraz art. 74-76 ustawy Pzp oraz Regulaminu ZP obowiązującego u Zamawiającego oraz inne osoby lub podmioty mogące żądać danych na podstawie przepisów prawa powszechnie obowiązujących;</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przetwarzanie danych osobowych przez Administratora danych jest niezbędne do wykonania zamówienia z Administratorem danych, wypełnienia obowiązków prawnych ciążących na Administratorze danych oraz jest niezbędne w ramach sprawowania władzy publicznej powierzonej Administratorowi danych;</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dane osobowe będą przechowywane do upływu okresu przechowywania dokumentacji związanej z realizacją zamówienia, wynikającego z powszechnie obowiązujących przepisów prawa, tj. w szczególności zgodnie z art. 78 ust. 1 ustawy Pzp, przez okres nie krótszy niż 4 lata od dnia zakończenia postępowania o udzielenie zamówienia;</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dane osobowe nie będą przekazane do Państwa trzeciego w rozumieniu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nie będzie stosowane podejmowanie decyzji oparte wyłącznie na zautomatyzowanym przetwarzaniu, w tym profilowaniu, o którym mowa w art. 22 ust. 1 i 4 RODO.</w:t>
      </w:r>
    </w:p>
    <w:p>
      <w:pPr>
        <w:pStyle w:val="ListParagraph"/>
        <w:widowControl w:val="false"/>
        <w:numPr>
          <w:ilvl w:val="0"/>
          <w:numId w:val="9"/>
        </w:numPr>
        <w:spacing w:lineRule="auto" w:line="312" w:before="0" w:after="0"/>
        <w:ind w:hanging="425" w:left="425"/>
        <w:contextualSpacing w:val="false"/>
        <w:jc w:val="both"/>
        <w:rPr>
          <w:rFonts w:ascii="Calibri" w:hAnsi="Calibri" w:cs="Calibri"/>
          <w:sz w:val="24"/>
          <w:szCs w:val="24"/>
        </w:rPr>
      </w:pPr>
      <w:r>
        <w:rPr>
          <w:rFonts w:cs="Calibri"/>
          <w:sz w:val="24"/>
          <w:szCs w:val="24"/>
        </w:rPr>
        <w:t>Wykonawcy przysługuje wobec Administratora danych osobowych, na zasadach określonych w rozporządzeniu Parlamentu Europejskiego i Rady (UE) 2016/679:</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dostępu do jego danych osobowych na podstawie art. 15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 żądania sprostowania i uzupełnienia danych osobowych na podstawie art. 16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 ograniczenia przetwarzania danych osobowych na podstawie art. 18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 wniesienia skargi do organu nadzorującego przetwarzanie danych osobowych zgodnie z przepisami o ochronie danych osobowych</w:t>
      </w:r>
    </w:p>
    <w:p>
      <w:pPr>
        <w:pStyle w:val="ListParagraph"/>
        <w:widowControl w:val="false"/>
        <w:numPr>
          <w:ilvl w:val="0"/>
          <w:numId w:val="9"/>
        </w:numPr>
        <w:spacing w:lineRule="auto" w:line="312" w:before="0" w:after="0"/>
        <w:ind w:hanging="425" w:left="425"/>
        <w:contextualSpacing w:val="false"/>
        <w:jc w:val="both"/>
        <w:rPr>
          <w:rFonts w:ascii="Calibri" w:hAnsi="Calibri" w:cs="Calibri"/>
          <w:sz w:val="24"/>
          <w:szCs w:val="24"/>
        </w:rPr>
      </w:pPr>
      <w:r>
        <w:rPr>
          <w:rFonts w:cs="Calibri"/>
          <w:sz w:val="24"/>
          <w:szCs w:val="24"/>
        </w:rPr>
        <w:t>Wykonawcy nie przysługuje wobec Administratora danych osobowych, na zasadach określonych w rozporządzeniu Parlamentu Europejskiego i Rady (UE) 2016/679:</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 usunięcia jego danych osobowych w związku z art. 17 ust. 3 lit. b, d lub e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do przenoszenia danych osobowych, o których mowa w art. 20 RODO;</w:t>
      </w:r>
    </w:p>
    <w:p>
      <w:pPr>
        <w:pStyle w:val="ListParagraph"/>
        <w:widowControl w:val="false"/>
        <w:numPr>
          <w:ilvl w:val="1"/>
          <w:numId w:val="9"/>
        </w:numPr>
        <w:spacing w:lineRule="auto" w:line="312" w:before="0" w:after="0"/>
        <w:ind w:hanging="425" w:left="850"/>
        <w:contextualSpacing w:val="false"/>
        <w:jc w:val="both"/>
        <w:rPr>
          <w:rFonts w:ascii="Calibri" w:hAnsi="Calibri" w:cs="Calibri"/>
          <w:sz w:val="24"/>
          <w:szCs w:val="24"/>
        </w:rPr>
      </w:pPr>
      <w:r>
        <w:rPr>
          <w:rFonts w:cs="Calibri"/>
          <w:sz w:val="24"/>
          <w:szCs w:val="24"/>
        </w:rPr>
        <w:t>prawo sprzeciwu, wobec przetwarzania danych osobowych, na podstawie art. 21 RODO, gdyż podstawą prawną przetwarzania danych osobowych Wykonawcy jest art. 6 ust. 1 lit. c RODO.</w:t>
      </w:r>
    </w:p>
    <w:p>
      <w:pPr>
        <w:pStyle w:val="ListParagraph"/>
        <w:widowControl w:val="false"/>
        <w:numPr>
          <w:ilvl w:val="0"/>
          <w:numId w:val="1"/>
        </w:numPr>
        <w:spacing w:lineRule="auto" w:line="312" w:before="240" w:after="120"/>
        <w:ind w:hanging="567" w:left="0"/>
        <w:contextualSpacing w:val="false"/>
        <w:jc w:val="both"/>
        <w:outlineLvl w:val="0"/>
        <w:rPr>
          <w:rFonts w:ascii="Calibri" w:hAnsi="Calibri" w:cs="Calibri"/>
          <w:b/>
          <w:bCs/>
          <w:sz w:val="28"/>
          <w:szCs w:val="28"/>
        </w:rPr>
      </w:pPr>
      <w:bookmarkStart w:id="56" w:name="_Toc109123455"/>
      <w:r>
        <w:rPr>
          <w:rFonts w:cs="Calibri"/>
          <w:b/>
          <w:bCs/>
          <w:sz w:val="28"/>
          <w:szCs w:val="28"/>
        </w:rPr>
        <w:t>Załączniki do SWZ</w:t>
      </w:r>
      <w:bookmarkEnd w:id="56"/>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Załącznik nr 1</w:t>
        <w:tab/>
        <w:tab/>
        <w:t>Formularz ofertowy</w:t>
      </w:r>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Załącznik nr 2</w:t>
        <w:tab/>
        <w:tab/>
        <w:t>Oświadczenie, o którym mowa w art. 125 ust. 1 ustawy Pzp</w:t>
      </w:r>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Załącznik nr 3</w:t>
        <w:tab/>
        <w:tab/>
        <w:t>Opis przedmiotu zamówienia</w:t>
      </w:r>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Załącznik nr 4</w:t>
        <w:tab/>
        <w:tab/>
        <w:t>Oświadczenie dot. przynależności do grupy kapitałowej</w:t>
      </w:r>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Załącznik nr 5</w:t>
        <w:tab/>
        <w:tab/>
        <w:t>Oświadczenie składane na podst. art. 117 ust. 4 ustawy Pzp</w:t>
      </w:r>
    </w:p>
    <w:p>
      <w:pPr>
        <w:pStyle w:val="ListParagraph"/>
        <w:widowControl w:val="false"/>
        <w:numPr>
          <w:ilvl w:val="0"/>
          <w:numId w:val="5"/>
        </w:numPr>
        <w:spacing w:lineRule="auto" w:line="312" w:before="0" w:after="0"/>
        <w:ind w:hanging="425" w:left="425"/>
        <w:contextualSpacing w:val="false"/>
        <w:jc w:val="both"/>
        <w:rPr>
          <w:rFonts w:ascii="Calibri" w:hAnsi="Calibri" w:cs="Calibri"/>
          <w:sz w:val="24"/>
          <w:szCs w:val="24"/>
        </w:rPr>
      </w:pPr>
      <w:r>
        <w:rPr>
          <w:rFonts w:cs="Calibri"/>
          <w:sz w:val="24"/>
          <w:szCs w:val="24"/>
        </w:rPr>
        <w:t xml:space="preserve">Załącznik nr 6                    Istotne postanowienia umowne </w:t>
      </w:r>
    </w:p>
    <w:p>
      <w:pPr>
        <w:pStyle w:val="Normal"/>
        <w:widowControl w:val="false"/>
        <w:spacing w:lineRule="auto" w:line="312" w:before="0" w:after="0"/>
        <w:jc w:val="both"/>
        <w:rPr>
          <w:rFonts w:ascii="Calibri" w:hAnsi="Calibri" w:cs="Calibri"/>
          <w:sz w:val="24"/>
          <w:szCs w:val="24"/>
        </w:rPr>
      </w:pPr>
      <w:r>
        <w:rPr>
          <w:rFonts w:cs="Calibri"/>
          <w:sz w:val="24"/>
          <w:szCs w:val="24"/>
        </w:rPr>
      </w:r>
    </w:p>
    <w:sectPr>
      <w:headerReference w:type="default" r:id="rId4"/>
      <w:footerReference w:type="default" r:id="rId5"/>
      <w:type w:val="nextPage"/>
      <w:pgSz w:w="11906" w:h="16838"/>
      <w:pgMar w:left="1644" w:right="1077" w:gutter="0" w:header="284" w:top="1418" w:footer="284" w:bottom="1134"/>
      <w:pgNumType w:start="1"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Segoe UI">
    <w:charset w:val="ee"/>
    <w:family w:val="roman"/>
    <w:pitch w:val="variable"/>
  </w:font>
  <w:font w:name="Liberation Sans">
    <w:altName w:val="Arial"/>
    <w:charset w:val="ee"/>
    <w:family w:val="roman"/>
    <w:pitch w:val="variable"/>
  </w:font>
  <w:font w:name="MinionPro-Regular">
    <w:charset w:val="ee"/>
    <w:family w:val="roman"/>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47551713"/>
    </w:sdtPr>
    <w:sdtContent>
      <w:p>
        <w:pPr>
          <w:pStyle w:val="Footer"/>
          <w:ind w:left="-567"/>
          <w:rPr/>
        </w:pPr>
        <w:r>
          <w:rPr>
            <w:rStyle w:val="PlaceholderText"/>
          </w:rPr>
          <w:t>KW/6/ZP/2026</w:t>
        </w:r>
        <w:r>
          <w:rPr>
            <w:rFonts w:cs="Calibri" w:cstheme="minorHAnsi"/>
          </w:rPr>
          <w:tab/>
        </w:r>
        <w:r>
          <w:rPr/>
          <w:t xml:space="preserve">Strona | </w:t>
        </w:r>
        <w:r>
          <w:rPr/>
          <w:fldChar w:fldCharType="begin"/>
        </w:r>
        <w:r>
          <w:rPr/>
          <w:instrText xml:space="preserve"> PAGE </w:instrText>
        </w:r>
        <w:r>
          <w:rPr/>
          <w:fldChar w:fldCharType="separate"/>
        </w:r>
        <w:r>
          <w:rPr/>
          <w:t>17</w:t>
        </w:r>
        <w:r>
          <w:rPr/>
          <w:fldChar w:fldCharType="end"/>
        </w:r>
        <w:r>
          <w:rPr/>
          <w:t xml:space="preserve">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567"/>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567" w:hanging="567"/>
      </w:pPr>
      <w:rPr>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lvlText w:val="%1."/>
      <w:lvlJc w:val="left"/>
      <w:pPr>
        <w:tabs>
          <w:tab w:val="num" w:pos="0"/>
        </w:tabs>
        <w:ind w:left="360" w:hanging="360"/>
      </w:pPr>
      <w:rPr>
        <w:b w:val="false"/>
        <w:bCs w:val="false"/>
      </w:rPr>
    </w:lvl>
    <w:lvl w:ilvl="1">
      <w:start w:val="1"/>
      <w:numFmt w:val="lowerLetter"/>
      <w:lvlText w:val="%2."/>
      <w:lvlJc w:val="left"/>
      <w:pPr>
        <w:tabs>
          <w:tab w:val="num" w:pos="0"/>
        </w:tabs>
        <w:ind w:left="1080" w:hanging="360"/>
      </w:pPr>
      <w:rPr/>
    </w:lvl>
    <w:lvl w:ilvl="2">
      <w:start w:val="0"/>
      <w:numFmt w:val="decimal"/>
      <w:lvlText w:val="%3"/>
      <w:lvlJc w:val="left"/>
      <w:pPr>
        <w:tabs>
          <w:tab w:val="num" w:pos="0"/>
        </w:tabs>
        <w:ind w:left="1980" w:hanging="36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
    <w:lvl w:ilvl="0">
      <w:start w:val="1"/>
      <w:numFmt w:val="decimal"/>
      <w:lvlText w:val="%1."/>
      <w:lvlJc w:val="left"/>
      <w:pPr>
        <w:tabs>
          <w:tab w:val="num" w:pos="0"/>
        </w:tabs>
        <w:ind w:left="360" w:hanging="360"/>
      </w:pPr>
      <w:rPr>
        <w:i w:val="false"/>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9">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0">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7">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18">
    <w:lvl w:ilvl="0">
      <w:start w:val="1"/>
      <w:numFmt w:val="decimal"/>
      <w:lvlText w:val="%1."/>
      <w:lvlJc w:val="left"/>
      <w:pPr>
        <w:tabs>
          <w:tab w:val="num" w:pos="0"/>
        </w:tabs>
        <w:ind w:left="1571" w:hanging="360"/>
      </w:pPr>
      <w:rPr/>
    </w:lvl>
    <w:lvl w:ilvl="1">
      <w:start w:val="1"/>
      <w:numFmt w:val="lowerLetter"/>
      <w:lvlText w:val="%2."/>
      <w:lvlJc w:val="left"/>
      <w:pPr>
        <w:tabs>
          <w:tab w:val="num" w:pos="0"/>
        </w:tabs>
        <w:ind w:left="2291" w:hanging="360"/>
      </w:pPr>
      <w:rPr/>
    </w:lvl>
    <w:lvl w:ilvl="2">
      <w:start w:val="1"/>
      <w:numFmt w:val="lowerRoman"/>
      <w:lvlText w:val="%3."/>
      <w:lvlJc w:val="right"/>
      <w:pPr>
        <w:tabs>
          <w:tab w:val="num" w:pos="0"/>
        </w:tabs>
        <w:ind w:left="3011" w:hanging="180"/>
      </w:pPr>
      <w:rPr/>
    </w:lvl>
    <w:lvl w:ilvl="3">
      <w:start w:val="1"/>
      <w:numFmt w:val="decimal"/>
      <w:lvlText w:val="%4."/>
      <w:lvlJc w:val="left"/>
      <w:pPr>
        <w:tabs>
          <w:tab w:val="num" w:pos="0"/>
        </w:tabs>
        <w:ind w:left="3731" w:hanging="360"/>
      </w:pPr>
      <w:rPr/>
    </w:lvl>
    <w:lvl w:ilvl="4">
      <w:start w:val="1"/>
      <w:numFmt w:val="lowerLetter"/>
      <w:lvlText w:val="%5."/>
      <w:lvlJc w:val="left"/>
      <w:pPr>
        <w:tabs>
          <w:tab w:val="num" w:pos="0"/>
        </w:tabs>
        <w:ind w:left="4451" w:hanging="360"/>
      </w:pPr>
      <w:rPr/>
    </w:lvl>
    <w:lvl w:ilvl="5">
      <w:start w:val="1"/>
      <w:numFmt w:val="lowerRoman"/>
      <w:lvlText w:val="%6."/>
      <w:lvlJc w:val="right"/>
      <w:pPr>
        <w:tabs>
          <w:tab w:val="num" w:pos="0"/>
        </w:tabs>
        <w:ind w:left="5171" w:hanging="180"/>
      </w:pPr>
      <w:rPr/>
    </w:lvl>
    <w:lvl w:ilvl="6">
      <w:start w:val="1"/>
      <w:numFmt w:val="decimal"/>
      <w:lvlText w:val="%7."/>
      <w:lvlJc w:val="left"/>
      <w:pPr>
        <w:tabs>
          <w:tab w:val="num" w:pos="0"/>
        </w:tabs>
        <w:ind w:left="5891" w:hanging="360"/>
      </w:pPr>
      <w:rPr/>
    </w:lvl>
    <w:lvl w:ilvl="7">
      <w:start w:val="1"/>
      <w:numFmt w:val="lowerLetter"/>
      <w:lvlText w:val="%8."/>
      <w:lvlJc w:val="left"/>
      <w:pPr>
        <w:tabs>
          <w:tab w:val="num" w:pos="0"/>
        </w:tabs>
        <w:ind w:left="6611" w:hanging="360"/>
      </w:pPr>
      <w:rPr/>
    </w:lvl>
    <w:lvl w:ilvl="8">
      <w:start w:val="1"/>
      <w:numFmt w:val="lowerRoman"/>
      <w:lvlText w:val="%9."/>
      <w:lvlJc w:val="right"/>
      <w:pPr>
        <w:tabs>
          <w:tab w:val="num" w:pos="0"/>
        </w:tabs>
        <w:ind w:left="7331" w:hanging="180"/>
      </w:pPr>
      <w:rPr/>
    </w:lvl>
  </w:abstractNum>
  <w:abstractNum w:abstractNumId="19">
    <w:lvl w:ilvl="0">
      <w:start w:val="6"/>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2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next w:val="Normal"/>
    <w:link w:val="Nagwek1Znak"/>
    <w:uiPriority w:val="9"/>
    <w:qFormat/>
    <w:rsid w:val="000f7eaa"/>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alibrilight12" w:customStyle="1">
    <w:name w:val="Calibri light 12"/>
    <w:basedOn w:val="DefaultParagraphFont"/>
    <w:uiPriority w:val="1"/>
    <w:qFormat/>
    <w:rsid w:val="000f7eaa"/>
    <w:rPr>
      <w:rFonts w:ascii="Calibri Light" w:hAnsi="Calibri Light"/>
      <w:color w:val="auto"/>
      <w:sz w:val="24"/>
    </w:rPr>
  </w:style>
  <w:style w:type="character" w:styleId="Calibri12" w:customStyle="1">
    <w:name w:val="calibri 12"/>
    <w:basedOn w:val="DefaultParagraphFont"/>
    <w:uiPriority w:val="1"/>
    <w:qFormat/>
    <w:rsid w:val="000f7eaa"/>
    <w:rPr>
      <w:rFonts w:ascii="Calibri" w:hAnsi="Calibri"/>
      <w:sz w:val="24"/>
    </w:rPr>
  </w:style>
  <w:style w:type="character" w:styleId="Calibri16" w:customStyle="1">
    <w:name w:val="calibri 16"/>
    <w:basedOn w:val="DefaultParagraphFont"/>
    <w:uiPriority w:val="1"/>
    <w:qFormat/>
    <w:rsid w:val="000f7eaa"/>
    <w:rPr>
      <w:rFonts w:ascii="Calibri" w:hAnsi="Calibri"/>
      <w:sz w:val="32"/>
    </w:rPr>
  </w:style>
  <w:style w:type="character" w:styleId="Nagwek1Znak" w:customStyle="1">
    <w:name w:val="Nagłówek 1 Znak"/>
    <w:basedOn w:val="DefaultParagraphFont"/>
    <w:uiPriority w:val="9"/>
    <w:qFormat/>
    <w:rsid w:val="000f7eaa"/>
    <w:rPr>
      <w:rFonts w:ascii="Calibri Light" w:hAnsi="Calibri Light" w:eastAsia="" w:cs="" w:asciiTheme="majorHAnsi" w:cstheme="majorBidi" w:eastAsiaTheme="majorEastAsia" w:hAnsiTheme="majorHAnsi"/>
      <w:color w:themeColor="accent1" w:themeShade="bf" w:val="2F5496"/>
      <w:sz w:val="32"/>
      <w:szCs w:val="32"/>
    </w:rPr>
  </w:style>
  <w:style w:type="character" w:styleId="NagwekZnak" w:customStyle="1">
    <w:name w:val="Nagłówek Znak"/>
    <w:basedOn w:val="DefaultParagraphFont"/>
    <w:uiPriority w:val="99"/>
    <w:qFormat/>
    <w:rsid w:val="000f7eaa"/>
    <w:rPr/>
  </w:style>
  <w:style w:type="character" w:styleId="StopkaZnak" w:customStyle="1">
    <w:name w:val="Stopka Znak"/>
    <w:basedOn w:val="DefaultParagraphFont"/>
    <w:uiPriority w:val="99"/>
    <w:qFormat/>
    <w:rsid w:val="000f7eaa"/>
    <w:rPr/>
  </w:style>
  <w:style w:type="character" w:styleId="PlaceholderText">
    <w:name w:val="Placeholder Text"/>
    <w:basedOn w:val="DefaultParagraphFont"/>
    <w:uiPriority w:val="99"/>
    <w:semiHidden/>
    <w:qFormat/>
    <w:rsid w:val="0069129d"/>
    <w:rPr>
      <w:color w:val="808080"/>
    </w:rPr>
  </w:style>
  <w:style w:type="character" w:styleId="Hyperlink" w:customStyle="1">
    <w:name w:val="Hyperlink"/>
    <w:basedOn w:val="DefaultParagraphFont"/>
    <w:uiPriority w:val="99"/>
    <w:unhideWhenUsed/>
    <w:rsid w:val="0069129d"/>
    <w:rPr>
      <w:color w:themeColor="hyperlink" w:val="0563C1"/>
      <w:u w:val="single"/>
    </w:rPr>
  </w:style>
  <w:style w:type="character" w:styleId="Nierozpoznanawzmianka1" w:customStyle="1">
    <w:name w:val="Nierozpoznana wzmianka1"/>
    <w:basedOn w:val="DefaultParagraphFont"/>
    <w:uiPriority w:val="99"/>
    <w:semiHidden/>
    <w:unhideWhenUsed/>
    <w:qFormat/>
    <w:rsid w:val="00132853"/>
    <w:rPr>
      <w:color w:val="605E5C"/>
      <w:shd w:fill="E1DFDD" w:val="clear"/>
    </w:rPr>
  </w:style>
  <w:style w:type="character" w:styleId="Calibri20ty" w:customStyle="1">
    <w:name w:val="calibri 20 żółty"/>
    <w:basedOn w:val="DefaultParagraphFont"/>
    <w:uiPriority w:val="1"/>
    <w:qFormat/>
    <w:rsid w:val="00de6800"/>
    <w:rPr>
      <w:rFonts w:ascii="Calibri" w:hAnsi="Calibri"/>
      <w:b/>
      <w:color w:val="FFC000"/>
      <w:sz w:val="40"/>
    </w:rPr>
  </w:style>
  <w:style w:type="character" w:styleId="Calibri12bold" w:customStyle="1">
    <w:name w:val="calibri 12 bold"/>
    <w:basedOn w:val="DefaultParagraphFont"/>
    <w:uiPriority w:val="1"/>
    <w:qFormat/>
    <w:rsid w:val="00fb6312"/>
    <w:rPr>
      <w:rFonts w:ascii="Calibri" w:hAnsi="Calibri"/>
      <w:b/>
      <w:sz w:val="24"/>
    </w:rPr>
  </w:style>
  <w:style w:type="character" w:styleId="Calibri20niebieski" w:customStyle="1">
    <w:name w:val="calibri 20 niebieski"/>
    <w:basedOn w:val="Calibri20ty"/>
    <w:uiPriority w:val="1"/>
    <w:qFormat/>
    <w:rsid w:val="005a1e8d"/>
    <w:rPr>
      <w:rFonts w:ascii="Calibri" w:hAnsi="Calibri"/>
      <w:b/>
      <w:color w:val="004289"/>
      <w:sz w:val="40"/>
    </w:rPr>
  </w:style>
  <w:style w:type="character" w:styleId="TekstdymkaZnak" w:customStyle="1">
    <w:name w:val="Tekst dymka Znak"/>
    <w:basedOn w:val="DefaultParagraphFont"/>
    <w:link w:val="BalloonText"/>
    <w:uiPriority w:val="99"/>
    <w:semiHidden/>
    <w:qFormat/>
    <w:rsid w:val="0085102b"/>
    <w:rPr>
      <w:rFonts w:ascii="Segoe UI" w:hAnsi="Segoe UI" w:cs="Segoe UI"/>
      <w:sz w:val="18"/>
      <w:szCs w:val="18"/>
    </w:rPr>
  </w:style>
  <w:style w:type="character" w:styleId="Annotationreference">
    <w:name w:val="annotation reference"/>
    <w:basedOn w:val="DefaultParagraphFont"/>
    <w:uiPriority w:val="99"/>
    <w:semiHidden/>
    <w:unhideWhenUsed/>
    <w:qFormat/>
    <w:rsid w:val="00843ac6"/>
    <w:rPr>
      <w:sz w:val="16"/>
      <w:szCs w:val="16"/>
    </w:rPr>
  </w:style>
  <w:style w:type="character" w:styleId="TekstkomentarzaZnak" w:customStyle="1">
    <w:name w:val="Tekst komentarza Znak"/>
    <w:basedOn w:val="DefaultParagraphFont"/>
    <w:link w:val="Annotationtext"/>
    <w:uiPriority w:val="99"/>
    <w:qFormat/>
    <w:rsid w:val="00843ac6"/>
    <w:rPr>
      <w:sz w:val="20"/>
      <w:szCs w:val="20"/>
    </w:rPr>
  </w:style>
  <w:style w:type="character" w:styleId="TematkomentarzaZnak" w:customStyle="1">
    <w:name w:val="Temat komentarza Znak"/>
    <w:basedOn w:val="TekstkomentarzaZnak"/>
    <w:link w:val="Annotationsubject"/>
    <w:uiPriority w:val="99"/>
    <w:semiHidden/>
    <w:qFormat/>
    <w:rsid w:val="00843ac6"/>
    <w:rPr>
      <w:b/>
      <w:bCs/>
      <w:sz w:val="20"/>
      <w:szCs w:val="20"/>
    </w:rPr>
  </w:style>
  <w:style w:type="character" w:styleId="Normaltextrun" w:customStyle="1">
    <w:name w:val="normaltextrun"/>
    <w:qFormat/>
    <w:rsid w:val="00455405"/>
    <w:rPr/>
  </w:style>
  <w:style w:type="character" w:styleId="AkapitzlistZnak" w:customStyle="1">
    <w:name w:val="Akapit z listą Znak"/>
    <w:link w:val="ListParagraph"/>
    <w:uiPriority w:val="34"/>
    <w:qFormat/>
    <w:rsid w:val="00455405"/>
    <w:rPr/>
  </w:style>
  <w:style w:type="character" w:styleId="Eop" w:customStyle="1">
    <w:name w:val="eop"/>
    <w:basedOn w:val="DefaultParagraphFont"/>
    <w:qFormat/>
    <w:rsid w:val="002516b3"/>
    <w:rPr/>
  </w:style>
  <w:style w:type="character" w:styleId="Nierozpoznanawzmianka2" w:customStyle="1">
    <w:name w:val="Nierozpoznana wzmianka2"/>
    <w:basedOn w:val="DefaultParagraphFont"/>
    <w:uiPriority w:val="99"/>
    <w:semiHidden/>
    <w:unhideWhenUsed/>
    <w:qFormat/>
    <w:rsid w:val="005e5177"/>
    <w:rPr>
      <w:color w:val="605E5C"/>
      <w:shd w:fill="E1DFDD" w:val="clear"/>
    </w:rPr>
  </w:style>
  <w:style w:type="character" w:styleId="UnresolvedMention">
    <w:name w:val="Unresolved Mention"/>
    <w:basedOn w:val="DefaultParagraphFont"/>
    <w:uiPriority w:val="99"/>
    <w:semiHidden/>
    <w:unhideWhenUsed/>
    <w:qFormat/>
    <w:rsid w:val="00fa08cd"/>
    <w:rPr>
      <w:color w:val="605E5C"/>
      <w:shd w:fill="E1DFDD" w:val="clear"/>
    </w:rPr>
  </w:style>
  <w:style w:type="character" w:styleId="Czeindeksu" w:customStyle="1">
    <w:name w:val="Łącze indeksu"/>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Header">
    <w:name w:val="Header"/>
    <w:basedOn w:val="Normal"/>
    <w:next w:val="BodyText"/>
    <w:link w:val="NagwekZnak"/>
    <w:uiPriority w:val="99"/>
    <w:unhideWhenUsed/>
    <w:rsid w:val="000f7eaa"/>
    <w:pPr>
      <w:tabs>
        <w:tab w:val="clear" w:pos="708"/>
        <w:tab w:val="center" w:pos="4536" w:leader="none"/>
        <w:tab w:val="right" w:pos="9072" w:leader="none"/>
      </w:tabs>
      <w:spacing w:lineRule="auto" w:line="240" w:before="0" w:after="0"/>
    </w:pPr>
    <w:rPr/>
  </w:style>
  <w:style w:type="paragraph" w:styleId="Caption1">
    <w:name w:val="caption1"/>
    <w:basedOn w:val="Normal"/>
    <w:qFormat/>
    <w:pPr>
      <w:suppressLineNumbers/>
      <w:spacing w:before="120" w:after="120"/>
    </w:pPr>
    <w:rPr>
      <w:rFonts w:cs="Arial"/>
      <w:i/>
      <w:iCs/>
      <w:sz w:val="24"/>
      <w:szCs w:val="24"/>
    </w:rPr>
  </w:style>
  <w:style w:type="paragraph" w:styleId="Podstawowyakapit" w:customStyle="1">
    <w:name w:val="[Podstawowy akapit]"/>
    <w:basedOn w:val="Normal"/>
    <w:uiPriority w:val="99"/>
    <w:qFormat/>
    <w:rsid w:val="000f7eaa"/>
    <w:pPr>
      <w:spacing w:lineRule="auto" w:line="288" w:before="0" w:after="0"/>
      <w:textAlignment w:val="center"/>
    </w:pPr>
    <w:rPr>
      <w:rFonts w:ascii="MinionPro-Regular" w:hAnsi="MinionPro-Regular" w:cs="MinionPro-Regular"/>
      <w:color w:val="000000"/>
      <w:sz w:val="24"/>
      <w:szCs w:val="24"/>
    </w:rPr>
  </w:style>
  <w:style w:type="paragraph" w:styleId="Indexheading1">
    <w:name w:val="index heading1"/>
    <w:basedOn w:val="Header"/>
    <w:qFormat/>
    <w:pPr/>
    <w:rPr/>
  </w:style>
  <w:style w:type="paragraph" w:styleId="IndexHeading">
    <w:name w:val="Index Heading"/>
    <w:basedOn w:val="Nagwek"/>
    <w:pPr/>
    <w:rPr/>
  </w:style>
  <w:style w:type="paragraph" w:styleId="TOCHeading">
    <w:name w:val="TOC Heading"/>
    <w:basedOn w:val="Heading1"/>
    <w:next w:val="Normal"/>
    <w:uiPriority w:val="39"/>
    <w:unhideWhenUsed/>
    <w:qFormat/>
    <w:rsid w:val="000f7eaa"/>
    <w:pPr>
      <w:outlineLvl w:val="9"/>
    </w:pPr>
    <w:rPr>
      <w:lang w:eastAsia="pl-PL"/>
    </w:rPr>
  </w:style>
  <w:style w:type="paragraph" w:styleId="Footer">
    <w:name w:val="Footer"/>
    <w:basedOn w:val="Normal"/>
    <w:link w:val="StopkaZnak"/>
    <w:uiPriority w:val="99"/>
    <w:unhideWhenUsed/>
    <w:rsid w:val="000f7eaa"/>
    <w:pPr>
      <w:tabs>
        <w:tab w:val="clear" w:pos="708"/>
        <w:tab w:val="center" w:pos="4536" w:leader="none"/>
        <w:tab w:val="right" w:pos="9072" w:leader="none"/>
      </w:tabs>
      <w:spacing w:lineRule="auto" w:line="240" w:before="0" w:after="0"/>
    </w:pPr>
    <w:rPr/>
  </w:style>
  <w:style w:type="paragraph" w:styleId="TOC1">
    <w:name w:val="TOC 1"/>
    <w:basedOn w:val="Normal"/>
    <w:next w:val="Normal"/>
    <w:autoRedefine/>
    <w:uiPriority w:val="39"/>
    <w:unhideWhenUsed/>
    <w:rsid w:val="00ef490c"/>
    <w:pPr>
      <w:tabs>
        <w:tab w:val="clear" w:pos="708"/>
        <w:tab w:val="left" w:pos="660" w:leader="none"/>
        <w:tab w:val="right" w:pos="9062" w:leader="dot"/>
      </w:tabs>
      <w:spacing w:lineRule="auto" w:line="312" w:before="0" w:after="100"/>
    </w:pPr>
    <w:rPr/>
  </w:style>
  <w:style w:type="paragraph" w:styleId="BlockText">
    <w:name w:val="Block Text"/>
    <w:qFormat/>
    <w:rsid w:val="0069129d"/>
    <w:pPr>
      <w:widowControl/>
      <w:pBdr>
        <w:top w:val="single" w:sz="2" w:space="10" w:color="8EAADB"/>
        <w:bottom w:val="single" w:sz="24" w:space="10" w:color="8EAADB"/>
      </w:pBdr>
      <w:suppressAutoHyphens w:val="true"/>
      <w:bidi w:val="0"/>
      <w:spacing w:before="0" w:after="280"/>
      <w:ind w:left="1440" w:right="1440"/>
      <w:jc w:val="both"/>
    </w:pPr>
    <w:rPr>
      <w:rFonts w:ascii="Calibri" w:hAnsi="Calibri" w:eastAsia="Times New Roman" w:cs="Times New Roman"/>
      <w:color w:themeColor="background1" w:themeShade="80" w:val="808080"/>
      <w:kern w:val="0"/>
      <w:sz w:val="28"/>
      <w:szCs w:val="28"/>
      <w:lang w:val="pl-PL" w:eastAsia="pl-PL" w:bidi="ar-SA"/>
    </w:rPr>
  </w:style>
  <w:style w:type="paragraph" w:styleId="ListParagraph">
    <w:name w:val="List Paragraph"/>
    <w:basedOn w:val="Normal"/>
    <w:link w:val="AkapitzlistZnak"/>
    <w:uiPriority w:val="34"/>
    <w:qFormat/>
    <w:rsid w:val="00f41b53"/>
    <w:pPr>
      <w:spacing w:before="0" w:after="160"/>
      <w:ind w:left="720"/>
      <w:contextualSpacing/>
    </w:pPr>
    <w:rPr/>
  </w:style>
  <w:style w:type="paragraph" w:styleId="BalloonText">
    <w:name w:val="Balloon Text"/>
    <w:basedOn w:val="Normal"/>
    <w:link w:val="TekstdymkaZnak"/>
    <w:uiPriority w:val="99"/>
    <w:semiHidden/>
    <w:unhideWhenUsed/>
    <w:qFormat/>
    <w:rsid w:val="0085102b"/>
    <w:pPr>
      <w:spacing w:lineRule="auto" w:line="240" w:before="0" w:after="0"/>
    </w:pPr>
    <w:rPr>
      <w:rFonts w:ascii="Segoe UI" w:hAnsi="Segoe UI" w:cs="Segoe UI"/>
      <w:sz w:val="18"/>
      <w:szCs w:val="18"/>
    </w:rPr>
  </w:style>
  <w:style w:type="paragraph" w:styleId="Revision">
    <w:name w:val="Revision"/>
    <w:uiPriority w:val="99"/>
    <w:semiHidden/>
    <w:qFormat/>
    <w:rsid w:val="00727717"/>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Annotationtext">
    <w:name w:val="annotation text"/>
    <w:basedOn w:val="Normal"/>
    <w:link w:val="TekstkomentarzaZnak"/>
    <w:uiPriority w:val="99"/>
    <w:unhideWhenUsed/>
    <w:qFormat/>
    <w:rsid w:val="00843ac6"/>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843ac6"/>
    <w:pPr/>
    <w:rPr>
      <w:b/>
      <w:bCs/>
    </w:rPr>
  </w:style>
  <w:style w:type="paragraph" w:styleId="Paragraph" w:customStyle="1">
    <w:name w:val="paragraph"/>
    <w:basedOn w:val="Normal"/>
    <w:qFormat/>
    <w:rsid w:val="002516b3"/>
    <w:pPr>
      <w:spacing w:lineRule="auto" w:line="240" w:beforeAutospacing="1" w:afterAutospacing="1"/>
    </w:pPr>
    <w:rPr>
      <w:rFonts w:ascii="Times New Roman" w:hAnsi="Times New Roman" w:eastAsia="Times New Roman" w:cs="Times New Roman"/>
      <w:sz w:val="24"/>
      <w:szCs w:val="24"/>
      <w:lang w:eastAsia="pl-PL"/>
    </w:rPr>
  </w:style>
  <w:style w:type="paragraph" w:styleId="NormalWeb">
    <w:name w:val="Normal (Web)"/>
    <w:basedOn w:val="Normal"/>
    <w:uiPriority w:val="99"/>
    <w:semiHidden/>
    <w:unhideWhenUsed/>
    <w:qFormat/>
    <w:rsid w:val="00fa08cd"/>
    <w:pPr/>
    <w:rPr>
      <w:rFonts w:ascii="Times New Roman" w:hAnsi="Times New Roman" w:cs="Times New Roman"/>
      <w:sz w:val="24"/>
      <w:szCs w:val="24"/>
    </w:rPr>
  </w:style>
  <w:style w:type="paragraph" w:styleId="NormalnyWeb1" w:customStyle="1">
    <w:name w:val="Normalny (Web)1"/>
    <w:qFormat/>
    <w:rsid w:val="002117d0"/>
    <w:pPr>
      <w:widowControl/>
      <w:suppressAutoHyphens w:val="true"/>
      <w:bidi w:val="0"/>
      <w:spacing w:before="100" w:after="119"/>
      <w:jc w:val="left"/>
    </w:pPr>
    <w:rPr>
      <w:rFonts w:ascii="Times New Roman" w:hAnsi="Times New Roman" w:eastAsia="Arial Unicode MS" w:cs="Arial Unicode MS"/>
      <w:color w:val="000000"/>
      <w:kern w:val="0"/>
      <w:sz w:val="24"/>
      <w:szCs w:val="24"/>
      <w:u w:val="none" w:color="000000"/>
      <w:lang w:val="pl-PL" w:eastAsia="pl-PL" w:bidi="ar-SA"/>
    </w:rPr>
  </w:style>
  <w:style w:type="paragraph" w:styleId="Zawartoramki" w:customStyle="1">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0f7e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i1jasnaakcent51">
    <w:name w:val="Tabela siatki 1 — jasna — akcent 51"/>
    <w:basedOn w:val="Standardowy"/>
    <w:uiPriority w:val="46"/>
    <w:rsid w:val="00844db7"/>
    <w:rPr>
      <w:rFonts w:eastAsiaTheme="minorEastAsia"/>
      <w:lang w:eastAsia="pl-PL"/>
      <w:sz w:val="21"/>
      <w:szCs w:val="21"/>
    </w:r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5B9BD5" w:themeColor="accent5" w:sz="12" w:space="0"/>
        </w:tcBorders>
      </w:tcPr>
    </w:tblStylePr>
    <w:tblStylePr w:type="lastRow">
      <w:rPr>
        <w:b/>
        <w:bCs/>
      </w:rPr>
      <w:tblPr/>
      <w:tcPr>
        <w:tcBorders>
          <w:top w:val="double" w:color="5B9BD5" w:themeColor="accent5"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j.starek@spzozkw.pl" TargetMode="External"/><Relationship Id="rId3" Type="http://schemas.openxmlformats.org/officeDocument/2006/relationships/hyperlink" Target="mailto:j.starek@spzozkw.pl"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glossaryDocument" Target="glossary/document.xml"/><Relationship Id="rId11"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D2C0FF5CFB49F094EAF54D35B39D29"/>
        <w:category>
          <w:name w:val="Ogólne"/>
          <w:gallery w:val="placeholder"/>
        </w:category>
        <w:types>
          <w:type w:val="bbPlcHdr"/>
        </w:types>
        <w:behaviors>
          <w:behavior w:val="content"/>
        </w:behaviors>
        <w:guid w:val="{9DAD3140-164E-4FF8-A998-708D17998B02}"/>
      </w:docPartPr>
      <w:docPartBody>
        <w:p w:rsidR="00147712" w:rsidRDefault="00F7402E" w:rsidP="00F7402E">
          <w:pPr>
            <w:pStyle w:val="A5D2C0FF5CFB49F094EAF54D35B39D291"/>
          </w:pPr>
          <w:r>
            <w:rPr>
              <w:rStyle w:val="Tekstzastpczy"/>
            </w:rPr>
            <w:t>Wpisz nazwę postępowania</w:t>
          </w:r>
        </w:p>
      </w:docPartBody>
    </w:docPart>
    <w:docPart>
      <w:docPartPr>
        <w:name w:val="B864AED303BA470CA106A8FD0DC644B1"/>
        <w:category>
          <w:name w:val="Ogólne"/>
          <w:gallery w:val="placeholder"/>
        </w:category>
        <w:types>
          <w:type w:val="bbPlcHdr"/>
        </w:types>
        <w:behaviors>
          <w:behavior w:val="content"/>
        </w:behaviors>
        <w:guid w:val="{CDA2C11F-8543-432C-9884-AD9D819D077C}"/>
      </w:docPartPr>
      <w:docPartBody>
        <w:p w:rsidR="00FD4AC2" w:rsidRDefault="00F7402E" w:rsidP="00F7402E">
          <w:pPr>
            <w:pStyle w:val="B864AED303BA470CA106A8FD0DC644B11"/>
          </w:pPr>
          <w:r>
            <w:rPr>
              <w:rStyle w:val="Tekstzastpczy"/>
            </w:rPr>
            <w:t>Wpisz nazwę postępowania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nionPro-Regular">
    <w:altName w:val="Calibri"/>
    <w:charset w:val="4D"/>
    <w:family w:val="auto"/>
    <w:pitch w:val="default"/>
    <w:sig w:usb0="00000003" w:usb1="00000000" w:usb2="00000000" w:usb3="00000000" w:csb0="00000001" w:csb1="00000000"/>
  </w:font>
  <w:font w:name="Arial Unicode MS">
    <w:panose1 w:val="020B0604020202020204"/>
    <w:charset w:val="00"/>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27"/>
    <w:rsid w:val="000014E1"/>
    <w:rsid w:val="00005A18"/>
    <w:rsid w:val="00033D48"/>
    <w:rsid w:val="000679C2"/>
    <w:rsid w:val="000A2D0A"/>
    <w:rsid w:val="000E40F0"/>
    <w:rsid w:val="000E45BB"/>
    <w:rsid w:val="0010039B"/>
    <w:rsid w:val="00101B9A"/>
    <w:rsid w:val="0010352D"/>
    <w:rsid w:val="001364A2"/>
    <w:rsid w:val="00137F51"/>
    <w:rsid w:val="00147503"/>
    <w:rsid w:val="00147712"/>
    <w:rsid w:val="00147F07"/>
    <w:rsid w:val="00154229"/>
    <w:rsid w:val="00184B8B"/>
    <w:rsid w:val="001963FC"/>
    <w:rsid w:val="001D322C"/>
    <w:rsid w:val="00213575"/>
    <w:rsid w:val="00272C37"/>
    <w:rsid w:val="002A10BF"/>
    <w:rsid w:val="002E330D"/>
    <w:rsid w:val="00351927"/>
    <w:rsid w:val="00386044"/>
    <w:rsid w:val="003A1E6B"/>
    <w:rsid w:val="003C2143"/>
    <w:rsid w:val="003F068F"/>
    <w:rsid w:val="00430BBB"/>
    <w:rsid w:val="00445A9C"/>
    <w:rsid w:val="00447402"/>
    <w:rsid w:val="004A61E2"/>
    <w:rsid w:val="004D4890"/>
    <w:rsid w:val="004F77DA"/>
    <w:rsid w:val="00522D41"/>
    <w:rsid w:val="0052575C"/>
    <w:rsid w:val="005417B2"/>
    <w:rsid w:val="005C4196"/>
    <w:rsid w:val="005F5A6C"/>
    <w:rsid w:val="0061535E"/>
    <w:rsid w:val="00630939"/>
    <w:rsid w:val="00647568"/>
    <w:rsid w:val="0066241C"/>
    <w:rsid w:val="006B2E61"/>
    <w:rsid w:val="0073588E"/>
    <w:rsid w:val="00750AC5"/>
    <w:rsid w:val="007E15B6"/>
    <w:rsid w:val="007F63F7"/>
    <w:rsid w:val="008D6481"/>
    <w:rsid w:val="0094031E"/>
    <w:rsid w:val="009A48B3"/>
    <w:rsid w:val="00A41455"/>
    <w:rsid w:val="00A46E9E"/>
    <w:rsid w:val="00AA7B89"/>
    <w:rsid w:val="00AC4453"/>
    <w:rsid w:val="00AF0252"/>
    <w:rsid w:val="00AF2536"/>
    <w:rsid w:val="00B20775"/>
    <w:rsid w:val="00B35B97"/>
    <w:rsid w:val="00B52BC6"/>
    <w:rsid w:val="00B54E7D"/>
    <w:rsid w:val="00BA56A6"/>
    <w:rsid w:val="00BB287E"/>
    <w:rsid w:val="00BE357A"/>
    <w:rsid w:val="00BF3CAA"/>
    <w:rsid w:val="00C51F87"/>
    <w:rsid w:val="00C803BB"/>
    <w:rsid w:val="00CE3227"/>
    <w:rsid w:val="00D36CB4"/>
    <w:rsid w:val="00D63BA6"/>
    <w:rsid w:val="00DD47D7"/>
    <w:rsid w:val="00DF0802"/>
    <w:rsid w:val="00DF29C0"/>
    <w:rsid w:val="00E14AF3"/>
    <w:rsid w:val="00E15D37"/>
    <w:rsid w:val="00E1644D"/>
    <w:rsid w:val="00E2619D"/>
    <w:rsid w:val="00E4282B"/>
    <w:rsid w:val="00E56E08"/>
    <w:rsid w:val="00E702DD"/>
    <w:rsid w:val="00EC33C2"/>
    <w:rsid w:val="00EC6467"/>
    <w:rsid w:val="00F02A1D"/>
    <w:rsid w:val="00F0747D"/>
    <w:rsid w:val="00F1214F"/>
    <w:rsid w:val="00F34AC1"/>
    <w:rsid w:val="00F7402E"/>
    <w:rsid w:val="00F75F70"/>
    <w:rsid w:val="00F97912"/>
    <w:rsid w:val="00FB399E"/>
    <w:rsid w:val="00FC23D0"/>
    <w:rsid w:val="00FD4A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F2536"/>
    <w:rPr>
      <w:color w:val="808080"/>
    </w:rPr>
  </w:style>
  <w:style w:type="paragraph" w:customStyle="1" w:styleId="B864AED303BA470CA106A8FD0DC644B11">
    <w:name w:val="B864AED303BA470CA106A8FD0DC644B11"/>
    <w:rsid w:val="00F7402E"/>
    <w:rPr>
      <w:rFonts w:eastAsiaTheme="minorHAnsi"/>
      <w:lang w:eastAsia="en-US"/>
    </w:rPr>
  </w:style>
  <w:style w:type="paragraph" w:customStyle="1" w:styleId="A5D2C0FF5CFB49F094EAF54D35B39D291">
    <w:name w:val="A5D2C0FF5CFB49F094EAF54D35B39D291"/>
    <w:rsid w:val="00F7402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19534-CFE7-4BB0-A319-06EBE2B7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Application>LibreOffice/7.6.3.2$Windows_X86_64 LibreOffice_project/29d686fea9f6705b262d369fede658f824154cc0</Application>
  <AppVersion>15.0000</AppVersion>
  <Pages>13</Pages>
  <Words>5365</Words>
  <Characters>34269</Characters>
  <CharactersWithSpaces>39335</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2023-07-25T08:54:00Z</dcterms:created>
  <dc:creator>Wioletta Seredyńska</dc:creator>
  <dc:description/>
  <dc:language>pl-PL</dc:language>
  <cp:lastModifiedBy/>
  <dcterms:modified xsi:type="dcterms:W3CDTF">2026-03-09T13:56:45Z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