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AF5C99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3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  <w:bookmarkStart w:id="0" w:name="_GoBack"/>
      <w:bookmarkEnd w:id="0"/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AF5C99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7B776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F903D7">
        <w:tc>
          <w:tcPr>
            <w:tcW w:w="11424" w:type="dxa"/>
            <w:gridSpan w:val="6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C90934">
        <w:rPr>
          <w:rFonts w:ascii="Calibri" w:hAnsi="Calibri" w:cs="Calibri"/>
          <w:b/>
          <w:color w:val="FF0000"/>
          <w:szCs w:val="24"/>
          <w:lang w:val="pl-PL"/>
        </w:rPr>
        <w:t xml:space="preserve"> "Łączna cen brutto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>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AF5C99" w:rsidRDefault="00AF5C99" w:rsidP="00AF5C99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F903D7" w:rsidRPr="00ED57E2" w:rsidRDefault="00AF5C99" w:rsidP="00ED57E2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21000F">
        <w:rPr>
          <w:rFonts w:ascii="Calibri" w:hAnsi="Calibri" w:cs="Calibri"/>
          <w:i/>
          <w:lang w:val="pl-PL"/>
        </w:rPr>
        <w:t>Data; kwalifikowany podpis elektroniczny lub podpis zaufany lub podpis osobisty</w:t>
      </w:r>
    </w:p>
    <w:sectPr w:rsidR="00F903D7" w:rsidRPr="00ED57E2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7A4" w:rsidRDefault="007027A4" w:rsidP="00AD21F6">
      <w:r>
        <w:separator/>
      </w:r>
    </w:p>
  </w:endnote>
  <w:endnote w:type="continuationSeparator" w:id="0">
    <w:p w:rsidR="007027A4" w:rsidRDefault="007027A4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296457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296457" w:rsidRPr="00296457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7A4" w:rsidRDefault="007027A4" w:rsidP="00AD21F6">
      <w:r>
        <w:separator/>
      </w:r>
    </w:p>
  </w:footnote>
  <w:footnote w:type="continuationSeparator" w:id="0">
    <w:p w:rsidR="007027A4" w:rsidRDefault="007027A4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C99" w:rsidRPr="00E91527" w:rsidRDefault="00296457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DZP.260.2</w:t>
    </w:r>
    <w:r w:rsidR="00B42DC5" w:rsidRPr="00E91527">
      <w:rPr>
        <w:rFonts w:ascii="Calibri" w:hAnsi="Calibri" w:cs="Calibri"/>
        <w:sz w:val="24"/>
        <w:szCs w:val="24"/>
        <w:lang w:val="pl-PL"/>
      </w:rPr>
      <w:t>.202</w:t>
    </w:r>
    <w:r>
      <w:rPr>
        <w:rFonts w:ascii="Calibri" w:hAnsi="Calibri" w:cs="Calibri"/>
        <w:sz w:val="24"/>
        <w:szCs w:val="24"/>
        <w:lang w:val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A0F3E"/>
    <w:rsid w:val="00125BA8"/>
    <w:rsid w:val="001E281C"/>
    <w:rsid w:val="001F3C40"/>
    <w:rsid w:val="00217B0F"/>
    <w:rsid w:val="0029426A"/>
    <w:rsid w:val="00296457"/>
    <w:rsid w:val="0038559A"/>
    <w:rsid w:val="004A7B76"/>
    <w:rsid w:val="004B1B4E"/>
    <w:rsid w:val="005D6656"/>
    <w:rsid w:val="006464C8"/>
    <w:rsid w:val="006B649C"/>
    <w:rsid w:val="007027A4"/>
    <w:rsid w:val="00743B92"/>
    <w:rsid w:val="00774E14"/>
    <w:rsid w:val="00795794"/>
    <w:rsid w:val="007A1304"/>
    <w:rsid w:val="007B7763"/>
    <w:rsid w:val="007D375A"/>
    <w:rsid w:val="007E7672"/>
    <w:rsid w:val="008324DC"/>
    <w:rsid w:val="00904C6A"/>
    <w:rsid w:val="00906880"/>
    <w:rsid w:val="00965421"/>
    <w:rsid w:val="00A8541E"/>
    <w:rsid w:val="00AD21F6"/>
    <w:rsid w:val="00AF5C99"/>
    <w:rsid w:val="00B42DC5"/>
    <w:rsid w:val="00B84F99"/>
    <w:rsid w:val="00B86132"/>
    <w:rsid w:val="00BD05B0"/>
    <w:rsid w:val="00C5328E"/>
    <w:rsid w:val="00C90934"/>
    <w:rsid w:val="00CA76E9"/>
    <w:rsid w:val="00CC243C"/>
    <w:rsid w:val="00CF1D22"/>
    <w:rsid w:val="00D73079"/>
    <w:rsid w:val="00E0576B"/>
    <w:rsid w:val="00E5610B"/>
    <w:rsid w:val="00E91527"/>
    <w:rsid w:val="00E9379B"/>
    <w:rsid w:val="00EA2836"/>
    <w:rsid w:val="00ED57E2"/>
    <w:rsid w:val="00F636EF"/>
    <w:rsid w:val="00F9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6AF8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ACAF4-609A-421B-B8F0-1B922BF2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Olimpia Przebieracz</cp:lastModifiedBy>
  <cp:revision>32</cp:revision>
  <dcterms:created xsi:type="dcterms:W3CDTF">2023-02-09T08:20:00Z</dcterms:created>
  <dcterms:modified xsi:type="dcterms:W3CDTF">2026-01-15T08:33:00Z</dcterms:modified>
</cp:coreProperties>
</file>