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ED" w:rsidRDefault="00C261ED" w:rsidP="00E81B34">
      <w:pPr>
        <w:spacing w:line="288" w:lineRule="auto"/>
        <w:jc w:val="right"/>
      </w:pPr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C261ED" w:rsidRPr="0000453C" w:rsidRDefault="00C261ED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 xml:space="preserve">Dotyczy: </w:t>
      </w:r>
      <w:r w:rsidR="00AA57D3">
        <w:rPr>
          <w:rFonts w:ascii="Bookman Old Style" w:hAnsi="Bookman Old Style" w:cs="Bookman Old Style"/>
        </w:rPr>
        <w:t>IR-BI.</w:t>
      </w:r>
      <w:r w:rsidR="009813F2">
        <w:rPr>
          <w:rFonts w:ascii="Bookman Old Style" w:hAnsi="Bookman Old Style" w:cs="Bookman Old Style"/>
        </w:rPr>
        <w:t>271.</w:t>
      </w:r>
      <w:r w:rsidR="004F1146">
        <w:rPr>
          <w:rFonts w:ascii="Bookman Old Style" w:hAnsi="Bookman Old Style" w:cs="Bookman Old Style"/>
        </w:rPr>
        <w:t>23</w:t>
      </w:r>
      <w:r w:rsidR="009813F2">
        <w:rPr>
          <w:rFonts w:ascii="Bookman Old Style" w:hAnsi="Bookman Old Style" w:cs="Bookman Old Style"/>
        </w:rPr>
        <w:t>.202</w:t>
      </w:r>
      <w:r w:rsidR="003E46C3">
        <w:rPr>
          <w:rFonts w:ascii="Bookman Old Style" w:hAnsi="Bookman Old Style" w:cs="Bookman Old Style"/>
        </w:rPr>
        <w:t>5</w:t>
      </w:r>
      <w:r w:rsidRPr="0000453C">
        <w:rPr>
          <w:rFonts w:ascii="Bookman Old Style" w:hAnsi="Bookman Old Style" w:cs="Bookman Old Style"/>
        </w:rPr>
        <w:t xml:space="preserve"> </w:t>
      </w:r>
    </w:p>
    <w:p w:rsidR="00C261ED" w:rsidRPr="009F68B2" w:rsidRDefault="00C261ED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 w:rsidR="00617B81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Oświadczenia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C261ED" w:rsidRDefault="00C261ED" w:rsidP="00E81B34">
      <w:pPr>
        <w:spacing w:line="288" w:lineRule="auto"/>
        <w:jc w:val="right"/>
      </w:pP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E81B34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C261ED" w:rsidRDefault="00C261ED" w:rsidP="00BF1481">
      <w:pPr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C261ED" w:rsidRPr="00175445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C261ED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C261ED" w:rsidRDefault="00C261ED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C261ED" w:rsidRDefault="00C261ED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Pr="00A20188" w:rsidRDefault="00C261ED" w:rsidP="00E50C83">
      <w:pPr>
        <w:spacing w:line="288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</w:t>
      </w:r>
      <w:r w:rsidRPr="00A20188">
        <w:rPr>
          <w:rFonts w:ascii="Bookman Old Style" w:hAnsi="Bookman Old Style" w:cs="Bookman Old Style"/>
          <w:sz w:val="22"/>
          <w:szCs w:val="22"/>
        </w:rPr>
        <w:t xml:space="preserve">klasycznego, prowadzonego w trybie podstawowym na realizację następującego zamówienia: </w:t>
      </w:r>
    </w:p>
    <w:p w:rsidR="00B26631" w:rsidRPr="004F1146" w:rsidRDefault="00B26631" w:rsidP="00B26631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</w:pPr>
      <w:r w:rsidRPr="00B26631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„</w:t>
      </w:r>
      <w:r w:rsidR="004F1146" w:rsidRPr="004F1146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Przebudowa drogi wewnętrznej od stacji CIRCLE</w:t>
      </w:r>
      <w:r w:rsidR="004C129C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 xml:space="preserve"> K</w:t>
      </w:r>
      <w:r w:rsidR="004F1146" w:rsidRPr="004F1146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 xml:space="preserve"> do ul. Wiejskiej  w Brodnicy</w:t>
      </w:r>
      <w:r w:rsidRPr="00B26631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”</w:t>
      </w:r>
    </w:p>
    <w:p w:rsidR="00C261ED" w:rsidRDefault="00C261ED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</w:t>
      </w:r>
      <w:proofErr w:type="spellStart"/>
      <w:r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C261ED" w:rsidRPr="000B36DD" w:rsidRDefault="00C261ED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lastRenderedPageBreak/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524F0" w:rsidRDefault="00C524F0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C524F0" w:rsidRDefault="00C524F0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E55497" w:rsidRDefault="00C524F0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0B36DD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0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1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1"/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9B4042" w:rsidRPr="008165A6" w:rsidRDefault="009B4042" w:rsidP="009B404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</w:t>
      </w:r>
      <w:r w:rsidRPr="008165A6">
        <w:rPr>
          <w:rFonts w:ascii="Bookman Old Style" w:hAnsi="Bookman Old Style" w:cs="Bookman Old Style"/>
          <w:b/>
          <w:bCs/>
          <w:sz w:val="20"/>
          <w:szCs w:val="20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:rsidR="009B4042" w:rsidRDefault="009B4042" w:rsidP="009B404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9B4042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9B4042" w:rsidRPr="008165A6" w:rsidRDefault="009B4042" w:rsidP="009B4042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</w:t>
      </w:r>
      <w:bookmarkStart w:id="2" w:name="_Hlk181095341"/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>;</w:t>
      </w:r>
      <w:bookmarkEnd w:id="2"/>
    </w:p>
    <w:p w:rsidR="009B4042" w:rsidRPr="000B36DD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9B4042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</w:t>
      </w:r>
      <w:r>
        <w:rPr>
          <w:rFonts w:ascii="Bookman Old Style" w:hAnsi="Bookman Old Style" w:cs="Bookman Old Style"/>
          <w:sz w:val="20"/>
          <w:szCs w:val="20"/>
        </w:rPr>
        <w:t xml:space="preserve">na podstawie </w:t>
      </w:r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9B4042" w:rsidRDefault="009B404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>nie podlegam wykluczeniu z postępowania na podstawie art. 109 ust. 1 pkt 3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C261ED" w:rsidRPr="000B36D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4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C261ED" w:rsidRPr="00812855" w:rsidRDefault="00C261ED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XVI.1.3 </w:t>
      </w:r>
      <w:r w:rsidR="00364BD2"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>
        <w:rPr>
          <w:rFonts w:ascii="Bookman Old Style" w:hAnsi="Bookman Old Style" w:cs="Bookman Old Style"/>
          <w:sz w:val="20"/>
          <w:szCs w:val="20"/>
        </w:rPr>
        <w:t>w zakresie sytuacji ekonomicznej lub finansowej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pkt </w:t>
      </w:r>
      <w:r w:rsidR="0057442B">
        <w:rPr>
          <w:rFonts w:ascii="Bookman Old Style" w:hAnsi="Bookman Old Style" w:cs="Bookman Old Style"/>
          <w:sz w:val="20"/>
          <w:szCs w:val="20"/>
        </w:rPr>
        <w:t>1</w:t>
      </w:r>
      <w:r>
        <w:rPr>
          <w:rFonts w:ascii="Bookman Old Style" w:hAnsi="Bookman Old Style" w:cs="Bookman Old Style"/>
          <w:sz w:val="20"/>
          <w:szCs w:val="20"/>
        </w:rPr>
        <w:t>)</w:t>
      </w:r>
      <w:r w:rsidR="00364BD2"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pkt </w:t>
      </w:r>
      <w:r w:rsidR="0057442B">
        <w:rPr>
          <w:rFonts w:ascii="Bookman Old Style" w:hAnsi="Bookman Old Style" w:cs="Bookman Old Style"/>
          <w:sz w:val="20"/>
          <w:szCs w:val="20"/>
        </w:rPr>
        <w:t>2</w:t>
      </w:r>
      <w:r>
        <w:rPr>
          <w:rFonts w:ascii="Bookman Old Style" w:hAnsi="Bookman Old Style" w:cs="Bookman Old Style"/>
          <w:sz w:val="20"/>
          <w:szCs w:val="20"/>
        </w:rPr>
        <w:t>)</w:t>
      </w:r>
      <w:r w:rsidR="00364BD2">
        <w:rPr>
          <w:rFonts w:ascii="Bookman Old Style" w:hAnsi="Bookman Old Style" w:cs="Bookman Old Style"/>
          <w:sz w:val="20"/>
          <w:szCs w:val="20"/>
        </w:rPr>
        <w:t xml:space="preserve"> </w:t>
      </w:r>
      <w:proofErr w:type="spellStart"/>
      <w:r w:rsidR="00364BD2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="00364BD2">
        <w:rPr>
          <w:rFonts w:ascii="Bookman Old Style" w:hAnsi="Bookman Old Style" w:cs="Bookman Old Style"/>
          <w:sz w:val="20"/>
          <w:szCs w:val="20"/>
        </w:rPr>
        <w:t xml:space="preserve"> a)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364BD2" w:rsidRDefault="00364BD2" w:rsidP="00364BD2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pkt 2)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b)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pkt </w:t>
      </w:r>
      <w:r w:rsidR="0057442B">
        <w:rPr>
          <w:rFonts w:ascii="Bookman Old Style" w:hAnsi="Bookman Old Style" w:cs="Bookman Old Style"/>
          <w:sz w:val="20"/>
          <w:szCs w:val="20"/>
        </w:rPr>
        <w:t>3</w:t>
      </w:r>
      <w:r>
        <w:rPr>
          <w:rFonts w:ascii="Bookman Old Style" w:hAnsi="Bookman Old Style" w:cs="Bookman Old Style"/>
          <w:sz w:val="20"/>
          <w:szCs w:val="20"/>
        </w:rPr>
        <w:t>)</w:t>
      </w:r>
      <w:r w:rsidR="00364BD2"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</w:t>
      </w:r>
      <w:r w:rsidR="00364BD2"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3" w:name="_GoBack"/>
      <w:bookmarkEnd w:id="3"/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sectPr w:rsidR="00C261ED" w:rsidSect="00C63A00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ED" w:rsidRDefault="00C261ED">
      <w:r>
        <w:separator/>
      </w:r>
    </w:p>
  </w:endnote>
  <w:endnote w:type="continuationSeparator" w:id="0">
    <w:p w:rsidR="00C261ED" w:rsidRDefault="00C2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 w:rsidR="00846FEC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846FEC">
      <w:rPr>
        <w:sz w:val="20"/>
        <w:szCs w:val="20"/>
      </w:rPr>
      <w:fldChar w:fldCharType="separate"/>
    </w:r>
    <w:r w:rsidR="004C129C">
      <w:rPr>
        <w:noProof/>
        <w:sz w:val="20"/>
        <w:szCs w:val="20"/>
      </w:rPr>
      <w:t>1</w:t>
    </w:r>
    <w:r w:rsidR="00846FEC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846FEC"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 w:rsidR="00846FEC">
      <w:rPr>
        <w:sz w:val="20"/>
        <w:szCs w:val="20"/>
      </w:rPr>
      <w:fldChar w:fldCharType="separate"/>
    </w:r>
    <w:r w:rsidR="004C129C">
      <w:rPr>
        <w:noProof/>
        <w:sz w:val="20"/>
        <w:szCs w:val="20"/>
      </w:rPr>
      <w:t>3</w:t>
    </w:r>
    <w:r w:rsidR="00846FEC">
      <w:rPr>
        <w:sz w:val="20"/>
        <w:szCs w:val="20"/>
      </w:rPr>
      <w:fldChar w:fldCharType="end"/>
    </w:r>
  </w:p>
  <w:p w:rsidR="00C261ED" w:rsidRDefault="00C261E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ED" w:rsidRDefault="00C261ED">
      <w:r>
        <w:separator/>
      </w:r>
    </w:p>
  </w:footnote>
  <w:footnote w:type="continuationSeparator" w:id="0">
    <w:p w:rsidR="00C261ED" w:rsidRDefault="00C26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 w:cs="Times New Roman"/>
        <w:kern w:val="2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91E52"/>
    <w:rsid w:val="00000905"/>
    <w:rsid w:val="0000453C"/>
    <w:rsid w:val="00012350"/>
    <w:rsid w:val="00051BB5"/>
    <w:rsid w:val="00062DBB"/>
    <w:rsid w:val="00065787"/>
    <w:rsid w:val="00067E8D"/>
    <w:rsid w:val="000704F5"/>
    <w:rsid w:val="000B36DD"/>
    <w:rsid w:val="000C5C40"/>
    <w:rsid w:val="000F0228"/>
    <w:rsid w:val="0015460F"/>
    <w:rsid w:val="00175445"/>
    <w:rsid w:val="002108E2"/>
    <w:rsid w:val="0024667D"/>
    <w:rsid w:val="002540E4"/>
    <w:rsid w:val="0026413C"/>
    <w:rsid w:val="00265CB4"/>
    <w:rsid w:val="00274BF5"/>
    <w:rsid w:val="00277B14"/>
    <w:rsid w:val="002B237E"/>
    <w:rsid w:val="002E186F"/>
    <w:rsid w:val="002E1E48"/>
    <w:rsid w:val="002E7B9E"/>
    <w:rsid w:val="0031283B"/>
    <w:rsid w:val="00347112"/>
    <w:rsid w:val="00364BD2"/>
    <w:rsid w:val="00393165"/>
    <w:rsid w:val="00397B0D"/>
    <w:rsid w:val="003B51FB"/>
    <w:rsid w:val="003C071F"/>
    <w:rsid w:val="003E46C3"/>
    <w:rsid w:val="00414162"/>
    <w:rsid w:val="00454344"/>
    <w:rsid w:val="004830B3"/>
    <w:rsid w:val="004C129C"/>
    <w:rsid w:val="004C25E2"/>
    <w:rsid w:val="004F1146"/>
    <w:rsid w:val="00550050"/>
    <w:rsid w:val="00556B9B"/>
    <w:rsid w:val="0057442B"/>
    <w:rsid w:val="005B5C90"/>
    <w:rsid w:val="005C4213"/>
    <w:rsid w:val="005C4EDE"/>
    <w:rsid w:val="005E3235"/>
    <w:rsid w:val="00617B81"/>
    <w:rsid w:val="00651AD8"/>
    <w:rsid w:val="00691E52"/>
    <w:rsid w:val="006D0295"/>
    <w:rsid w:val="006E4DBC"/>
    <w:rsid w:val="006F5482"/>
    <w:rsid w:val="00711E5B"/>
    <w:rsid w:val="00726D34"/>
    <w:rsid w:val="00726DF7"/>
    <w:rsid w:val="0074093A"/>
    <w:rsid w:val="0076123C"/>
    <w:rsid w:val="007B1200"/>
    <w:rsid w:val="007D29C0"/>
    <w:rsid w:val="00812855"/>
    <w:rsid w:val="00834A1F"/>
    <w:rsid w:val="00846FEC"/>
    <w:rsid w:val="00862453"/>
    <w:rsid w:val="008B40AC"/>
    <w:rsid w:val="008F42E7"/>
    <w:rsid w:val="00913DC3"/>
    <w:rsid w:val="009813F2"/>
    <w:rsid w:val="00992001"/>
    <w:rsid w:val="009B4042"/>
    <w:rsid w:val="009B6627"/>
    <w:rsid w:val="009C049C"/>
    <w:rsid w:val="009D210B"/>
    <w:rsid w:val="009D67B5"/>
    <w:rsid w:val="009F1CEC"/>
    <w:rsid w:val="009F68B2"/>
    <w:rsid w:val="00A17C9C"/>
    <w:rsid w:val="00A20188"/>
    <w:rsid w:val="00AA57D3"/>
    <w:rsid w:val="00AA7873"/>
    <w:rsid w:val="00AB7B45"/>
    <w:rsid w:val="00AF2FC1"/>
    <w:rsid w:val="00B11654"/>
    <w:rsid w:val="00B26631"/>
    <w:rsid w:val="00B47C2E"/>
    <w:rsid w:val="00B56478"/>
    <w:rsid w:val="00B7325E"/>
    <w:rsid w:val="00B73EF4"/>
    <w:rsid w:val="00B819A1"/>
    <w:rsid w:val="00BC1002"/>
    <w:rsid w:val="00BF1481"/>
    <w:rsid w:val="00C261ED"/>
    <w:rsid w:val="00C524F0"/>
    <w:rsid w:val="00C622C5"/>
    <w:rsid w:val="00C63A00"/>
    <w:rsid w:val="00CE663A"/>
    <w:rsid w:val="00D04482"/>
    <w:rsid w:val="00D47048"/>
    <w:rsid w:val="00DA7B5C"/>
    <w:rsid w:val="00DC55F6"/>
    <w:rsid w:val="00DC60F2"/>
    <w:rsid w:val="00E11705"/>
    <w:rsid w:val="00E50C83"/>
    <w:rsid w:val="00E52F90"/>
    <w:rsid w:val="00E55BB9"/>
    <w:rsid w:val="00E72941"/>
    <w:rsid w:val="00E81B34"/>
    <w:rsid w:val="00EF5E3A"/>
    <w:rsid w:val="00F04221"/>
    <w:rsid w:val="00F60722"/>
    <w:rsid w:val="00F6547D"/>
    <w:rsid w:val="00F90780"/>
    <w:rsid w:val="00FE4754"/>
    <w:rsid w:val="00FE4BEB"/>
    <w:rsid w:val="00FF0F01"/>
    <w:rsid w:val="00FF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1D3EC4-90DC-47EF-9559-CB7ECB4A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Times New Roman"/>
      <w:b/>
      <w:kern w:val="3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</w:rPr>
  </w:style>
  <w:style w:type="character" w:customStyle="1" w:styleId="WW8Num2z2">
    <w:name w:val="WW8Num2z2"/>
    <w:uiPriority w:val="99"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</w:rPr>
  </w:style>
  <w:style w:type="character" w:customStyle="1" w:styleId="WW8Num10z2">
    <w:name w:val="WW8Num10z2"/>
    <w:uiPriority w:val="99"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Times New Roman"/>
      <w:sz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cp:keywords/>
  <dc:description/>
  <cp:lastModifiedBy>Remigiusz Otremba</cp:lastModifiedBy>
  <cp:revision>58</cp:revision>
  <cp:lastPrinted>1995-11-21T17:41:00Z</cp:lastPrinted>
  <dcterms:created xsi:type="dcterms:W3CDTF">2021-04-15T08:39:00Z</dcterms:created>
  <dcterms:modified xsi:type="dcterms:W3CDTF">2025-12-01T13:37:00Z</dcterms:modified>
</cp:coreProperties>
</file>